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508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Stone Christopher Isaac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BOSTON BEER COMPANY, INC. ONE DESIGN CENTER PLACE, SUITE 850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BOSTON BEER CO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May 14,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240.26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05/14/2025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05/13/2035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4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14, 2025, the Issuer granted 271 RSUs to the Reporting Person under the Issuer's Equity Plan for Non-Employee Directors. The shares will vest in full on May 13, 2026, provided that the non-employee Director remains a member of the Board of Directors as of that date.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include 271 shares of restricted stock subject to vesting conditions.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14, 2025, the Issuer granted 546 option shares to the Reporting Person under the Issuer's Equity Plan for Non-Employee Directors. The option shares are immediately exercisable, subject to the Company's Director Stock Ownership and Retention Guidelines.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Michael G. Andrews under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11696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POA for the benefit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Christopher I. Stone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868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59028" TargetMode="External"/><Relationship Id="rId14" Type="http://schemas.openxmlformats.org/officeDocument/2006/relationships/hyperlink" Target="http://www.sec.gov/cgi-bin/browse-edgar?action=getcompany&amp;CIK=00009498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2025-05-15T08:23:12Z</dcterms:created>
  <dcterms:modified xsi:type="dcterms:W3CDTF">2025-05-15T08:23:12Z</dcterms:modified>
</cp:coreProperties>
</file>