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260" w:right="3700" w:hanging="4252"/>
        <w:spacing w:after="0" w:line="302" w:lineRule="auto"/>
        <w:tabs>
          <w:tab w:leader="none" w:pos="46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 (d) OF THE SECURITIES EXCHANGE ACT OF 1934 For the fiscal year ended December 27, 2025</w:t>
      </w:r>
    </w:p>
    <w:p>
      <w:pPr>
        <w:spacing w:after="0" w:line="1" w:lineRule="exact"/>
        <w:rPr>
          <w:rFonts w:ascii="MS PGothic" w:cs="MS PGothic" w:eastAsia="MS PGothic" w:hAnsi="MS PGothic"/>
          <w:sz w:val="14"/>
          <w:szCs w:val="14"/>
          <w:color w:val="auto"/>
        </w:rPr>
      </w:pP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 (d) OF THE SECURITIES EXCHANGE ACT OF 1934</w:t>
      </w:r>
    </w:p>
    <w:p>
      <w:pPr>
        <w:spacing w:after="0" w:line="64" w:lineRule="exact"/>
        <w:rPr>
          <w:rFonts w:ascii="MS PGothic" w:cs="MS PGothic" w:eastAsia="MS PGothic" w:hAnsi="MS PGothic"/>
          <w:sz w:val="14"/>
          <w:szCs w:val="14"/>
          <w:color w:val="auto"/>
        </w:rPr>
      </w:pPr>
    </w:p>
    <w:p>
      <w:pPr>
        <w:ind w:left="3640"/>
        <w:spacing w:after="0"/>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58" w:lineRule="exact"/>
        <w:rPr>
          <w:rFonts w:ascii="MS PGothic" w:cs="MS PGothic" w:eastAsia="MS PGothic" w:hAnsi="MS PGothic"/>
          <w:sz w:val="14"/>
          <w:szCs w:val="14"/>
          <w:color w:val="auto"/>
        </w:rPr>
      </w:pPr>
    </w:p>
    <w:p>
      <w:pPr>
        <w:ind w:left="4460"/>
        <w:spacing w:after="0"/>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color w:val="auto"/>
        </w:rPr>
        <w:t>Commission file number: 1-14092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BOSTON BEER COMPANY,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3480" w:type="dxa"/>
            <w:vAlign w:val="bottom"/>
            <w:gridSpan w:val="2"/>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04-3284048</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480" w:type="dxa"/>
            <w:vAlign w:val="bottom"/>
            <w:gridSpan w:val="2"/>
          </w:tcPr>
          <w:p>
            <w:pPr>
              <w:jc w:val="center"/>
              <w:ind w:left="14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jc w:val="center"/>
              <w:ind w:right="21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80" w:type="dxa"/>
            <w:vAlign w:val="bottom"/>
            <w:gridSpan w:val="2"/>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6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One Design Center Place, Suite 850, Boston, Massachusetts</w:t>
            </w:r>
          </w:p>
        </w:tc>
        <w:tc>
          <w:tcPr>
            <w:tcW w:w="3380" w:type="dxa"/>
            <w:vAlign w:val="bottom"/>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60" w:type="dxa"/>
            <w:vAlign w:val="bottom"/>
            <w:gridSpan w:val="5"/>
            <w:vMerge w:val="continue"/>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02210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2"/>
          </w:tcPr>
          <w:p>
            <w:pPr>
              <w:jc w:val="right"/>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(617) 368-5000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480" w:type="dxa"/>
            <w:vAlign w:val="bottom"/>
            <w:gridSpan w:val="2"/>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12"/>
                <w:szCs w:val="12"/>
                <w:color w:val="auto"/>
              </w:rPr>
            </w:pPr>
          </w:p>
        </w:tc>
        <w:tc>
          <w:tcPr>
            <w:tcW w:w="3360" w:type="dxa"/>
            <w:vAlign w:val="bottom"/>
            <w:gridSpan w:val="4"/>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3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58"/>
        </w:trPr>
        <w:tc>
          <w:tcPr>
            <w:tcW w:w="32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tcPr>
          <w:p>
            <w:pPr>
              <w:jc w:val="center"/>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Class A Common Stock. $0.01 par value</w:t>
            </w: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2"/>
          </w:tcPr>
          <w:p>
            <w:pPr>
              <w:jc w:val="center"/>
              <w:ind w:right="628"/>
              <w:spacing w:after="0" w:line="158" w:lineRule="exact"/>
              <w:rPr>
                <w:sz w:val="20"/>
                <w:szCs w:val="20"/>
                <w:color w:val="auto"/>
              </w:rPr>
            </w:pPr>
            <w:r>
              <w:rPr>
                <w:rFonts w:ascii="Times New Roman" w:cs="Times New Roman" w:eastAsia="Times New Roman" w:hAnsi="Times New Roman"/>
                <w:sz w:val="14"/>
                <w:szCs w:val="14"/>
                <w:b w:val="1"/>
                <w:bCs w:val="1"/>
                <w:color w:val="auto"/>
              </w:rPr>
              <w:t>SAM</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ind w:left="720"/>
              <w:spacing w:after="0" w:line="158" w:lineRule="exact"/>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1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gridSpan w:val="4"/>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20" w:type="dxa"/>
            <w:vAlign w:val="bottom"/>
            <w:gridSpan w:val="3"/>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6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1120" w:type="dxa"/>
            <w:vAlign w:val="bottom"/>
            <w:gridSpan w:val="3"/>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38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1"/>
        </w:trPr>
        <w:tc>
          <w:tcPr>
            <w:tcW w:w="78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  Yes</w:t>
            </w:r>
          </w:p>
        </w:tc>
        <w:tc>
          <w:tcPr>
            <w:tcW w:w="3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Class A Common Stock ($0.01 par value) held by non-affiliates of the registrant totaled $1,558.13 million (based on the closing price of the Company’s Class A Common Stock on the New York Stock Exchange on June 27, 2025). All of the registrant’s Class B Common Stock ($0.01 par value) is held by an affiliate.</w:t>
      </w:r>
    </w:p>
    <w:p>
      <w:pPr>
        <w:spacing w:after="0" w:line="1" w:lineRule="exact"/>
        <w:rPr>
          <w:sz w:val="24"/>
          <w:szCs w:val="24"/>
          <w:color w:val="auto"/>
        </w:rPr>
      </w:pPr>
    </w:p>
    <w:p>
      <w:pPr>
        <w:ind w:right="460"/>
        <w:spacing w:after="0" w:line="250" w:lineRule="auto"/>
        <w:rPr>
          <w:sz w:val="20"/>
          <w:szCs w:val="20"/>
          <w:color w:val="auto"/>
        </w:rPr>
      </w:pPr>
      <w:r>
        <w:rPr>
          <w:rFonts w:ascii="Times New Roman" w:cs="Times New Roman" w:eastAsia="Times New Roman" w:hAnsi="Times New Roman"/>
          <w:sz w:val="14"/>
          <w:szCs w:val="14"/>
          <w:color w:val="auto"/>
        </w:rPr>
        <w:t>As of February 20, 2026 there were 8,378,383 shares outstanding of the Company’s Class A Common Stock ($0.01 par value) and 2,068,000 shares outstanding of the Company’s Class B Common Stock ($0.01 par value).</w:t>
      </w:r>
    </w:p>
    <w:p>
      <w:pPr>
        <w:spacing w:after="0" w:line="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Certain parts of the registrant’s definitive Proxy Statement for its 2026 Annual Meeting to be held on May 27, 2026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1A.</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1B.</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1C.</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2.</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3.</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5.</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6.</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7.</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7A.</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8.</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9.</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9A.</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9B.</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9C.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10.</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11.</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12.</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13.</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15.</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82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PERIOD ENDED DECEMBER 27,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06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74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30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407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62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8470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3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514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right="2080"/>
        <w:spacing w:after="0" w:line="266"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 Quantitative and Qualitative Disclosures About Market Risk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-316230</wp:posOffset>
            </wp:positionV>
            <wp:extent cx="4105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2766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2113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Changes in and Disagreements With Accountants on Accounting and Financial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182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821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3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834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095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600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09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45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3" w:lineRule="exact"/>
        <w:rPr>
          <w:sz w:val="20"/>
          <w:szCs w:val="20"/>
          <w:color w:val="auto"/>
        </w:rPr>
      </w:pPr>
    </w:p>
    <w:p>
      <w:pPr>
        <w:ind w:right="1260"/>
        <w:spacing w:after="0" w:line="279" w:lineRule="auto"/>
        <w:rPr>
          <w:sz w:val="20"/>
          <w:szCs w:val="20"/>
          <w:color w:val="auto"/>
        </w:rPr>
      </w:pPr>
      <w:r>
        <w:rPr>
          <w:rFonts w:ascii="Times New Roman" w:cs="Times New Roman" w:eastAsia="Times New Roman" w:hAnsi="Times New Roman"/>
          <w:sz w:val="18"/>
          <w:szCs w:val="18"/>
          <w:u w:val="single" w:color="auto"/>
          <w:color w:val="0000FF"/>
        </w:rPr>
        <w:t>Security Ownership of Certain Beneficial Owners and Management and Related Stockholder Matters Certain Relationships and Related Transactions, and Director Independence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-337820</wp:posOffset>
            </wp:positionV>
            <wp:extent cx="4629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34645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645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814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005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983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7620</wp:posOffset>
            </wp:positionV>
            <wp:extent cx="488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23</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25</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25</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29</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70</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70</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72</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73</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73</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74</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76</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3">
            <w:col w:w="800" w:space="660"/>
            <w:col w:w="8560" w:space="720"/>
            <w:col w:w="50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Boston Beer Company, Inc. and certain subsidiaries (the “Company”) are engaged in the business of selling alcohol beverages throughout the United States and in selected international markets, under the trade names “The Boston Beer Company®”, “Twisted Tea Brewing Company®”, “Hard Seltzer Beverage Company”, “Angry Orchard® Cider Company”, “Dogfish Head® Craft Brewery”, “Dogfish Head Distilling Co.”, “Angel City® Brewing Company”, “Coney Island® Brewing Company”, "Green Rebel Brewing Co.", “TeaPot Worldwide”, “Sun Cruiser Beverage Co.","American Fermentation Company LLC", and "Sinless Spirits Company".</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produces alcohol beverages, including flavored malt beverages, hard seltzer, beer, hard cider, spirits based ready to drink beverages (“spirits RTDs”) and distilled spirits at Company-owned breweries and its cidery and under contract arrangements at other production facilities. The four primary Company-owned breweries are focused on production and research and development, including breweries located in Boston, Massachusetts (the “Boston Brewery”), Cincinnati, Ohio (the “Cincinnati Brewery”), Milton, Delaware (the “Milton Brewery”) and Breinigsville, Pennsylvania (the “Pennsylvania Brewery”). These breweries, with the exception of the Pennsylvania Brewery, have tap rooms for retail sales on site.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also operates smaller local breweries that are mainly focused on brewing and packaging beers for retail sales on site at tap rooms and gift shops, restaurant activities and developing innovative and traditional beers. These two ongoing local breweries are located in Boston, Massachusetts (the “Samuel Adams Boston Downtown Tap Room”) and Rehoboth, Delaware (“Dogfish Head Brewings and Eats”). The Company announced it will close its local brewery in Los Angeles, California (the “Angel City Brewery") effective April 30, 2026.</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addition, the Company owns an apple orchard and cidery located in Walden, New York (the “Orchard” and “Cidery”), a restaurant in Rehoboth, Delaware (“Chesapeake &amp; Maine”) and a boutique inn in Lewes, Delaware (the “Dogfish Inn”).</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on-premise retailers, which include bars, restaurants, stadiums and other venues.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principal executive offices are located at One Design Center Place, Suite 850, Boston, Massachusetts 02210, and its telephone number is (617) 368-5000.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Most of the Company’s products are sold through off-premise retailers and the Company estimates the size of its markets using third-party metrics from measured off-premise channels, which is standard in the United States beer industry.</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competes primarily in the United States in the combined Beyond beer and Traditional beer market (“US Beer Market”). Beyond beer, also known as the ‘fourth category’, includes flavored malt beverages, hard seltzer, hard cider, spirits RTDs and other emerging beverages. Traditional beer generally includes mass domestics, imports, domestic specialties and craft beer.</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measured off-premise channels in 2025, the US Beer Market decreased 1.2% to $47.0 billion with Beyond beer increasing 4.4% to $10.7 billion and Traditional beer declining 2.8% to $36.3 billion. Beyond beer is 23% of the US Beer Market and the Company believes Beyond beer is positioned to continue to grow and gain share from Traditional beer.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Business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was founded in 1984 as a craft brewery and competes in the craft beer category primarily with its Samuel Adams and Dogfish Head brands. The Company has a strong history of innovation and has internally developed brands outside of the craft beer category that are among the leaders in their respective categories. These brands include Twisted Tea, a flavored malt beverage introduced in 2001, Angry Orchard, a hard cider introduced in 2011, Truly Hard Seltzer, a hard seltzer introduced in 2016 and Sun Cruiser, a vodka spirits RTD introduced in 2024. In 2025, approximately 86% of the Company’s volume is in Beyond beer with the remainder in Traditional beer. The Company is the second largest supplier in Beyond beer at a 20% market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share.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business goal is to grow market share in the US Beer Market by creating and offering high quality alcohol beverages. With the support of a large, well-trained sales organization and world-class brewers, the Company strives to achieve this goal by offering consumer-responsive beverages, increasing brand availability and awareness through traditional media and digital advertising, point-of-sale, promotional programs, and drinker education and engagement.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beverages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strategy is to create and offer a world-class variety of traditional and innovative alcohol beverages. The Company’s primary brands which include the Twisted Tea, Truly Hard Seltzer, Samuel Adams, Angry Orchard, Sun Cruiser and Dogfish Head brands are all available nationally. The Twisted Tea brand family was first introduced in 2001 and since 2022, Twisted Tea has been the largest selling flavored malt beverage brand in the United States. In 2016, the Company began national distribution of the Truly Hard Seltzer brand and it maintained its place as one of the leading brands in the hard seltzer category in 2025. The Samuel Adams brand began in 1984 and the brand is recognized as one of the largest and most respected craft beer brands with a particular focus on lagers and seasonal beers. The Angry Orchard brand was launched in 2011 and since 2013, Angry Orchard has been the largest selling hard cider in the United States. The Sun Cruiser brand was launched in 2024 and has grown quickly to be the fifth largest spirits RTD brand. The Dogfish Head brand began in 1995 and is recognized as one of the most innovative and respected craft beer and spirits brand with a particular focus on India Pale Ales (“IPAs”).</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2021, the Company entered a licensing agreement with PepsiCo, Inc. (“Pepsi”). Beginning in 2022, the Company sold products under the brand name ‘Hard Mountain Dew’ under the Pepsi agreement. While the Company believes this agreement represents a strategic opportunity to increase volume in the longer term, the Hard Mountain Dew brand represented approximately 2% of net revenue in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Twisted Tea</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Twisted Tea products generally compete within the flavored malt beverage (“FMB”) category of Beyond beer. The FMB category is $4.5 billion in measured off-premise channels and comprises approximately 42% of Beyond beer and the FMB category grew in dollars approximately 6% in 2024 and declined 4% in 2025. This category is highly competitive due to, among other factors, the presence of large brewers and spirits companies in the category as well as many smaller national and regional competitors and a fast pace of product innovation.</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offers over ten styles of flavored malt beverages in the Twisted Tea brand family, most of which are available nationally in both the United States and Canada. Most styles are available in standard cans and some are available in 24 ounce cans and bottles. The majority of the promotional and distribution efforts for the Twisted Tea brand family are focused on Twisted Tea Original, Twisted Tea Half and Half and variety packs in various standard can packages. During 2024 and 2025, the Company increased its promotional efforts related to Twisted Tea Light and Twisted Tea Extreme, an 8% Alcohol By Volume ("ABV") flavored malt beverage launched during 2024. The Company expects Twisted Tea Light and Twisted Tea Extreme to be positive contributors for the Twisted Tea brand in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Truly Hard Seltzer</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Truly Hard Seltzer brand generally competes within the hard seltzer category. This category is highly competitive and includes large international and domestic competitors as well as many smaller national, regional and local hard seltzer companies. The category grew rapidly from 2018 to 2021. Since 2021, the category has seen significant declines in volume. The Hard Seltzer category is $3.0 billion in measured off-premise channels and comprises approximately 28% of Beyond beer and the hard seltzer category declined in dollars approximately 8% in 2024 and 4.5% in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The Company offers over thirty styles of hard seltzer in the Truly Hard Seltzer brand family, most of which are available nationally in the United States. Most styles are available in sleek cans and some are available in 24 ounce cans. In 2024, the Company introduced Truly Unruly, an 8% ABV hard seltzer in a sleek can variety pack. Truly Unruly grew in 2025 and the Company expects Truly Unruly to continue to grow in 2026. The majority of the promotional and distribution efforts for the Truly brand family in 2025 were focused on sleek can variety packages which include, Truly Berry Mix Pack, Truly Party Pack, Truly Unruly Mix Pack, Truly Citrus Mix Pack, Truly Lemonade Seltzer Mix Pack and Truly Unruly Lemonade Mix Pack.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Samuel Adams and Dogfish Head Beers</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Company’s Samuel Adams and Dogfish Head brands generally compete within the craft beer and domestic specialty beer category. The craft beer category is $3.4 billion in measured off-premise channels and comprises approximately 9% of traditional beer and the craft beer category in dollars declined 2% in 2024 and 3% in 2025. This category is highly competitive and includes large international and domestic competitors, as well as many smaller national, regional and local craft breweries.</w:t>
      </w:r>
    </w:p>
    <w:p>
      <w:pPr>
        <w:spacing w:after="0" w:line="18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Company offers over twenty styles of beer in the Samuel Adams brand family and the brand is recognized for helping launch the craft beer industry. Samuel Adams Boston Lager® is the Company’s flagship beer that was introduced in 1984. The Samuel Adams Seasonal program of beers was originally introduced in the late 1980’s and includes various limited availability seasonal beers and variety packs. Samuel Adams American Light was introduced in 2024 and is made with high quality American ingredients and earned the title of Best Light Beer in America in the 2024 World Beer Awards.</w:t>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Samuel Adams Just the Haze, a non-alcoholic hazy IPA, was released in early 2021 and Samuel Adams Golden, a non-alcoholic golden lager, was released in early 2023. The two Samuel Adams non-alcoholic beers combined represent 7% of the brands total volume in dollars. The Company plans to launch additional Samuel Adams non-alcoholic styles during 2026.</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majority of the promotional and distribution efforts for the Samuel Adams brand family are focused on the Samuel Adams Seasonal program, Samuel Adams Boston Lager and Samuel Adams American Light. Most Samuel Adams beers are available nationally in various bottle, standard can, and keg packages.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Samuel Adams brand also releases a variety of specialty package and draft beers brewed in limited quantities at its Samuel Adams Downtown Boston Tap Room, Samuel Adams Boston Brewery Tap Room, and Samuel Adams Cincinnati Brewery Tap Room.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offers over twenty-five styles of beer in the Dogfish Head brand family. These styles are offered in various can, bottle and keg packages. The Dogfish Head brand also releases a variety of specialty package and draft beers brewed in limited quantities at its Dogfish Head Brewings and Eats and Milton Brewery tasting room locations.</w:t>
      </w:r>
    </w:p>
    <w:p>
      <w:pPr>
        <w:spacing w:after="0" w:line="17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Dogfish Head brand began in 1995 and it is recognized as an early leader in bringing culinary innovations to the U.S. craft beer market. The majority of the promotional and distribution efforts for the Dogfish Head brand family are focused on continually-hopped Dogfish Head 60 Minute and 90 Minute IPAs, along with seasonal variety packs. During 2025, the Dogfish Head brand launched a collaboration beer with the Grateful Dead music band, named Grateful Dead Juicy Pale Ale and the brand will launch a new additional Grateful Dead collaboration beer, named Grateful Dead Citrus Daydream Lager during the first quarter of 2026.</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Dogfish Head brand began distilling spirits in 2002 and is considered one of the original craft distilleries. The Company offers over 15 styles of distilled spirits under the Dogfish Head brand in small quantities that are sold in limited markets. In 2021, the Company entered the market for spirits RTDs through its Dogfish Head brand. The Company currently offers over 7 styles of spirits RTDs under the Dogfish Head brand that are available in sleek can and sleek can variety packages.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Angry Orchard Hard Cider</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Company’s Angry Orchard ciders compete within the hard cider category. The hard cider category is $0.5 billion in measured off-premise channels and comprises approximately 4% of Beyond beer and the cider category in dollars declined 2% in 2024 and increased 4% in 2025. This category is small and highly competitive and the competition consists mostly of many small regional and local hard cider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offers over ten styles of hard cider in the Angry Orchard brand family, most of which are available nationally in the United States in various bottle, can, and keg packages. The majority of the promotional and distribution efforts for the Angry Orchard brand family are focused on Angry Orchard Crisp Apple, Angry Orchard Crisp Imperial and Angry Orchard Seasonal Variety Packs. The Angry Orchard brand also releases a variety of specialty package and draft ciders fermented in limited quantities at its Company-owned Orchard and Cidery in Walden, New York.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 Cruiser</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Sun Cruiser brand competes in the spirits RTD category. The spirits RTD category is $1.7 billion in measured off-premise channels and comprises approximately 16% of Beyond beer and the spirits RTD category in dollars increased approximately 24% in 2024 and 29% in 2025. This category is highly competitive and includes large international and domestic competitors, as well as many small regional and local craft distilling companies.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Sun Cruiser brand was launched in early 2024. The Company offers seven styles of vodka iced tea and lemonade RTDs in the Sun Cruiser brand family, that became available nationally in the first half of 2025. All styles are available in 12 once sleek cans and some are available in 570 ml and 700 ml single serve cans.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 proven track record of innovation and building new brands and is committed to maintaining its position as a leading innovator. To that end, the Company continually tests new alcohol beverages and may sell them under various brand labels for evaluation of drinker interest. The Boston Brewery, the Milton Brewery and the Cidery, along with its other larger breweries and brewery tap rooms spend significant time ideating, testing and developing alcohol beverages for the Company’s potential future commercial development and evaluating ingredients and process improvements for existing beverages.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most significant innovations in 2025 were the introduction of new Sun Cruiser styles and packages including Sun Cruiser vodka based lemonade, as well as the launch of Truly Unruly Lemonade Mix Pack, Dogfish Head Grateful Dead Juicy Pale Ale and Sinless Vodka Cocktails, a new spirits RTD brand. In the first quarter of 2026, the Company is planning to expand Sinless Vodka Cocktails into additional states, launch Twisted Tea Extreme Variety Pack, Samuel Adams Cherry Bomb Ale and Dogfish Head Grateful Dead Citrus Daydream Lager. During the rest of 2026, the Company has plans to add new brands, new beverage styles and may reformulate existing styles of beverages.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2021, the Company announced that it was establishing a subsidiary to serve as a dedicated research and innovation hub in the federally regulated market of Canada focused on non-alcoholic cannabis beverages. This subsidiary enables the Company to develop and pilot unique cannabis beverages, while cannabis regulations continue to evolve in the United States and worldwide. The Company began selling limited quantities of cannabis beverage products in Canada under the TeaPot brand during the second half of 2022. In late 2024, the Company began the launch of a new cannabis beverage and gummy brand named Emerald Hour. The Company currently does not have plans to produce or sell any cannabis products outside of Canada.</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continually evaluates the performance of its beverages and the rationalization of its product lines as a whole. Periodically, the Company discontinues certain styles and packages. For example, in early 2025 the Company discontinued Truly Vodka Soda and Truly Tequila Soda. Certain styles or brands put on hiatus or discontinued in previous years may be produced for the Company’s variety packs or reintroduced.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Distribution, and Marketing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dictated by the legal and regulatory environment, most all the Company’s sales are made to a network of over 300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traditional and e-commerce retail outlets, where the products are sold to drinkers, and in some limited circumstances to parties who act as sub-distributors. The Company sells its products predominantly in the United States, but also has markets in Canada, Mexico and other international markets.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 w:name="page7"/>
    <w:bookmarkEnd w:id="6"/>
    <w:p>
      <w:pPr>
        <w:ind w:right="20"/>
        <w:spacing w:after="0" w:line="256" w:lineRule="auto"/>
        <w:rPr>
          <w:sz w:val="20"/>
          <w:szCs w:val="20"/>
          <w:color w:val="auto"/>
        </w:rPr>
      </w:pPr>
      <w:r>
        <w:rPr>
          <w:rFonts w:ascii="Times New Roman" w:cs="Times New Roman" w:eastAsia="Times New Roman" w:hAnsi="Times New Roman"/>
          <w:sz w:val="18"/>
          <w:szCs w:val="18"/>
          <w:color w:val="auto"/>
        </w:rPr>
        <w:t>With few exceptions, the Company’s products are not the primary brands in its Distributors’ portfolios. Thus, the Company, in addition to competing with other beverages for a share of the drinker’s business, competes with other beverage companies for a share of the Distributor’s attention, time and selling efforts. During 2025, the Company’s largest individual Distributor accounted for approximately 3% of the Company’s gross sales. The top three individual Distributors collectively accounted for approximately 7% of the Company’s gross sales. In some states and countries, the Company’s contracts with its Distributors may be affected by laws that restrict the enforcement of some contract terms, especially those related to the Company’s right to terminate the relationship.</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Most of the Company’s products are shipped within days of packaging, resulting in limited finished goods at the Company’s breweries and third-party production facilities. The Company works with its distributors closely and has designed its internal supply chain systems and process to manage and maintain distributor inventories at between three and five weeks of sales on hand. These levels are designed to result in high customer service levels, limit distributor and retailer out of stocks and reduce the risk of inventory obsolescence.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2023, the Company significantly improved its supply chain functions which led to reduced inventories internally and at distributors, while improving customer service levels and significantly reducing write-offs of excess inventory. The Company continues to work on its supply chain improvement initiatives to better manage inventory and further reduce inventory obsolescence.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believes distributor inventory as of December 27, 2025 and December 28, 2024 was at an appropriate level for each of its brands and averaged approximately four weeks on hand.</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Boston Beer has a sales force of over 550 people, which the Company believes is one of the largest in the US Beer Market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 the Company’s beverages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spacing w:after="0" w:line="18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also engages in media campaigns, including television, digital and social media, radio, billboards, and print. These media efforts are complemented by participation in sponsorships, which currently include the United States Soccer Federation, Barstool Sports, the Boston Red Sox, and other professional sports teams, the Boston Marathon, local concert and festivals, and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 where legal.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and Ingredients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Historically, the Company has been successful in obtaining sufficient quantities of the packaging materials and ingredients used in the production of its beverages. Prior to 2023, the Company experienced some supply chain constraints in packaging materials, primarily cans, that impacted the Company’s production schedules and increased can costs as a result of using a more expensive can supplier. The Company enters into limited-term supply agreements with certain vendors in order to receive preferential pricing. The Company maintains competitive sources for most packaging materials and ingredients. In 2025, certain flavorings, crowns and labels were each supplied by a single source; however, the Company believes that, given time to adjust, alternative suppliers are available. The most significant packaging and ingredients include:</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Cans</w:t>
      </w:r>
      <w:r>
        <w:rPr>
          <w:rFonts w:ascii="Times New Roman" w:cs="Times New Roman" w:eastAsia="Times New Roman" w:hAnsi="Times New Roman"/>
          <w:sz w:val="18"/>
          <w:szCs w:val="18"/>
          <w:color w:val="auto"/>
        </w:rPr>
        <w:t>. Twisted Tea brand beverages are primarily packaged in standard cans and Truly Hard Seltzer and Sun Cruiser brand beverages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packaged in sleek cans. In 2025, approximately 82% of the Company’s total volume was packaged in cans and the Company expects that percentage to increase further in 2026. Since 2022, the Company has not had any significant disruptions in its can supply and the Company currently believes that it will have a sufficient supply of cans in 2026.</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Flavorings. </w:t>
      </w:r>
      <w:r>
        <w:rPr>
          <w:rFonts w:ascii="Times New Roman" w:cs="Times New Roman" w:eastAsia="Times New Roman" w:hAnsi="Times New Roman"/>
          <w:sz w:val="18"/>
          <w:szCs w:val="18"/>
          <w:color w:val="auto"/>
        </w:rPr>
        <w:t>The Company’s beverages include many unique and proprietary flavors and combinations of flavors and most of these flavorings are single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sourced. Truly Hard Seltzer and Twisted Tea brand beverages are particularly reliant on the use of flavorings and a variety of flavors as part of their appeal to drinkers. The Company is working closely with various flavoring suppliers to ensure it has an adequate supply and currently believes that it will have sufficient supply of flavorings in 2026.</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Cardboard</w:t>
      </w:r>
      <w:r>
        <w:rPr>
          <w:rFonts w:ascii="Times New Roman" w:cs="Times New Roman" w:eastAsia="Times New Roman" w:hAnsi="Times New Roman"/>
          <w:sz w:val="18"/>
          <w:szCs w:val="18"/>
          <w:color w:val="auto"/>
        </w:rPr>
        <w:t>. The Company’s beverages are packaged primarily in cardboard wraps, carriers and cardboard shipping cases. Since 2020, the Company has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any significant disruptions in its supply of cardboard and the Company currently believes that it will have a sufficient supply of cardboard wraps in 2026.</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Glass. </w:t>
      </w:r>
      <w:r>
        <w:rPr>
          <w:rFonts w:ascii="Times New Roman" w:cs="Times New Roman" w:eastAsia="Times New Roman" w:hAnsi="Times New Roman"/>
          <w:sz w:val="18"/>
          <w:szCs w:val="18"/>
          <w:color w:val="auto"/>
        </w:rPr>
        <w:t>Some of the Company’s beverages are sold in glass bottles. Since 2020, the Company has not had any significant disruptions in its supply of glass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Company currently believes that it will have a sufficient supply of glass in 2026.</w:t>
      </w:r>
    </w:p>
    <w:p>
      <w:pPr>
        <w:spacing w:after="0" w:line="15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Malt. </w:t>
      </w:r>
      <w:r>
        <w:rPr>
          <w:rFonts w:ascii="Times New Roman" w:cs="Times New Roman" w:eastAsia="Times New Roman" w:hAnsi="Times New Roman"/>
          <w:sz w:val="18"/>
          <w:szCs w:val="18"/>
          <w:color w:val="auto"/>
        </w:rPr>
        <w:t>The two-row varieties of barley used in the Company’s malt are mainly grown in the United States and Canada. The 2025 North American barley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crop, which will support 2026 malt needs, was generally consistent with historical long-term averages with regard to both quality and quantity. The Company purchased most of the malt used in the production of its beers from four suppliers during 2025. The Company also believes that there are other malt suppliers available that are capable of supplying its needs</w:t>
      </w:r>
      <w:r>
        <w:rPr>
          <w:rFonts w:ascii="Arial" w:cs="Arial" w:eastAsia="Arial" w:hAnsi="Arial"/>
          <w:sz w:val="21"/>
          <w:szCs w:val="21"/>
          <w:color w:val="auto"/>
        </w:rPr>
        <w:t>.</w:t>
      </w:r>
    </w:p>
    <w:p>
      <w:pPr>
        <w:spacing w:after="0" w:line="16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Hops. </w:t>
      </w:r>
      <w:r>
        <w:rPr>
          <w:rFonts w:ascii="Times New Roman" w:cs="Times New Roman" w:eastAsia="Times New Roman" w:hAnsi="Times New Roman"/>
          <w:sz w:val="18"/>
          <w:szCs w:val="18"/>
          <w:color w:val="auto"/>
        </w:rPr>
        <w:t>The Company uses Noble hop varieties from Europe for many of its Samuel Adams beers and also uses hops grown in other areas of Europe,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New Zealand. Noble hops are grown in several specific areas in Germany and the Czech Republic that are recognized for growing hops with superior taste and aroma properties. The Company uses hops in various formats including T-90 hop pellets, T-45 hop pellets and CO2 Extract. The Company stores its hops in multiple cold storage warehouses to minimize the impact of a catastrophe at a single site.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enters into purchase commitments with seven primary hop dealers,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as other long term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Variations to usage plans could result in hops shortages for specific beers or an excess of certain hops varieties.</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Yeast. </w:t>
      </w:r>
      <w:r>
        <w:rPr>
          <w:rFonts w:ascii="Times New Roman" w:cs="Times New Roman" w:eastAsia="Times New Roman" w:hAnsi="Times New Roman"/>
          <w:sz w:val="18"/>
          <w:szCs w:val="18"/>
          <w:color w:val="auto"/>
        </w:rPr>
        <w:t>The Company uses multiple yeast strains for production of its beverages. While some strains are commercially available, other strains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Since the proprietary strains cannot be replaced if destroyed, the Company protects these strains by storing multiple cultures of the same strain at different production locations and in several independent laboratories.</w:t>
      </w:r>
    </w:p>
    <w:p>
      <w:pPr>
        <w:spacing w:after="0" w:line="17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Apples. </w:t>
      </w:r>
      <w:r>
        <w:rPr>
          <w:rFonts w:ascii="Times New Roman" w:cs="Times New Roman" w:eastAsia="Times New Roman" w:hAnsi="Times New Roman"/>
          <w:sz w:val="18"/>
          <w:szCs w:val="18"/>
          <w:color w:val="auto"/>
        </w:rPr>
        <w:t>The Company uses special varieties and origins of apples in its hard ciders that it believes are important for their flavor profiles. In 2025,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apples were sourced primarily from Europe and the United States and include bittersweet apples from France and culinary apples from Italy, Washington State and New York. Purchases and commitments are denominated in Euros for European apples and US Dollars for American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employs a quality assurance team and brewmasters to monitor the Company’s brewing operations and control the production of its beverages both at Company-owned breweries and at the third-party production facilities at which the Company’s products are produced. Extensive tests, tastings and evaluations are typically required to ensure that each batch of the Company’s beverages conforms to the Company’s standards. The Company has on-site quality control labs at each of the Company-owned breweries and supports the smaller tap rooms and local breweries with additional centralized lab services.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the exception of certain specialty and distilled products, the Company includes a clearly legible “freshness” date on every bottle, can and keg of its beverages, in order to ensure that its drinkers enjoy only the freshest products. The Company was the first American brewer to use this practice.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Strategy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continues to pursue a production strategy that includes production at breweries owned by the Company and production facilities owned by others. The Company made capital investments in 2025 of approximately $54.5 million, most of which represented investments in breweries owned by the Company. These investments were made to drive efficiencies and cost reductions and support product innovation. Based on its current estimates of future volumes and mix, the Company expects to invest between $70 million and $90 million in 2026 to meet those estimates. Because actual capital investments are highly dependent on meeting demand, the actual amount spent may well be significantly different from the Company’s current expectations.</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Pennsylvania Brewery, the Cincinnati Brewery and the Milton Brewery produced most of the Company’s shipment volume from Company owned breweries during 2025. The Pennsylvania Brewery is the Company’s largest brewery.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Production and retail activities at the Company's local breweries and tap rooms are mainly for brewing and packaging beers for retail sales on site at tap rooms and gift shops, restaurant activities and developing innovative and traditional beers.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Cidery’s production is mainly for developing new types of innovative hard ciders and fermenting and packaging ciders for retail sales on site at the Cidery and supporting draft and package accounts in the local market area.</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each of the years ended December 27, 2025 and December 28, 2024, the Company produced approximately 86% and 74%, respectively of its domestic volume at Company-owned breweries. In the normal course of its business, the Company has historically entered into various production arrangements with other production companies. Pursuant to these arrangements, the Company generally supplies raw materials and packaging to those production companies and incurs conversion fees for labor at the time the liquid is produced and packaged. The Company has made up-front payments that were used for capital improvements at these third-party production facilities that it expenses over the period of the contracts.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currently has production services agreements with subsidiaries of City Brewing Company, LLC (“City Brewing”). During 2025 and 2024, City Brewing supplied approximately 14% and 26%, respectively, of the Company’s annual domestic shipment volume. In accordance with the production services agreements, the Company has paid to City Brewing for capital improvements at its facilities and other pre-payments. These payments are being expensed over the terms of the agreements. Currently, certain of these production services agreements expire on December 31, 2028. The Company has the contractual right to extend its agreements with City Brewing beyond the current termination dates on an annual basis through December 31, 2035. The remaining net book value of these third-party production prepayments is $7.1 million as of December 27, 2025, which is expected to be expensed to cost of goods sold ratably based on committed annual production capacity through December 31, 2028.</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agreements include minimum capacity availability commitments by City Brewing and the Company is obligated to meet annual minimum volume commitments and is subject to contractual shortfall fees, if these annual minimum volume commitments are not met.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January of 2024, the Company and City Brewing entered into a Loan and Security Agreement at which time payment of $20 million was made by the Company to City Brewing. Repayment of the note receivable plus an agreed investment return for a combined total of $22.4 million shall be repaid to the company subject to annual repayment limits. As of December 27, 2025, the balance of the note receivable is $11.2 million and the final maturity date is December 31, 2028.</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of 2024 the Company entered into an amendment and restatement in its entirety of an existing production agreement with a third-party supplier, Rauch North America Inc ("Rauch"). This amendment and restatement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amended and restated Rauch agreement includes quarterly minimum payments that generally total $4.1 million annually at zero volume and a termination fee of $5 million with 12 months written notice. The initial term of the agreement expires December 31, 2031 with provisions to extend.</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 w:name="page10"/>
    <w:bookmarkEnd w:id="9"/>
    <w:p>
      <w:pPr>
        <w:ind w:right="20"/>
        <w:spacing w:after="0" w:line="258" w:lineRule="auto"/>
        <w:rPr>
          <w:sz w:val="20"/>
          <w:szCs w:val="20"/>
          <w:color w:val="auto"/>
        </w:rPr>
      </w:pPr>
      <w:r>
        <w:rPr>
          <w:rFonts w:ascii="Times New Roman" w:cs="Times New Roman" w:eastAsia="Times New Roman" w:hAnsi="Times New Roman"/>
          <w:sz w:val="18"/>
          <w:szCs w:val="18"/>
          <w:color w:val="auto"/>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2025 and 2024, the Company recorded $21.4 million and $13.0 million, respectively, in shortfall fees. At current volume projections, the Company anticipates that it will recognize approximately $19 million of shortfall fees in future years with $6 million forecasted to be expensed in 2026 and $13 million expected to be expensed in years thereafter.</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27, 2025, if volume for the remaining term of the production arrangements was zero, the total contractual shortfall and termination fees, with advance notice as specified in the related contractual agreements, would total approximately $26 million with $15 million due in 2026 and $11 million due in future years thereafter.</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expects that the percentage of total domestic production at third-party production facilities will be less than 10% in 2026. The Company selects third-party production facilities with one or more of: (i) sleek can packaging and automated variety packaging capability and capacity; (ii) first-rate quality control capabilities throughout the process; and (iii) the capability of utilizing traditional brewing, fermenting and finishing methods. Under its production arrangements with third parties, the Company is charged a service fee based on units produced at each of the facilities.</w:t>
      </w:r>
    </w:p>
    <w:p>
      <w:pPr>
        <w:spacing w:after="0" w:line="18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Company’s international business is primarily supplied by third-party production and packaging agreements and production under license at international locations.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While the Company believes that it has alternatives available to it, in the event that production at any of its current locations is interrupted, severe interruptions at the Pennsylvania Brewery, Cincinnati Brewery, or City Brewing facilities would be most problematic, especially in seasonal peak periods. In addition, the Company may not be able to maintain its current economics, if interruptions were to occur, and could face significant delays in starting up replacement production locations. Potential interruptions at production facilities include labor issues, governmental actions, quality issues, contractual disputes, machinery failures, operational shutdowns, or natural or other unavoidable catastrophes. The Company would work with available third-party production facilities to attempt to minimize any potential disruptions.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US Beer Market is highly competitive due to large domestic and international brewers and a large number of smaller craft brewers and craft distilleries who distribute similar products that have similar pricing and target drinkers.</w:t>
      </w:r>
    </w:p>
    <w:p>
      <w:pPr>
        <w:spacing w:after="0" w:line="1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two largest brewers in the United States, AB InBev and Molson Coors, participate actively in Beyond beer and Traditional beer, through numerous beers, flavored malt beverages, hard seltzers and spirit RTDs. Imported beers, such as Modelo Especial®, Corona®, Heineken®, Guinness®, and Stella Artois®, continue to compete aggressively in the United States and have gained market share over the last ten years. AB InBev, Molson Coors, Constellation Brands (owner of the United States Distribution rights to Modelo Especial and Corona) and Heineken may have substantially greater financial resources, marketing strength and distribution networks than the Company.</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large non-alcoholic beverage companies including The Coca-Cola Company (“Coke"), Pepsi, Monster Beverage Corporation (“Monster”), and Arizona Beverage Company (“Arizona") have entered these markets directly or through licensing agreements with alcoholic beverage companies to develop alcohol versions of existing traditional non-alcohol brands. Coke has entered into agreements with Molson Coors to develop, market and sell Topo Chico brand Hard Seltzer, Simply Spiked Lemonade, and Peace Hard Tea. Coke also announced separate agreements with two leading Spirits brands, Sazerac Company and Brown Forman to market and sell FRESCA™ Mixed and Jack Daniel's® Tennessee Whiskey and Coca-Cola®™ Ready-to-Drink Cocktail, respectively. As previously discussed, the Company has entered into an agreement with Pepsi to develop, market and sell Hard Mountain Dew, to take advantage of this trend. Pepsi also entered an agreement in late 2022 with FIFCO USA, a New York based brewery, to develop, market and sell Lipton Hard Iced Tea which launched during the first half of 2023. In addition, Monster acquired CANarchy Craft Brewery Collective in early 2022 and launched the Beast Unleashed, a new brand of flavored malt beverages in early 2023 which includes Nasty Beast Hard Tea and Blind Lemon Hard Lemonade. Arizona, after earlier development and launch in 2020 in Canadian markets, launched Arizona Hard Tea in the United States beginning in 2023.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320"/>
        <w:spacing w:after="0" w:line="256" w:lineRule="auto"/>
        <w:rPr>
          <w:sz w:val="20"/>
          <w:szCs w:val="20"/>
          <w:color w:val="auto"/>
        </w:rPr>
      </w:pPr>
      <w:r>
        <w:rPr>
          <w:rFonts w:ascii="Times New Roman" w:cs="Times New Roman" w:eastAsia="Times New Roman" w:hAnsi="Times New Roman"/>
          <w:sz w:val="18"/>
          <w:szCs w:val="18"/>
          <w:color w:val="auto"/>
        </w:rPr>
        <w:t>The Company’s Twisted Tea beverages compete within the Beyond Beer FMB category, which includes brands such as Twisted Tea, Mike’s Hard Lemonade, Smirnoff Ice, Cayman Jack, Clubtails, Beast Unleashed, Bud Light Lime, Redd’s Apple Ale, and Seagram’s Escapes. As Twisted Tea has grown, more hard teas have been introduced by competitors. Some of these hard tea competitors currently include Arizona Hard Tea, Arnold Palmer Spiked, Nasty Beast Hard Tea, VooDoo Ranger Hard Charged Tea, Hoop Hard Tea, 2Hoots Hard Tea and Peace Hard Tea. As noted earlier, the FMB category is highly competitive due to, among other factors, the presence of large brewers and spirits companies in the category, the advertising of malt-based spirits brands in channels not available to the parent brands and a fast pace of product innovation.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Truly Hard Seltzer beverages compete primarily within the hard seltzer category of Beyond beer. This category grew quickly from 2016 to 2021 and then declined each year since 2021. The hard seltzer category is highly competitive and includes large international and domestic competitors. Hard seltzers are typically priced competitively with Traditional beer and Beyond beer and may compete for drinkers with beer, wine, spirits, or FMBs. Some of these competitors include Mark Anthony Brands under the brand name “White Claw” and "White Claw Surge."; AB InBev under “Bud Light Seltzer”, and Molson Coors under “Vizzy Hard Sparkling Water” and "Topo Chico".</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Company’s Samuel Adams and Dogfish Head beers compete primarily within the craft beer and domestic specialty beer category of Traditional beer. The Company expects competition and innovation among domestic craft brewers to remain strong. The Company estimates there are approximately 10,000 breweries in operation, up from approximately 1,500 operating breweries in 2009. Most of these new breweries are craft (small and independent) brewers.</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recent years, there have been numerous announcements of acquisitions of or investments in craft brewers by larger breweries and private equity and other investors. Most recently, during 2023 and 2024, in separate transactions AB InBev and Molson Coors sold some of these craft brands and breweries to Tilray Brands, Inc a global cannabis, craft beer, and spirits beverage company.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Angry Orchard product line competes within the hard cider category. As noted earlier, this category is small and highly competitive and the competitors include mostly small regional and local hard cider companies. Hard ciders are typically priced competitively with Traditional beer and Beyond beer and may compete for drinkers with beer, wine, spirits, or FMBs. Some of these competitors include "Bold Rock", "2 Towns", “Schilling” and “Blakes”.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Sun Cruiser brand competes in the spirits RTDs category. This category is growing and highly competitive and includes large international and domestic competitors, as well as many small regional and local distilling companies. Spirits RTDs are typically higher priced and may compete for drinkers with beer, wine, spirits, or FMBs. The leading brand in the spirits RTDs category is owned by E&amp;J Gallo Winery under the brand name "High Noon” and other competitors in the category include AB InBev under "Cutwater” and “NÜTRL Vodka Seltzer”, Stateside Brands under “Surfside”.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beverages competitively with wine and spirits.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competes with other beer and alcoholic beverage companies within a three-tier distribution system. The Company competes for a share of the Distributor’s attention, time and selling efforts. At retail, the Company competes for traditional retail shelf, cold box and tap space, as well as e-commerce placement. From a drinker perspective, competition exists for brand acceptance and loyalty. The principal factors of competition in the market for Beyond beer and Traditional beer occasions include product quality and taste, brand advertising and imagery, trade and drinker promotions, pricing, packaging and the development of innovative new products.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certain competitive advantages over other brewers and competitors, including a long history of awards for product quality, greater available resources and the ability to distribute and promote its products on a more cost-effective basis. Additionally, the Company believes it has competitive advantages over imported beers, including lower transportation costs, higher product quality, a lack of import charges and superior product freshness.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Taxation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 Administration, state alcohol regulatory agencies and state and federal environmental agencies.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Governmental entities may levy various taxes, license fees and other similar charges and may require bonds to ensure compliance with applicable laws and regulations. Beginning in 2018, as a result of the “Tax Cuts and Jobs Act”, the Company’s federal excise tax rate on hard seltzer and beer decreased from $18 to $16 per barrel on all barrels below 6 million barrels produced annually. The top tier rate on hard cider (with alcohol by volume of less than 8.5%) is $0.226 per gallon, on still wine (with non-qualifying fermentable fruits) is $1.07 per gallon, and on distilled spirits is $13.50 per proof gallon. States levy excise taxes at varying rates based on the type of beverage and alcohol content. Failure by the Company to comply with applicable federal, state or local laws and regulations could result in higher taxes, penalties, fees and suspension or revocation of permits, licenses or approvals. While there can be no assurance that any such regulatory action would not have a material adverse effect upon the Company or its operating results, the Company is not aware of any infraction affecting any of its licenses or permits that would materially impact its ability to continue its current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The Company has obtained trademark registrations with the United States Patent and Trademark Office for over 400 trademarks, including Samuel Adams®, Sam Adams®, Twisted Tea®, Truly®, Truly Hard Seltzer®, Angry Orchard®, and Dogfish Head®. It also has a number of common law trademarks. Several Company trademarks are also registered or have registrations pending in various foreign countries. The Company regards its trademarks 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 and Operating Considerations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committed to strong corporate governance, responsible business practices, and maintaining accountability of its Board and Executive Leadership Team to its stockholders. This commitment is reflected in the Company’s sustainability strategy, which is overseen across both the Board and management teams.</w:t>
      </w:r>
    </w:p>
    <w:p>
      <w:pPr>
        <w:spacing w:after="0" w:line="176"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Since first introducing sustainability disclosures in its 2019 Proxy Statement and formalizing its approach with the inaugural 2021 ESG Report, the Company’s sustainability strategy has continued to evolve. Over the past several years, the Company has placed increasing emphasis on transparency, measurable progress,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accountability. This work continued in 2025 as the Company strengthened its goals and deepened its focus on driving meaningful and lasting impact.</w:t>
      </w:r>
    </w:p>
    <w:p>
      <w:pPr>
        <w:spacing w:after="0" w:line="200" w:lineRule="exact"/>
        <w:rPr>
          <w:sz w:val="20"/>
          <w:szCs w:val="20"/>
          <w:color w:val="auto"/>
        </w:rPr>
      </w:pPr>
    </w:p>
    <w:p>
      <w:pPr>
        <w:ind w:right="1800"/>
        <w:spacing w:after="0" w:line="282" w:lineRule="auto"/>
        <w:rPr>
          <w:sz w:val="20"/>
          <w:szCs w:val="20"/>
          <w:color w:val="auto"/>
        </w:rPr>
      </w:pPr>
      <w:r>
        <w:rPr>
          <w:rFonts w:ascii="Times New Roman" w:cs="Times New Roman" w:eastAsia="Times New Roman" w:hAnsi="Times New Roman"/>
          <w:sz w:val="18"/>
          <w:szCs w:val="18"/>
          <w:color w:val="auto"/>
        </w:rPr>
        <w:t>For more information on the Company's sustainability initiatives and historical reporting, full sustainability reports are available at www.bostonbeer.com/our-impact/sustainability.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27, 2025, the Company had 2,736 coworkers of which 168 were represented by unions or similar organizations. The Company’s Executive Leadership Team (“ELT”) is comprised of the Company's CEO and eight leaders who collectively have management responsibility for the Company's primary business areas, including but not limited to brewing, supply chain operations, sales, marketing, finance, legal, and people and culture. The Company’s Board of Directors and the ELT believe that succession planning, talent management, culture, and diversity, equity, and inclusion are critical to the Company’s continued success.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Succession Planning and Talent Management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regularly reviews talent development and succession plans for each of its functional areas to identify and develop a pipeline of talent to maintain business operations. The Company understands the potential costs and risks of bringing in an outside executive officer in today’s environment, and that businesses are often – but not always – more successful in promoting internal candidates. Accordingly, the Board of Directors and the ELT make efforts to identify potential successors for those positions long in advance of any potential positional vacancies, perform skills gap analyses for those internal candidates, and provide training and exposure on those gap areas to those candidates in order to develop better potential successors. The Board of Directors is primarily responsible for succession planning for the CEO, but also participates in succession planning discussions for other executive officer positions. The Company believes that its culture, compensation structure, long-term equity program, and robust training and development program provide motivation for talented leaders to remain with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 xml:space="preserve">The Company submitted the Section 12(a) CEO Certification to the New York Stock Exchange in accordance with the requirements of Section 303A of the NYSE Listed Company Manual. This Annual Report on Form 10-K contains at Exhibits 31.1 and 31.2 the certifications of the Chief Executive Officer and Chief Financial Officer, respectively, in accordance with the requirements of Section 302 of the Sarbanes-Oxley Act of 2002. The Company makes available free of charge copies of its Annual Report on Form 10-K, as well as other reports required to be filed by Section 13(a) or 15(d) of the Securities Exchange Act of 1934, on the Company’s investor relations website at </w:t>
      </w:r>
      <w:r>
        <w:rPr>
          <w:rFonts w:ascii="Times New Roman" w:cs="Times New Roman" w:eastAsia="Times New Roman" w:hAnsi="Times New Roman"/>
          <w:sz w:val="18"/>
          <w:szCs w:val="18"/>
          <w:i w:val="1"/>
          <w:iCs w:val="1"/>
          <w:color w:val="auto"/>
        </w:rPr>
        <w:t>www.bostonbeer.com</w:t>
      </w:r>
      <w:r>
        <w:rPr>
          <w:rFonts w:ascii="Times New Roman" w:cs="Times New Roman" w:eastAsia="Times New Roman" w:hAnsi="Times New Roman"/>
          <w:sz w:val="18"/>
          <w:szCs w:val="18"/>
          <w:color w:val="auto"/>
        </w:rPr>
        <w:t>, or upon written request to Investor Relations, The Boston Beer Company, Inc., One Design Center Place, Suite 850, Boston, Massachusetts 02210. The information regarding our websites and their content is for convenience only. The content of the Company’s websites is not deemed to be incorporated by reference into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 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Associated with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substantial competition.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Beyond beer and Traditional beer markets within the United States (“US Beer Market”) is highly competitive due to the participation of large domestic and international brewers and the large number of regional and local competitors, who distribute similar products that have similar pricing and target drinkers.</w:t>
      </w:r>
    </w:p>
    <w:p>
      <w:pPr>
        <w:spacing w:after="0" w:line="17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two largest brewers in the United States, AB InBev and Molson Coors, participate actively in the US Beer Market, through numerous offerings including beers, flavored malt beverages, hard seltzers and spirit RTDs. Imported beers, such as Modelo Especial®, Corona®, Heineken®, Guinness®, and Stella Artois®, continue to compete aggressively in the United States and have gained market share over the last ten years. Constellation Brands (owner of the United States distribution rights to Modelo Especial and Corona) and Heineken may have substantially greater financial resources, marketing strength and distribution networks than the Company. The Company anticipates competition will remain strong as existing beverage companies continue adding more SKUs and styles. The potential for growth in the sales of flavored malt beverages, hard seltzers, domestic beers, imported beers and spirits RTDs is expected to increase the competition in the market for Beyond beer and Traditional beer occasions within the United States and, as a result, the Company may well face competitive pricing pressures and the demand for and market share of the Company’s products may fluctuate and possibly decline.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t>The Company’s products compete generally with other alcoholic beverages. The Company competes with other beer and beverage companies not only for drinker acceptance and loyalty, but also for traditional retail shelf, cold box and tap space, as well as e-commerce placement and for marketing focus by the Company’s distributors and their customers, all of which also distribute and sell other alcoholic beverage products. Many of the Company’s competitors, including AB InBev, Molson Coors, Constellation, Heineken and Mark Anthony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Several large non-alcoholic beverage companies including Coke, Pepsi, Monster and Arizona have entered the alcoholic beverage market directly or through licensing agreements with alcoholic beverage companies to develop alcohol versions of existing traditional non-alcohol brands.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the increased leverage that the larger, alcohol and non-alcohol beverage companies may have in distribution and sales and marketing expenses, the costs to the Company of competing could increase. The potential also exists for these large competitors to increase their influence with their Distributors, making it difficult for smaller beverage companies to maintain their market presence or enter new markets. Also, consolidation in the industry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public attitudes and drinker tastes could harm the Company’s business. Regulatory changes in response to public attitudes could adversely affect the Company’s business.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alcoholic beverage industry has been the subject of considerable societal and political attention for several years, due to public concern over alcohol-related social problems, including driving under the influence, underage drinking and health consequences from alcohol and the misuse of alcohol, including alcoholism. More recently, younger generations including Millennials and Gen Z, are embracing moderation or abstinence, influenced by wellness trends and the rise of non-alcoholic alternatives. Some drinkers are embracing the “sober curious” movement, which encourages individuals to question their relationship with alcohol and explore alternatives. As an outgrowth of these concerns, the possibility exists that industry volumes could further decline, advertising by alcoholic beverage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spacing w:after="0" w:line="1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US Beer Market has experienced a decline in shipments over the last ten years. More recently in 2025 these declines accelerated to an approximate decline of 4% in volume. The Company believes that this decline is due to declining alcohol consumption per person in the population, economic uncertainty, health and wellness trends and increased competition from wine, spirits and other beverage companies. If consumption of the Company’s products in general were to come into disfavor among domestic drinkers, or if the domestic alcohol beverage industry were subjected to significant additional societal pressure or governmental regulations, the Company’s business could be materially adversely affected.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many states are considering or have passed laws and regulations that allow the sale and distribution of cannabis and hemp based products. In December 2025, cannabis was reclassified from a Schedule I controlled substance to Schedule III by the federal government, reflecting its recognized medical use and lower potential for abuse. In certain states hemp derived beverages are competing with alcoholic beverages for shelf space and drinkers, despite recent federal regulations which restrict their availability after November 2026. Currently, it is not possible to predict the impact of this on sales of alcohol, but it is possible that legal cannabis and hemp derived beverage consumption could adversely impact the demand for the Company’s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dependent on its distributors.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United States, where approximately 94% of its beverages are sold, the Company sells most of its alcohol beverages to independent beer Distributors for distribution to retailers and, ultimately, to drinkers. Although the Company currently has arrangements with over 300 Distributors, sustained growth will require it to maintain such relationships and possibly enter into agreements with additional Distributors. Changes in control or ownership within the current distribution network could lead to less support of the Company’s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4" w:name="page15"/>
    <w:bookmarkEnd w:id="14"/>
    <w:p>
      <w:pPr>
        <w:ind w:right="140"/>
        <w:spacing w:after="0" w:line="256" w:lineRule="auto"/>
        <w:rPr>
          <w:sz w:val="20"/>
          <w:szCs w:val="20"/>
          <w:color w:val="auto"/>
        </w:rPr>
      </w:pPr>
      <w:r>
        <w:rPr>
          <w:rFonts w:ascii="Times New Roman" w:cs="Times New Roman" w:eastAsia="Times New Roman" w:hAnsi="Times New Roman"/>
          <w:sz w:val="18"/>
          <w:szCs w:val="18"/>
          <w:color w:val="auto"/>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 assurance can be given that the Company will be able to maintain its current distribution network or secure additional Distributors on terms not less favorable to the Company than its current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Company's Business and Operations</w:t>
      </w:r>
    </w:p>
    <w:p>
      <w:pPr>
        <w:spacing w:after="0" w:line="22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the Company will grow its business in the future or that the Company can adapt to the challenges of the changing competitive environment.</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Beginning in the second half of 2021, the market for hard seltzer products experienced decelerating growth trends, which contributed to the Company’s depletion volume decline of 5% in 2022, 6% in 2023 (5% decline on a 52-week comparable basis), 2% in 2024 and 4% in 2025. The slowdown in growth trends greatly impacted the Company's volume of production and shipments, as well as its volume projections for the future. During 2021 through 2024, the volume reductions resulted in increased supply chain related costs. These costs include the destruction of excess inventory, provisions for excess and obsolete inventories, property, plant and equipment impairments, write-offs of third-party production prepayments and provisions for costs associated with the termination of various third-party production contracts.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2026, the Company is targeting a percentage change in shipments and depletion volume of between flat and down mid- single digits. The Company’s ability to meet these targets may be affected by an increasing number of competing beverages. The development of new products by the Company to meet these challenges may lead to reduced sales of the Company’s existing brands and there is no guarantee that these new product initiatives will generate stable long term volume. While the Company believes that a combination of innovation, new brand messaging and the use of traditional and social media, and increased investment in sales execution can lead to increased demand, there is no guarantee 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maintain the current levels of distributor and retailer support of its brands, and fund its current brand investment levels. This could potentially lead to a review of long term organization and capacity needs. Currently, the Company believes it can meet its volume targets in 2026 and return to volume growth in future years, but there is no guarantee its efforts will be successful or profitable.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inability to react to changes in demand could have a material adverse effect on the Company’s operations or financial results.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Historically, during periods of growth, the Company has faced challenges in meeting demand. The challenges were both production constraints, primarily resulting from canning and variety pack capacity limitations, and can supply constraints. During these periods of growth, the Company experienced increased inventory obsolescence, and operational, and freight costs, as it reacted.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a decline in volume over the second half of 2021 through 2025, the Company incurred additional supply chain related costs associated with downsizing its production model to adjust to reduced demand. In recent years, the Company has been able to better match its supply chain to meet demand, but a sudden increase could result in a recurrence of challenges in meeting demand and a sudden decrease could result in other incremental costs. There can be no assurance that the Company will effectively address changing consumer demand or manage increasing product complexity, without experiencing similar issues in the future. Planning failures, operating inefficiencies, insufficient employee training, control deficiencies, or other similar issues could well have a material adverse effect on the Company’s business and financial results. Growth or decline in the Company’s revenues, changes in operating procedures, and increased complexity have required significant capital investment. The Company on an overall basis has yet to see any operating cost leverage from these investments and there is no guarantee that it will.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360"/>
        <w:spacing w:after="0" w:line="289" w:lineRule="auto"/>
        <w:rPr>
          <w:sz w:val="20"/>
          <w:szCs w:val="20"/>
          <w:color w:val="auto"/>
        </w:rPr>
      </w:pPr>
      <w:r>
        <w:rPr>
          <w:rFonts w:ascii="Times New Roman" w:cs="Times New Roman" w:eastAsia="Times New Roman" w:hAnsi="Times New Roman"/>
          <w:sz w:val="17"/>
          <w:szCs w:val="17"/>
          <w:color w:val="auto"/>
        </w:rPr>
        <w:t>The Company has increased the percentage of its domestic volume produced at Company owned breweries from 74% in 2024 to 86% in 2025 and is currently estimating a further increase to over 90% in 2026. Despite these increases, third party-owned production facilities remain a critical part of the Company’s production strategy and the Company is reliant on them, particularly City Brewing Company, LLC, and its subsidiaries, to meet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grow and to meet potentially increasing consumer demand will be affected by:</w:t>
      </w:r>
    </w:p>
    <w:p>
      <w:pPr>
        <w:spacing w:after="0" w:line="22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meet production goals and/or targets at the Company’s owned breweries and third party-owned production facilities;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enter into new production contracts with third party-owned breweries on commercially acceptable terms;</w:t>
      </w:r>
    </w:p>
    <w:p>
      <w:pPr>
        <w:spacing w:after="0" w:line="9" w:lineRule="exact"/>
        <w:rPr>
          <w:rFonts w:ascii="Times New Roman" w:cs="Times New Roman" w:eastAsia="Times New Roman" w:hAnsi="Times New Roman"/>
          <w:sz w:val="18"/>
          <w:szCs w:val="18"/>
          <w:color w:val="auto"/>
        </w:rPr>
      </w:pPr>
    </w:p>
    <w:p>
      <w:pPr>
        <w:ind w:left="1020" w:right="5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other operating performance issues at the Company’s owned breweries or limits on the availability of suitable production capacity at third party-owned production facilities;</w:t>
      </w:r>
    </w:p>
    <w:p>
      <w:pPr>
        <w:ind w:left="1020" w:right="2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sufficient quantities of certain packaging materials and ingredients, such as cans, flavorings, cardboard wraps and glass bottles from suppliers; and</w:t>
      </w:r>
    </w:p>
    <w:p>
      <w:pPr>
        <w:ind w:left="1020" w:right="22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reduce risk of both over and under supply by improving and automating manual internal processes for demand and production planning.</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Company were unable to increase supply to meet increased consumer demand for its products, the Company’s business and financial results could well be adversely affected. Alternatively, if there is a sudden decline in demand for the Company’s products, additional costs and inefficiencies could likely result from efforts to adjust the Company’s production model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advertising and promotional investments may affect the Company’s financial results but not be effective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made and expects to continue to make, significant advertising and promotional expenditures to enhance its existing brands and promote new brands.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During 2025 the Company significantly increased its spending on advertising and promotion by $61.0 million or 13.6% and during 2026 the Company currently estimates it will further increase spending by between $20 million and $40 million.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dependent on key packaging suppliers and an increase in packaging costs could harm the Company’s financial results.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competitive sources for the supply of packaging materials, such as cans, glass and cardboard. The Company enters into limited-term supply agreements with certain vendors in order to receive preferential pricing. In 2024 and 2025, certain flavorings, crowns, and labels were each supplied by single sources. The loss of any of the Company’s packaging materials suppliers could, in the short-term, adversely affect the Company’s results of operations, cash flows and financial position until alternative supply arrangements were secured. Additionally, there has been acquisition, change in control and consolidation activity in several of the packaging supplier networks which could potentially lead to further disruption in supply and changes in economics. If packaging costs continue to increase, there is no guarantee that such costs can be fully passed along through increased prices. The company's long-term supply agreements have varying lengths and terms and there is no guarantee that the economics of these contracts can be replicated when renewed. The Company’s inability to preserve the current economics on renewal could expose the Company to significant cost increases in future years. Some of these contracts require the Company to make commitments on minimum volume of purchases based on Company forecasts. If the Company's needs decline significantly from its forecasts, the Company would likely incur storage costs for excess production or contractual penalties that might be significant and could have a material adverse impact on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dependent on key ingredient suppliers, including foreign sources; its dependence on foreign sources creates foreign currency and tariff exposure for the Company; the Company’s use of natural ingredients creates weather and crop reliability and excess/shortage inventory exposure for the Company.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purchases a substantial portion of the ingredients used in its beverages, including its flavorings, malt, hops, apples, and other ingredients, from a limited number of domestic and foreign suppliers. There can be no assurance that the Company would be able to acquire such ingredients from substitute sources on a timely or cost-effective basis, if current suppliers could not adequately fulfill orders or if tariffs significantly increase costs. The loss or significant reduction in the capability or increase of costs of a supplier to support the Company’s requirements could, in the short-term, adversely affect the Company’s business and financial results, until alternative supply arrangements are secured.</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Company’s beverages include many unique and proprietary flavors and combinations of flavors and some of these flavorings are single sourced. Twisted Tea and Truly Hard Seltzer brand beverages are particularly reliant on the use of flavorings and variety of flavors as part of their appeal to drinkers.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purchased most of the malt used in the production of its beer from four suppliers during 2025. The Company is exposed to the quality of the barley crop each year, and significant failure of a crop would adversely affect the Company’s costs.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stores its hops in multiple cold storage warehouses to minimize the impact of a catastrophe at a single site. The performance and availability of the hops, as with any agricultural product, may be materially adversely affected by factors such as adverse weather or pests and there is no guarantee the contracts will be fulfilled completely. The Company has purchase commitments with seven primary hop dealers and attempts to maintain a one to two-year supply of essential hop varieties on-hand in order to limit the risk of an unexpected reduction in supply and procures hops needed for new beers, based on its best estimate of likely short-term demand. The failure of management’s assumptions regarding future sales growth, product mix and hops market conditions to prove accurate could result in future material losses.</w:t>
      </w:r>
    </w:p>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 government regulations and legislation affecting agriculture, could affect both price and supply.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new product development can also be constrained by any limited availability of the desired ingredients. Growth rates higher than planned or the introduction of new products requiring special ingredients could create demand for ingredients greater than the Company can source.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contracts for certain hops and apples are payable in Euros, and therefore, the Company is subject to the risk that the currencies may fluctuate adversely against the U.S. dollar. The Company has, as a practice, not hedged this exposure, although this practice is regularly reviewed.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exposure to foreign exchange rate and tariff changes. Significant adverse fluctuations in foreign currency exchange rates and increased tariffs may have a material adverse effect on the Company’s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7" w:name="page18"/>
    <w:bookmarkEnd w:id="17"/>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reliance on production facilities owned by others and an inability to leverage investment in the Company-owned breweries could have a material adverse effect on the Company’s operations or financial results.</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2025, the Company produced approximately 86% of its domestic volume at breweries owned by the Company and, as noted above, anticipates producing over 90% of its domestic volume at breweries owned by the Company in 2026. While, on balance, the Company views greater reliance on its own breweries favorably, this reliance on its own breweries exposes the Company to capacity constraints and risk of disruption of supply, as these breweries are operating at or close to current capacity in peak months. As volumes at the Pennsylvania Brewery increase, severe interruptions there would be problematic, particularly during peak seasons. Potential interruptions at breweries include labor issues, governmental action, quality issues, contractual disputes, machinery failures, operational shutdowns, pandemic-related or other staffing shortages, or natural or unavoidable catastrophes. If interruptions were to occur, the Company could face significant delays in starting replacement brewing locations and its operating results could be materially adversely affected.</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continues to avail itself of capacity at third-party production facilities. Also as noted above, during 2025, approximately 14% of the Company’s annual domestic shipment volume was produced under production service agreements with City Brewing Company, LLC and its subsidiaries. To the extent that the Company needs to avail itself of a third-party production services arrangement, it exposes itself to higher than planned costs of operating under such contract arrangements than would apply at the Company-owned breweries, potential lower service levels and reliability than internal production, and potential unexpected declines in the production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production interruption caused by an acquisition or change of control or bankruptcy of City Brewing Company, LLC, or its subsidiaries, or a simultaneous interruption at several of the Company’s other production locations would likely cause significant disruption, increased costs and, potentially, lost sales.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further. At the same time, despite making these expenditures and incurring these costs, if demand were to increase above current volume estimates, the Company could still face the risk of not being able to meet the increased demand.</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attempts to mitigate production and distribution risks through a combination of owned breweries and access to third-party contract production facilities, but there is no guarantee that this strategy will be successful, and it might result in short term costs and inefficiencies which could adversely impact our business and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Turnover in Company leadership or other key positions may lead to loss of key knowledge or capability and adversely impact Company performance.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an experienced leadership team with an established track record of business success and innovation in the beverage and consumer goods industries.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both 2024 and 2025 the Company has had transition of its Chief Executive Officer. The Company has and is likely to experience future changes in key leadership or key positions regularly. The departure of key leadership personnel can take from the Company significant knowledge and experience. This loss of knowledge and experience can be mitigated through successful succession planning or external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current declining growth environment the Company is facing. Failure to attract and retain the right talent, or to manage the transition of responsibilities resulting from such turnover smoothly, would affect the Company's ability to meet its challenges and may cause the Company to miss performance objectives or financial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targets.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significantly increased its product offerings and distribution footprint, which increases complexity and could adversely affect the Company’s performance and financial results.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significantly increased the number of commercially available flavored malt beverages, hard seltzers, beers, hard ciders, and spirits RTDs that it produces. In the last five years, the Company has developed, introduced and reformulated many new and existing beverage styles under the Twisted Tea, Truly Hard Seltzer, Samuel Adams, Dogfish Head, Angry Orchard, Sun Cruiser and Hard Mountain Dew brands. The Company currently operates nine retail locations where its beverages are sold and consumed on-premise, including six brewery tap rooms, an apple orchard and innovation cidery, a restaurant and a boutique inn.</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most significant innovations in 2025 were the introduction of new Sun Cruiser styles and packages including Sun Cruiser vodka based lemonade, as well as the launch of Truly Unruly Lemonade Mix Pack, Dogfish Head Grateful Dead Juicy Pale Ale and Sinless Vodka Cocktails, a new spirits RTD brand. In the first quarter of 2026, the Company is planning to expand Sinless Vodka Cocktails into additional states, launch Twisted Tea Extreme Variety Pack, Samuel Adams Cherry Bomb Ale and Dogfish Head Grateful Dead Citrus Daydream Lager. During the rest of 2026, the Company has plans to add new brands, new beverage styles and may reformulate existing styles of beverages.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additional brands, styles, reformulations and locations, along with the increases in demand for certain existing brands, have added to the complexity of the Company’s product development process, as well as its brewing, fermenting, distilling, packaging, marketing and selling processes, and retail operations. There can be no assurance that the Company will effectively manage such increased complexity, without experiencing coordination issues, operating inefficiencies, supply shortages or control deficiencies. Such inefficiencies or deficiencies could have a material adverse effect on the Company’s business and financial results.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drinker attitudes on brand equity and reliance on the Company’s founders in the Samuel Adams and Dogfish Head brand communications may adversely affect demand for the Company’s production and results of operations.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success of the Company's brands depends upon the positive image that drinkers have of those brands and maintaining a good reputation is critical to selling our branded products. Our reputation could be impacted negatively by public perception, adverse publicity, negative comments in social media, or our responses to negative publicity or comments, either by members of the Company or those who may be affiliated with it.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to these inherent brand risks, C. James Koch, the founder, Chief Executive Officer and Chairman of the Company, as well as the founders of Dogfish Head brand, Samuel Calagione, Founder and Brewer, Dogfish Head Brewery and Mariah Calagione, Founder and Communitarian, Dogfish Head Brewery, are an integral part of the Company’s history, brand equity and current and potential future brand messaging and the Company relies on the positive public perception of these founders. Mariah Calagione has recently retired from the Company effective during 2025. The role of these founders as founders, brewers, leaders or former leaders of the Company is emphasized as part of the Company’s brand communication and has appeal to some drinkers. If these founders were not available to the Company, this could negatively affect the strength of the Company’s messaging and, accordingly, the Company’s growth prospects. The Company and its brands may also be impacted if drinkers’ perceptions of these founders, including their social or political views, were to change negatively. If any negative changes were to occur, the Company might need to adapt its strategy for communicating its key messages regarding its history, equity, and current and potential future brand messaging. Any such change in the Company’s messaging strategy might have a detrimental impact on the future growth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operations are subject to certain operating hazards that could result in unexpected costs or product recalls that could harm the Company’s business.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certain hazards and liability risks faced by all beverage companies, such as potential contamination of ingredients or products by bacteria or other external agents that may be wrongfully or accidentally introduced into products or packaging, or defective packaging and handling. Such occurrences may create bad tasting beverages, or pose health risk to the consumer or risk to the integrity and safety of the packaging. These could result in unexpected costs to the Company and, in the case of a costly product recall, potentially serious damage to the Company’s reputation for product quality, as well as product liability claims.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upon complex information systems and vulnerabilities or disruptions of these systems could expose us to liability and harm our business and operations.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and proprietary information through security breaches. The Company recognizes that many groups on a world-wide basis have experienced increases in security breaches, cyber-attacks, and other hacking activities such as denial of service, malware and ransomware. As with all large information technology systems, the Company’s systems could be penetrated by outside threat actors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 third parties for supply of software, software and data hosting and telecommunications and networking, and is reliant on those third parties for the quality and integrity of these complex services. Failure by a third-party supplier could have material adverse effects on the Company’s ability to operate.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business, and challenges with properly managing its use could result in harm to our brands, reputation, business or customers.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started to implement the use of AI solutions, including machine learning and generative AI tools that collect, aggregate, and analyze data to assist in the development of the Company’s products and in the use of internal tools that support the Company’s business. These applications may become increasingly important in operations over time. This emerging technology presents a number of risks inherent in its use. AI algorithms trained with noisy data may create accuracy issues, unintended biases, and discriminatory outcomes that could harm the Company’s brands, reputation, business, or customers. Additionally, no assurance can be made that the usage of AI will assist the Company in being more efficient.</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 dependence on AI without adequate safeguards to make certain business decisions may introduce additional operational vulnerabilities by producing inaccurate outcomes, recommendations, or other suggestions based on flaws in the underlying data or other unintended results. The Company’s competitors or other third parties may incorporate AI into their business, services, and products more rapidly or more successfully than the Company, which could hinder the Company’s ability to compete effectively and adversely affect the Company’s results of operations. Implementing the use of AI successfully, ethically and as intended, will require significant resources. In addition, the use of AI may increase cybersecurity and data privacy risks, such as intended, unintended, or inadvertent transmission of proprietary or sensitive information. The technologies underlying AI and their use cases are rapidly developing, and it is not possible to predict all of the legal, operational or technological risks related to the use of AI. While new AI initiatives, laws, and regulations are emerging and evolving, uncertainty will remain, and the Company’s obligation to comply with the evolving regulatory landscape could entail significant costs, negatively affect the Company’s business, or limit the Company’s ability to incorporate certain AI capabilities into the Company’s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energy costs could harm the Company’s financial results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shareholder has significant control over the Company.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Class A Common Stock is not entitled to any voting rights except for the right as a class to (1) approve certain mergers, charter amendments and by-law amendments and (2) 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Chairman and Chief Executive Officer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 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Law and Regulations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environmental and other regulations, government shutdowns or failure to comply with existing licensing, trade or other regulations could have a material adverse effect on the Company’s financial condition.</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could prevent new brands or innovations from getting to market on time or at all. Failure to comply with 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been and expects to continue to be adversely impacted by tariff programs</w:t>
      </w:r>
    </w:p>
    <w:p>
      <w:pPr>
        <w:spacing w:after="0" w:line="22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The Company sources some of its goods and services from countries impacted from the tariff programs announced by the U.S. government and these tariffs have had an adverse effect on the Company’s business and financial results. The Company has reviewed its supply chain and business and based on information currently available, the primary impact of these tariffs is higher costs of packaging, ingredients, promotional materials and capital equipment which are currently sourced from Canada, European Union, China, and Mexico. The Company has reported these costs due to tariffs and the impact to its statement of operations in the amount of $11 million in 2025. In 2026, the Company estimates tariff costs will increase to between $20 million and $30 million, primarily because tariffs were effective for only part of 2025, resulting in a partial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impact, while 2026 is expected to reflect a full year of impact if current tariffs remain in place. These tariff cost estimates are based upon tariffs in place prior to the February 20, 2026 Supreme Court ruling. These estimates could materially change and the Company will closely monitor the tariff environment and continue to evaluate and explore opportunities to mitigate these negative impacts but there is no guarantee that these efforts will be effective.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5% of the Company’s revenue is from countries outside the United States with the majority of this revenue in Canada. The Company’s U.S. and international businesses could also be negatively impacted if tariffs result in changes in consumer demand or cause currency related impacts. The Company’s reported amounts and future estimates of the impact of tariff costs do not reflect any potential impacts of tariffs on consumer demand or currency related impacts.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Company will not face litigation that could harm the Company’s business.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from time to time in the past been involved in material litigation. Claims, whether or not meritorious, could be asserted against the Company that might adversely impact the Company’s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General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may be adversely affected by unfavorable economic, financial and societal market conditions.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Volatility, uncertainty, and inflation in the financial markets and economic conditions generally may directly or indirectly affect the Company’s performance and operating results in a variety of ways, including: (a) prices for energy, labor, packaging, ingredients, and agricultural products may rise faster than current estimates, including increases resulting from currency fluctuations; (b) the Company’s key suppliers may not be able to fund their capital requirements, resulting in disruption in the supplies of the Company’s raw and packaging materials; (c) the credit risks of the Company’s Distributors may increase; (d) currency fluctuations may impact amounts owed to the Company by distributors that pay in foreign currencies; (e) the Company’s credit facility, or portion thereof, may become unavailable at a time when needed by the Company to meet critical needs; (f) overall alcoholic beverage consumption may decline; or (g) drinkers of the Company’s products may change their purchase preferences and frequency, which might result in sales declines.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2025 fiscal year, and (3) remain unresolved.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faces motivated and persistent cybersecurity threats from a variety of adversaries on a daily basis. As a manufacturing company dispersed across multiple states supported by a global supply chain, the Company recognizes the critical importance of maintaining the safety and security of its networks and systems, as well as ensuring the confidentiality, integrity, and availability of its data. The Company employs a holistic process for overseeing and managing cybersecurity and information security risks which is supported by both management and its Board of Directors.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described in more detail below, the Company has established policies, standards, processes and practices for assessing, identifying, and managing material risks from cybersecurity threats. The Company has devoted significant financial and personnel resources to implement and maintain security measures to meet regulatory requirements and customer expectations and intends to continue to make significant investments to maintain the security of its data and cybersecurity infrastructure.</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cybersecurity program is led by its Chief Information Security Officer (CISO), who reports to its Director, IT Infrastructure and Architecture. The CISO is responsible for management of cybersecurity risk and the protection and defense of the Company's networks and systems. The CISO manages a team of cybersecurity professionals with broad experience and expertise, including in incident response, forensics, threat intelligence, vulnerability management, and mitigation. The Company's cybersecurity team has processes in place to assess, identify, manage, and address material cybersecurity threats and incidents. These include, among other things: annual and ongoing security awareness training for employees, mechanisms to detect and monitor unusual network and endpoint activity, integrated threat intelligence, and containment and incident response tools. The cybersecurity team also leverages multiple third-party security programs for full-time monitoring of security stacks and on-demand support to act as force multipliers in the event of severe or critical security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ultimate oversight of cybersecurity risk and aids in making decisions with respect to company priorities, resource allocations, and oversight structures. The Board of Directors is assisted by the Audit Committee, which regularly reviews the cybersecurity program with management and reports to the Board of Directors. Cybersecurity reviews by the Audit Committee or the Board of Directors generally occur at least once annually, or more frequently as determined to be necessary or advisable.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approach to cybersecurity risk management includes the following key elements:</w:t>
      </w:r>
    </w:p>
    <w:p>
      <w:pPr>
        <w:spacing w:after="0" w:line="223" w:lineRule="exact"/>
        <w:rPr>
          <w:sz w:val="20"/>
          <w:szCs w:val="20"/>
          <w:color w:val="auto"/>
        </w:rPr>
      </w:pPr>
    </w:p>
    <w:p>
      <w:pPr>
        <w:ind w:left="1020" w:hanging="503"/>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Multi-Layered Defense and Continuous Monitoring. </w:t>
      </w:r>
      <w:r>
        <w:rPr>
          <w:rFonts w:ascii="Times New Roman" w:cs="Times New Roman" w:eastAsia="Times New Roman" w:hAnsi="Times New Roman"/>
          <w:sz w:val="18"/>
          <w:szCs w:val="18"/>
          <w:color w:val="auto"/>
        </w:rPr>
        <w:t>The Company works to protect its computing environments and products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threats through multi-layered defenses and apply lessons learned from its defense and monitoring efforts to proactively prevent future attacks. The Company utilizes best-in-class SIEM technologies, data analytics and threat intelligence to detect anomalies and search for cyber threats. The Company's internal cybersecurity team and third-party security services provide comprehensive cyber threat detection and response capabilities and maintain a full-time monitoring system which complements the technology, processes and threat detection techniques we use to monitor, manage and mitigate cybersecurity threats. From time to time, the Company engages third-party consultants or other advisors to assist in assessing, identifying and/or managing cybersecurity threats and also periodically uses its Internal Audit function to conduct additional reviews and assessments.</w:t>
      </w:r>
    </w:p>
    <w:p>
      <w:pPr>
        <w:spacing w:after="0" w:line="2"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Assessments. </w:t>
      </w:r>
      <w:r>
        <w:rPr>
          <w:rFonts w:ascii="Times New Roman" w:cs="Times New Roman" w:eastAsia="Times New Roman" w:hAnsi="Times New Roman"/>
          <w:sz w:val="18"/>
          <w:szCs w:val="18"/>
          <w:color w:val="auto"/>
        </w:rPr>
        <w:t>The Company conducts information security assessments before sharing or allowing the hosting of sensitive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 computing environments managed by third parties, and its standard terms and conditions contain contractual provisions requiring certain security protections.</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The Company conducts monthly attack simulations across the Company and provide awareness training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coworkers to help identify, avoid and mitigate cybersecurity threats. Employees with network access participate annually in required training, including spear phishing, malware, access control, and other awareness training. The Company also periodically hosts tabletop exercises with management and other employees to practice rapid cyber incident response;</w:t>
      </w:r>
    </w:p>
    <w:p>
      <w:pPr>
        <w:spacing w:after="0" w:line="1" w:lineRule="exact"/>
        <w:rPr>
          <w:rFonts w:ascii="Times New Roman" w:cs="Times New Roman" w:eastAsia="Times New Roman" w:hAnsi="Times New Roman"/>
          <w:sz w:val="18"/>
          <w:szCs w:val="18"/>
          <w:color w:val="auto"/>
        </w:rPr>
      </w:pPr>
    </w:p>
    <w:p>
      <w:pPr>
        <w:ind w:left="1020" w:right="40" w:hanging="503"/>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The Company requires its suppliers to comply with its standard information security terms and conditions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of doing business, and requires them to complete information security questionnaires to review and assess any potential cyber-related risks depending on the nature of the services being provided. The Company also monitors supplier network access to its networks and systems.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the Company has experienced minor cybersecurity incidents in the past, to date none have materially affected the Company or its financial position, results of operations and/or cash flows. The Company continues to invest in the cybersecurity and resiliency of its networks and to enhance its internal controls and processes, which are designed to help protect its systems, infrastructure, and the information they contain.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maintains its principal corporate offices in approximately 57,623 square feet of leased space located in Boston, Massachusetts, the term of which is set to expire in February 2031.</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43,000 square feet of space in Boston, Massachusetts, on which it maintains a Samuel Adams Boston Brewery brand tap room and tour center. The current term of the lease for this facility will expire in 2034, although it has an option to extend the term for an additional fifteen years in five-year increments.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6,666 square feet of space in Boston, Massachusetts, on which it maintains a research and development site. The current term of the lease for this facility will expire in 2026, although it has an option to renew for one (1) additional period of five (5) years and, thereafter, one (1) additional period of three (3) years.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9,000 square feet of space in Boston, Massachusetts, on which it maintains a Samuel Adams brand tap room and small brewery. The current term of the lease for this facility will expire in 2028, although it has two options to extend the term for an additional 5 years.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owns approximately 76 acres of land in Breinigsville, Pennsylvania, consisting of three parcels on which the Company’s Pennsylvania Brewery is located. The buildings on this property consist of approximately 1 million square feet of brewery and warehouse space.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585,000 square feet of space in Alburtis, PA, on which it maintains a warehouse for raw and finished goods. The current lease for this facility will expire January 2027, although it has an option to renew for one (1) five-year extension.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owns approximately 12 acres of land in Cincinnati, Ohio, on which the Company’s Cincinnati Brewery is located, and leases, with an option to purchase, approximately 0.75 acre of land from 3rd party investment group which abuts its property. The buildings on this property consist of approximately 128,500 square feet of brewery and warehouse space.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10,000 square feet of space in Cincinnati, Ohio, on which it maintains a Samuel Adams brand tap room and small brewery. The current term of the lease for this facility will expire in 2028.</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owns approximately 64 acres of land in Walden, New York, consisting of an apple orchard and buildings, including a small cidery, gift shop, and tour center. The buildings on this property consist of approximately 17,650 square feet of space.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owns approximately 57 acres of land in Milton, Delaware, on which the Company’s Milton Brewery is located. The buildings on this property consist of approximately 150,000 square feet of brewery and warehouse space.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owns approximately 0.5 acre of land in Lewes, Delaware, on which the Company’s Dogfish Head Inn is located. The buildings on this property consists of approximately 8,400 square feet of space.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14,000 square feet of space in Rehoboth, Delaware, on which it maintains Dogfish Head Brewings and Eats, a tap room, gift shop, small brewery and distillery, and the Chesapeake &amp; Maine restaurant. The current term of the lease for this facility will expire in 2029.</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48,650 square feet of space in Los Angeles, California, on which it maintains an Angel City Brewery branded tap room, small brewery, and tour center. The current term of the lease for this facility will expire in 2026. The Company announced it will not renew the lease and close the Angel City Brewery effective April 30, 2026.</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under a development agreement, has access to approximately 900 square feet of space in Windsor, Ontario, on which it maintains a cannabis research and development facility. The current term of the agreement for this facility will expire in 2026.</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also leases small offices in Burlington, Vermont, Montreal, Quebec, and Toronto, Ontario as well as various warehousing facilities across the United States and Canada.</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believes that its facilities are adequate for its current needs and that suitable additional space will be available on commercially acceptable terms as required.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party to legal proceedings and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Supplier Dispute. </w:t>
      </w:r>
      <w:r>
        <w:rPr>
          <w:rFonts w:ascii="Times New Roman" w:cs="Times New Roman" w:eastAsia="Times New Roman" w:hAnsi="Times New Roman"/>
          <w:sz w:val="18"/>
          <w:szCs w:val="18"/>
          <w:color w:val="auto"/>
        </w:rPr>
        <w:t>On December 31, 2022, Ardagh Metal Packaging USA Corp. (“Ardagh”) filed an action against the Company alleging, among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things, that the Company had failed or would fail to purchase contractual minimum volumes of certain aluminum beverage can containers in 2021 to 2026. The Company filed an Amended Answer, Amended Affirmative Defenses and Amended Counterclaims on March 25, 2024. 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Following briefing by the parties, on June 17, 2024, the Court granted the Company's Motion to Reconsider, denied Ardagh's Motion for Judgment on the Pleadings, and vacated its February 26, 2024 Order. The Court set a fact discovery deadline of November 25, 2024. The Court also set an expert discovery deadline of May 30, 2025. Ardagh has filed a Motion for Partial Summary Judgment on certain liability issues. The Company also has filed a Motion for Partial Summary judgment on certain liability and damage issues. The Court has set a trial date to commence on March 23, 2026. The Company denies that it breached the terms of the parties’ contract and intends to defend against the Ardagh claims vigorously. The possible outcome of this litigation could range from zero to the level of Ardagh's initial demand of over/approximately $300 million plus interest if applied.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graph set forth below shows the value of an investment of $100 on December 26, 2020 in each of the Company’s stock (“The Boston Beer Company, Inc.”), the Standard &amp; Poor’s 500 Index (“S&amp;P 500 Index”) and the Standard &amp; Poor’s 500 Beverage Index, which consists of producers of alcoholic and non-alcoholic beverages (“S&amp;P 500 Beverages Index”) for the five years ending December 27,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Return to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reinvestment of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1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ANNUAL RETURN PERCENTAGE</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50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6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10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Years Ended</w:t>
            </w:r>
          </w:p>
        </w:tc>
        <w:tc>
          <w:tcPr>
            <w:tcW w:w="9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12/28/2024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12/27/2025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12/30/2023</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The Boston Beer Company, Inc.</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(48.29)</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(37.22)</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4.88</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(12.87)</w:t>
            </w:r>
          </w:p>
        </w:tc>
        <w:tc>
          <w:tcPr>
            <w:tcW w:w="12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(34.56)</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S&amp;P 500 Index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29.44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12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S&amp;P 500 Beverages Index</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14.51</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12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340"/>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880" w:type="dxa"/>
            <w:vAlign w:val="bottom"/>
            <w:gridSpan w:val="4"/>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220" w:type="dxa"/>
            <w:vAlign w:val="bottom"/>
          </w:tcPr>
          <w:p>
            <w:pPr>
              <w:spacing w:after="0"/>
              <w:rPr>
                <w:sz w:val="9"/>
                <w:szCs w:val="9"/>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12/30/2023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12/28/2024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12/27/2025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12/26/2020</w:t>
            </w:r>
          </w:p>
        </w:tc>
        <w:tc>
          <w:tcPr>
            <w:tcW w:w="220" w:type="dxa"/>
            <w:vAlign w:val="bottom"/>
          </w:tcPr>
          <w:p>
            <w:pPr>
              <w:spacing w:after="0"/>
              <w:rPr>
                <w:sz w:val="15"/>
                <w:szCs w:val="15"/>
                <w:color w:val="auto"/>
              </w:rPr>
            </w:pPr>
          </w:p>
        </w:tc>
        <w:tc>
          <w:tcPr>
            <w:tcW w:w="88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The Boston Beer Company, Inc.</w:t>
            </w:r>
          </w:p>
        </w:tc>
        <w:tc>
          <w:tcPr>
            <w:tcW w:w="1200" w:type="dxa"/>
            <w:vAlign w:val="bottom"/>
            <w:gridSpan w:val="5"/>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51.71</w:t>
            </w:r>
          </w:p>
        </w:tc>
        <w:tc>
          <w:tcPr>
            <w:tcW w:w="90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32.47</w:t>
            </w:r>
          </w:p>
        </w:tc>
        <w:tc>
          <w:tcPr>
            <w:tcW w:w="1180" w:type="dxa"/>
            <w:vAlign w:val="bottom"/>
            <w:gridSpan w:val="5"/>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34.05</w:t>
            </w:r>
          </w:p>
        </w:tc>
        <w:tc>
          <w:tcPr>
            <w:tcW w:w="1140" w:type="dxa"/>
            <w:vAlign w:val="bottom"/>
            <w:gridSpan w:val="4"/>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29.67</w:t>
            </w:r>
          </w:p>
        </w:tc>
        <w:tc>
          <w:tcPr>
            <w:tcW w:w="118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S&amp;P 500 Index</w:t>
            </w:r>
          </w:p>
        </w:tc>
        <w:tc>
          <w:tcPr>
            <w:tcW w:w="1200" w:type="dxa"/>
            <w:vAlign w:val="bottom"/>
            <w:gridSpan w:val="5"/>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8"/>
              </w:rPr>
              <w:t>129.44</w:t>
            </w:r>
          </w:p>
        </w:tc>
        <w:tc>
          <w:tcPr>
            <w:tcW w:w="9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106.92</w:t>
            </w:r>
          </w:p>
        </w:tc>
        <w:tc>
          <w:tcPr>
            <w:tcW w:w="1180" w:type="dxa"/>
            <w:vAlign w:val="bottom"/>
            <w:gridSpan w:val="5"/>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135.03</w:t>
            </w:r>
          </w:p>
        </w:tc>
        <w:tc>
          <w:tcPr>
            <w:tcW w:w="114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171.36</w:t>
            </w:r>
          </w:p>
        </w:tc>
        <w:tc>
          <w:tcPr>
            <w:tcW w:w="11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201.43</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S&amp;P 500 Beverages Index</w:t>
            </w:r>
          </w:p>
        </w:tc>
        <w:tc>
          <w:tcPr>
            <w:tcW w:w="1200" w:type="dxa"/>
            <w:vAlign w:val="bottom"/>
            <w:gridSpan w:val="5"/>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8"/>
              </w:rPr>
              <w:t>114.51</w:t>
            </w:r>
          </w:p>
        </w:tc>
        <w:tc>
          <w:tcPr>
            <w:tcW w:w="90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124.74</w:t>
            </w:r>
          </w:p>
        </w:tc>
        <w:tc>
          <w:tcPr>
            <w:tcW w:w="1180" w:type="dxa"/>
            <w:vAlign w:val="bottom"/>
            <w:gridSpan w:val="5"/>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122.27</w:t>
            </w:r>
          </w:p>
        </w:tc>
        <w:tc>
          <w:tcPr>
            <w:tcW w:w="1140" w:type="dxa"/>
            <w:vAlign w:val="bottom"/>
            <w:gridSpan w:val="4"/>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121.18</w:t>
            </w:r>
          </w:p>
        </w:tc>
        <w:tc>
          <w:tcPr>
            <w:tcW w:w="1180" w:type="dxa"/>
            <w:vAlign w:val="bottom"/>
            <w:gridSpan w:val="3"/>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137160</wp:posOffset>
            </wp:positionV>
            <wp:extent cx="5366385" cy="3257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6638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Class A Common Stock is listed for trading on the New York Stock Exchange under the symbol SAM.</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There were 6,292 holders of record of the Company’s Class A Common Stock as of February 20, 2026. Excluded from the number of stockholders of record are stockholders who hold shares in “nominee” or “street” name. The closing price per share of the Company’s Class A Common Stock as of February 20, 2026, as reported under the New York Stock Exchange-Composite Transaction Reporting System, was $235.00.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27, 2025, the Company had 22,700,000 authorized shares of Class A Common Stock with a par value of $0.01, of which 8,438,651 were issued and outstanding, which includes 30,193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 rights senior to Class A Common Stock, (b) alterations of rights or terms of the Class A or Class B Common Stock as set forth in the Articles of Organization of the Company, (c) certain other amendments of the Articles of Organization of the Company, (d) certain mergers or consolidations with, or acquisitions of, other entities, and (e) sales or dispositions of any significant portion of the Company’s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27, 2025, the Company had 4,200,000 authorized shares of Class B Common Stock with a par value of $0.01, of which 2,068,000 shares were issued and outstanding. 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 Class B Common Stock is freely convertible into one share of Class A Common Stock, upon request of any Class B holder.</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February 20, 2026, C. James Koch, the Company’s Chairman and Chief Executive Officer, was the direct holder of record of all of the Company’s issued and outstanding Class B Common Stock.</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Class A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As of December 27, 2025, the Company had repurchased a cumulative total of approximately 15.8 million shares of its Class A Common Stock for an aggregate purchase price of approximately $1.37 billion and had approximately $228.4 million remaining on the $1.6 billion stock repurchase expenditure limit set by the Board of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ind w:right="20"/>
        <w:spacing w:after="0" w:line="266" w:lineRule="auto"/>
        <w:rPr>
          <w:sz w:val="20"/>
          <w:szCs w:val="20"/>
          <w:color w:val="auto"/>
        </w:rPr>
      </w:pPr>
      <w:r>
        <w:rPr>
          <w:rFonts w:ascii="Times New Roman" w:cs="Times New Roman" w:eastAsia="Times New Roman" w:hAnsi="Times New Roman"/>
          <w:sz w:val="18"/>
          <w:szCs w:val="18"/>
          <w:color w:val="auto"/>
        </w:rPr>
        <w:t>During fiscal year 2025, the Company repurchased and subsequently retired 896,521 shares of its Class A Common Stock for an aggregate purchase price of $199.2 million. Additionally, the Company repurchased 1,399 shares of its Class A Common Stock for repurchases of unvested investment shares issued under the Investment Share Program of the Company’s Employee Equity Incentive Plan, as illustrated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December 29, 2024 - February 1, 2025</w:t>
            </w:r>
          </w:p>
        </w:tc>
        <w:tc>
          <w:tcPr>
            <w:tcW w:w="18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67,075</w:t>
            </w:r>
          </w:p>
        </w:tc>
        <w:tc>
          <w:tcPr>
            <w:tcW w:w="5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265.00</w:t>
            </w:r>
          </w:p>
        </w:tc>
        <w:tc>
          <w:tcPr>
            <w:tcW w:w="19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66,968</w:t>
            </w:r>
          </w:p>
        </w:tc>
        <w:tc>
          <w:tcPr>
            <w:tcW w:w="4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409,783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2, 2025 - March 1, 2025</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65,019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235.84</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65,011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394,450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March 2, 2025 - March 29, 2025</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69,531</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232.87</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69,268</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378,310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March 30, 2025 - May 3, 2025</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79,815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241.65</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79,728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May 4, 2025 - May 31, 2025</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63,971</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239.62</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June 1, 2025 - June 28, 2025</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73,918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207.69</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73,728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328,383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29, 2025 - August 2, 2025</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96,929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200.07</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96,733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August 3, 2025 - August 30, 2025</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73,723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219.18</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292,882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August 31, 2025 - September 27, 2025</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65,755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220.54</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65,715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28,2025 - November 1, 2025</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91,690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220.11</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91,617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November 2, 2025 - November 29, 2025</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77,306</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198.80</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77,038</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November 30, 2025 - December 27, 2025</w:t>
            </w:r>
          </w:p>
        </w:tc>
        <w:tc>
          <w:tcPr>
            <w:tcW w:w="100" w:type="dxa"/>
            <w:vAlign w:val="bottom"/>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73,188</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198.08</w:t>
            </w:r>
          </w:p>
        </w:tc>
        <w:tc>
          <w:tcPr>
            <w:tcW w:w="220" w:type="dxa"/>
            <w:vAlign w:val="bottom"/>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73,187</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897,920</w:t>
            </w:r>
          </w:p>
        </w:tc>
        <w:tc>
          <w:tcPr>
            <w:tcW w:w="5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222.03</w:t>
            </w:r>
          </w:p>
        </w:tc>
        <w:tc>
          <w:tcPr>
            <w:tcW w:w="19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896,521</w:t>
            </w:r>
          </w:p>
        </w:tc>
        <w:tc>
          <w:tcPr>
            <w:tcW w:w="4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228,383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27, 2025 includes a discussion and analysis of our financial condition and results of operations for the years ended December 28, 2024 and December 30, 2023 in Item 7 of Part II,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Boston Beer Company is engaged in the business of producing and selling alcohol beverages primarily in the domestic market and, to a lesser extent, in selected international markets. The Company’s revenues are primarily derived by selling its beverages to Distributors, who in turn sell the products to retailers and drinkers.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competes primarily in the combined Beyond beer and Traditional beer market ("US Beer Market"). Beyond beer includes flavored malt beverages, hard seltzer, hard cider, spirits based ready to drink beverages (“spirits RTDs”) and other emerging beverages. Traditional beer generally includes mass domestics, imports, domestic specialties and craft beer.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27, 2025 (52 weeks) Compared to Year Ended December 28, 2024 (52 weeks)</w:t>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(in thousands, except per barrel)</w:t>
      </w:r>
    </w:p>
    <w:tbl>
      <w:tblPr>
        <w:tblLayout w:type="fixed"/>
        <w:tblInd w:w="0" w:type="dxa"/>
        <w:tblCellMar>
          <w:top w:w="0" w:type="dxa"/>
          <w:left w:w="0" w:type="dxa"/>
          <w:bottom w:w="0" w:type="dxa"/>
          <w:right w:w="0" w:type="dxa"/>
        </w:tblCellMar>
      </w:tblPr>
      <w:tr>
        <w:trPr>
          <w:trHeight w:val="117"/>
        </w:trPr>
        <w:tc>
          <w:tcPr>
            <w:tcW w:w="2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 27</w:t>
            </w: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 28</w:t>
            </w: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3"/>
                <w:szCs w:val="13"/>
                <w:b w:val="1"/>
                <w:bCs w:val="1"/>
                <w:color w:val="auto"/>
              </w:rPr>
              <w:t>Per</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barrel</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barrel</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Barrels sold</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7,140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7,493</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(353)</w:t>
            </w:r>
          </w:p>
        </w:tc>
        <w:tc>
          <w:tcPr>
            <w:tcW w:w="9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Per</w:t>
            </w:r>
          </w:p>
        </w:tc>
        <w:tc>
          <w:tcPr>
            <w:tcW w:w="108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Per</w:t>
            </w:r>
          </w:p>
        </w:tc>
        <w:tc>
          <w:tcPr>
            <w:tcW w:w="108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1,964,9</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275.21</w:t>
            </w:r>
          </w:p>
        </w:tc>
        <w:tc>
          <w:tcPr>
            <w:tcW w:w="220" w:type="dxa"/>
            <w:vAlign w:val="bottom"/>
            <w:shd w:val="clear" w:color="auto" w:fill="CFF0FC"/>
          </w:tcPr>
          <w:p>
            <w:pPr>
              <w:spacing w:after="0"/>
              <w:rPr>
                <w:sz w:val="10"/>
                <w:szCs w:val="10"/>
                <w:color w:val="auto"/>
              </w:rPr>
            </w:pPr>
          </w:p>
        </w:tc>
        <w:tc>
          <w:tcPr>
            <w:tcW w:w="10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2,012,9</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268.64</w:t>
            </w:r>
          </w:p>
        </w:tc>
        <w:tc>
          <w:tcPr>
            <w:tcW w:w="220" w:type="dxa"/>
            <w:vAlign w:val="bottom"/>
            <w:shd w:val="clear" w:color="auto" w:fill="CFF0FC"/>
          </w:tcPr>
          <w:p>
            <w:pPr>
              <w:spacing w:after="0"/>
              <w:rPr>
                <w:sz w:val="10"/>
                <w:szCs w:val="10"/>
                <w:color w:val="auto"/>
              </w:rPr>
            </w:pPr>
          </w:p>
        </w:tc>
        <w:tc>
          <w:tcPr>
            <w:tcW w:w="10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(47,932)</w:t>
            </w: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2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4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300" w:type="dxa"/>
            <w:vAlign w:val="bottom"/>
            <w:gridSpan w:val="2"/>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gridSpan w:val="2"/>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1,012,4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141.79</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1,119,1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149.36</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(106,78</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(7.57)</w:t>
            </w: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952,580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133.41</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48.5%</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893,732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119.27</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58,848</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26"/>
        </w:trPr>
        <w:tc>
          <w:tcPr>
            <w:tcW w:w="2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Advertising, promotional, and selling</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609,953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552,033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73.67</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57,920</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20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1"/>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190,790</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220" w:type="dxa"/>
            <w:vAlign w:val="bottom"/>
            <w:shd w:val="clear" w:color="auto" w:fill="CFF0FC"/>
          </w:tcPr>
          <w:p>
            <w:pPr>
              <w:spacing w:after="0"/>
              <w:rPr>
                <w:sz w:val="10"/>
                <w:szCs w:val="10"/>
                <w:color w:val="auto"/>
              </w:rPr>
            </w:pPr>
          </w:p>
        </w:tc>
        <w:tc>
          <w:tcPr>
            <w:tcW w:w="10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189,906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220" w:type="dxa"/>
            <w:vAlign w:val="bottom"/>
            <w:shd w:val="clear" w:color="auto" w:fill="CFF0FC"/>
          </w:tcPr>
          <w:p>
            <w:pPr>
              <w:spacing w:after="0"/>
              <w:rPr>
                <w:sz w:val="10"/>
                <w:szCs w:val="10"/>
                <w:color w:val="auto"/>
              </w:rPr>
            </w:pPr>
          </w:p>
        </w:tc>
        <w:tc>
          <w:tcPr>
            <w:tcW w:w="10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2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0.97</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settlement costs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807,698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113.12</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41.1%</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817,759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109.14</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(10,061)</w:t>
            </w:r>
          </w:p>
        </w:tc>
        <w:tc>
          <w:tcPr>
            <w:tcW w:w="9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3.98</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68,909</w:t>
            </w: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8,578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(3,051)</w:t>
            </w: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9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 provision</w:t>
            </w: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21.49</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87,602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65,858</w:t>
            </w: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9.80</w:t>
            </w:r>
          </w:p>
        </w:tc>
        <w:tc>
          <w:tcPr>
            <w:tcW w:w="20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44,991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17,084</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108,469</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7.97</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48,774</w:t>
            </w: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7.22</w:t>
            </w:r>
          </w:p>
        </w:tc>
        <w:tc>
          <w:tcPr>
            <w:tcW w:w="20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-325120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-325120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-325120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-325120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-325120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-325120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-325120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-325120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-325120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-325120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-128270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-128270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-128270</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-128270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-128270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-128270</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-128270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-128270</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-128270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revenue. </w:t>
      </w:r>
      <w:r>
        <w:rPr>
          <w:rFonts w:ascii="Times New Roman" w:cs="Times New Roman" w:eastAsia="Times New Roman" w:hAnsi="Times New Roman"/>
          <w:sz w:val="18"/>
          <w:szCs w:val="18"/>
          <w:color w:val="auto"/>
        </w:rPr>
        <w:t>Net revenue decreased by $47.9 million, or 2.4%, to $1,965.0 million for the year ended December 27, 2025, as compared to $2,012.9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year ended December 28, 2024, primarily due to decreased sales volume impacts of $94.8 million, partially offset by increased pricing of $27.1 million, and favorable product mix of $19.1 million.</w:t>
      </w:r>
    </w:p>
    <w:p>
      <w:pPr>
        <w:spacing w:after="0" w:line="17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Total shipment volume of 7,140,000 barrels for the year ended December 27, 2025 decreased by 4.7% over 2024 levels of 7,493,000 barrels,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Twisted Tea, Truly Hard Seltzer and Samuel Adams brands that were only partially offset by growth in the Company’s Sun Cruiser, Angry Orchard and Dogfish Head brands.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Depletions of the Company’s products for the year ended December 27, 2025 decreased by approximately 4% compared to the prior year.</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believes distributor inventory as of December 27, 2025 was at appropriate levels and averaged approximately four weeks on hand which is within the Company’s target wholesaler inventory levels.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 per barrel. </w:t>
      </w:r>
      <w:r>
        <w:rPr>
          <w:rFonts w:ascii="Times New Roman" w:cs="Times New Roman" w:eastAsia="Times New Roman" w:hAnsi="Times New Roman"/>
          <w:sz w:val="18"/>
          <w:szCs w:val="18"/>
          <w:color w:val="auto"/>
        </w:rPr>
        <w:t>The net revenue per barrel increased by 2.4% to $275.21 per barrel for the year ended December 27, 2025, as compared to $268.64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barrel for the year ended December 28, 2024, primarily due to price increases and favorable product mix.</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0" w:name="page31"/>
    <w:bookmarkEnd w:id="30"/>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was $141.79 per barrel for the fifty-two weeks ended December 27, 2025, as compared to $149.36 per barrel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fifty-two weeks ended December 28, 2024. The 2025 decrease in cost of goods sold of $7.57 per barrel, or 5.1% was primarily due to contract renegotiations and recipe optimization savings of $37.4 million, or $5.24 per barrel, improved brewery efficiencies of $34.1 million, or $4.78 per barrel, decreases in inventory obsolescence of $10.3 million, or $1.44 per barrel and lower third-party production costs of $9.6 million, or $1.34 per barrel, partially offset by inflationary impacts, including tariffs, of $36.8 million, or $5.15 per barrel.</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Inflationary impacts of $36.8 million consist primarily of increased raw material costs of $30.5 million, inclusive of $10.1 million impact from tariffs, and increased internal brewery costs of $6.3 million.</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Gross profit was $133.41 per barrel for the year ended December 27, 2025, as compared to $119.27 per barrel for the year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 2024. Gross margin was 48.5% for the year ended December 27, 2025, as compared to 44.4% for the year ended December 28, 2024. Gross margin primarily benefited from contract renegotiations and recipe optimization savings, improved brewery efficiencies, price increases and favorable product mix. These benefits were partially offset by increased inflationary and tariff costs.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Advertising, promotional, and selling expenses. </w:t>
      </w:r>
      <w:r>
        <w:rPr>
          <w:rFonts w:ascii="Times New Roman" w:cs="Times New Roman" w:eastAsia="Times New Roman" w:hAnsi="Times New Roman"/>
          <w:sz w:val="18"/>
          <w:szCs w:val="18"/>
          <w:color w:val="auto"/>
        </w:rPr>
        <w:t>Advertising, promotional and selling expenses, increased $57.9 million, or 10.5%, to $610.0 million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27, 2025, as compared to $552.0 million for the year ended December 28, 2024. The increase was primarily driven by higher</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media spend of $27.0 million, increased local marketing of $10.7 million, higher production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 costs of $7.6 million, increased</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of $5.9 million, increased national promotions of $4.3 million, and higher salaries and benefits of $4.3 million. These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partially offset by a $3.0 million reduction in freight costs due to lower volumes.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promotional and selling expenses were 31.0% of net revenue, or $85.43 per barrel, for the year ended December 27, 2025, as compared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27.4% of net revenue, or $73.67 per barrel, for the year ended December 28, 2024. The Company will invest in advertising and promotional campaigns that it believes are effective, but there is no guarantee that such investment will generate sales growth.</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approximately 2% of net sales. The Company may adjust its promotional efforts in the Distributors’ markets, if changes occur in these promotional contribution arrangements, depending on the industry and market conditions.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$0.9 million, or 0.5%, to $190.8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27, 2025, as compared to $189.9 million for the comparable period in 2024. The increase was primarily due to higher salaries and benefits costs.</w:t>
      </w:r>
    </w:p>
    <w:p>
      <w:pPr>
        <w:spacing w:after="0" w:line="155" w:lineRule="exact"/>
        <w:rPr>
          <w:sz w:val="20"/>
          <w:szCs w:val="20"/>
          <w:color w:val="auto"/>
        </w:rPr>
      </w:pPr>
    </w:p>
    <w:p>
      <w:pPr>
        <w:ind w:right="160"/>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Impairment of intangible assets. </w:t>
      </w:r>
      <w:r>
        <w:rPr>
          <w:rFonts w:ascii="Times New Roman" w:cs="Times New Roman" w:eastAsia="Times New Roman" w:hAnsi="Times New Roman"/>
          <w:sz w:val="18"/>
          <w:szCs w:val="18"/>
          <w:color w:val="auto"/>
        </w:rPr>
        <w:t>In fiscal 2025, the Company recorded no impairment charges related to intangible assets. In fiscal 2024,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a $42.6 million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($29.1 million net of tax) primarily related to the Dogfish Head brand, based on the Company’s annual impairment assessment performed as of September 1, 2024. Beginning in the fourth quarter of fiscal 2024, the Company commenced amortization of the remaining Dogfish Head intangible asset over an estimated useful life of 10 years.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of brewery assets. </w:t>
      </w:r>
      <w:r>
        <w:rPr>
          <w:rFonts w:ascii="Times New Roman" w:cs="Times New Roman" w:eastAsia="Times New Roman" w:hAnsi="Times New Roman"/>
          <w:sz w:val="18"/>
          <w:szCs w:val="18"/>
          <w:color w:val="auto"/>
        </w:rPr>
        <w:t>Impairment of brewery assets of $7.0 million decreased by $0.2 million from the prior fiscal year, due to lower write-offs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equipment at third party and Company-owned production facilities.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settlement costs. </w:t>
      </w:r>
      <w:r>
        <w:rPr>
          <w:rFonts w:ascii="Times New Roman" w:cs="Times New Roman" w:eastAsia="Times New Roman" w:hAnsi="Times New Roman"/>
          <w:sz w:val="18"/>
          <w:szCs w:val="18"/>
          <w:color w:val="auto"/>
        </w:rPr>
        <w:t>The Company did not record any contract settlement costs in fiscal 2025. In fiscal 2024, the Company recorded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costs of $26 million due to an amendment and restatement in its entirety of an existing production agreement with a third-party supplier, Rauch. This amendment adjusted the existing production agreement to better match the Company’s future capacity requirements and results in increased production flexibility and more favorable termination rights to the Company.</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The Company’s effective tax rate for fiscal 2025 was 29.3% compared to 31.9% in fiscal 2024, primarily due to higher pre-tax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and a lower negative impact of non-deductible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and investment in the Company’s business through capital expenditures.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to $223.4 million as of December 27, 2025 from $211.8 million as of December 28, 2024, primarily reflecting net cash provided by operating activities, partially offset by repurchases of the Company's Class A common stock, and purchases of property, plant, and equipment.</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adjusted for certain non-cash items, such as depreciation and amortization, impairment of intangible assets, stock-based compensation expense, other non-cash items included in operating results, and changes in operating assets and liabilities, such as accounts receivable, inventory, prepaid expenses and other current assets, accounts payable, and accrued expenses.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27, 2025 was $270.2 million and consisted of net income of $108.5 million, non-cash items of $114.7 million, and an inflow of $47.0 million from a net decrease in operating assets and liabilities. The inventory decrease of $23.4 million is primarily due to lower volumes and improved supply chain performance. The accrued expenses and other current liabilities increase of $15.6 million is primarily due to increases in accrued contract manufacturing shortfall fees compared to the prior year. The third-party production prepayments decrease of $7.4 million is due to a full year amortization of these prepayments during 2025, decreasing the prepaid balance from $14.5 million as of December 28, 2024 to $7.1 million as of December 27, 2025.</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28, 2024 was $248.9 million and consisted of net income of $59.7 million, non-cash items of $150.3 million, and an inflow of $38.9 million from a net decrease in operating assets and liabilities. The third-party production prepayments decrease of $19.1 million is due to a full year amortization of these prepayments during 2024, decreasing the prepaid balance from $33.6 million as of December 30, 2023 to $14.5 million as of December 28, 2024. The accrued expenses and other current liabilities increase of $12.3 million is primarily due to increases in accrued supply chain costs and accrued marketing costs compared to the prior year. The inventory decrease of $6.9 million is primarily due decrease on hops inventory compared to the prior year to align with beer volumes.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used $54.5 million in investing activities during the year ended December 27, 2025, as compared to $96.3 million during the year ended December 28, 2024. The decrease in investing activity cash outflows is due to a $20.0 million note receivable issued in 2024 and a $21.7 million decrease in capital investments. For both periods, capital investments were made mostly in the Company’s breweries to drive efficiencies and cost reductions.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$204.1 million during the year ended December 27, 2025, as compared to $239.3 million during the year ended December 28, 2024. The $35.2 million decrease in financing activity cash outflows in 2025 compared to 2024 is primarily due to lower repurchases of the Company's Class A common stock in the current year.</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fiscal year 2025, the Company repurchased and subsequently retired 896,521 shares of its Class A Common Stock for an aggregate purchase price of $199.2 million. As of December 27, 2025, the Company had repurchased a cumulative total of approximately 15.8 million shares of its Class A Common Stock for an aggregate purchase price of approximately $1.37 billion and had approximately $228.4 million remaining on the $1.6 billion stock repurchase expenditure limit set by the Board of Directors.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line="261" w:lineRule="auto"/>
        <w:rPr>
          <w:sz w:val="20"/>
          <w:szCs w:val="20"/>
          <w:color w:val="auto"/>
        </w:rPr>
      </w:pPr>
      <w:r>
        <w:rPr>
          <w:rFonts w:ascii="Times New Roman" w:cs="Times New Roman" w:eastAsia="Times New Roman" w:hAnsi="Times New Roman"/>
          <w:sz w:val="18"/>
          <w:szCs w:val="18"/>
          <w:color w:val="auto"/>
        </w:rPr>
        <w:t>The Company expects that its cash balance as of December 27, 2025 of $223.4 million and future operating cash flows, along with its $150.0 million credit facility agreement, will be sufficient to fund future cash requirements. Refer to Note K of the Notes to the Consolidated Financial Statements within Part II, Item 8 of this Form 10-K for further details of the terms of the credit facility agreement. As of the date of this filing, the Company was not in violation of any of its covenants to the lender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 assumptions that the Company believes to be reasonable under the circumstances. Actual results may differ from the Company’s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Excess or Expired Inventory</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$13.7 million, $21.9 million, and $19.3 million in fiscal years 2025,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Property, Plant, and Equipment</w:t>
      </w:r>
    </w:p>
    <w:p>
      <w:pPr>
        <w:spacing w:after="0" w:line="227" w:lineRule="exact"/>
        <w:rPr>
          <w:sz w:val="20"/>
          <w:szCs w:val="20"/>
          <w:color w:val="auto"/>
        </w:rPr>
      </w:pPr>
    </w:p>
    <w:p>
      <w:pPr>
        <w:ind w:right="100"/>
        <w:spacing w:after="0" w:line="218" w:lineRule="exact"/>
        <w:rPr>
          <w:sz w:val="20"/>
          <w:szCs w:val="20"/>
          <w:color w:val="auto"/>
        </w:rPr>
      </w:pPr>
      <w:r>
        <w:rPr>
          <w:rFonts w:ascii="Times New Roman" w:cs="Times New Roman" w:eastAsia="Times New Roman" w:hAnsi="Times New Roman"/>
          <w:sz w:val="18"/>
          <w:szCs w:val="18"/>
          <w:color w:val="auto"/>
        </w:rPr>
        <w:t>The carrying value of property, plant, and equipment, net of accumulated depreciation, at December 27, 2025 was $578.1 million. 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accelerate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charges included in operating expenses related to brewery assets classified as property, plant, and equipment were $6.4 million, $7.2 million, and $5.0 million for fiscal years 2025, 2024, and 2023, respectively. Impairment charges related to brewery assets classified as operating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were $0.6 million, $0.0 million, and $0.4 million for fiscal years 2025, 2024, and 2023, respectively.</w:t>
      </w:r>
    </w:p>
    <w:p>
      <w:pPr>
        <w:spacing w:after="0" w:line="19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Valuation of Goodwill and Indefinite Lived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goodwill and identifiable intangible assets arising from business acquisitions. Intangible assets are classified as either</w:t>
      </w:r>
    </w:p>
    <w:p>
      <w:pPr>
        <w:spacing w:after="0" w:line="22" w:lineRule="exact"/>
        <w:rPr>
          <w:sz w:val="20"/>
          <w:szCs w:val="20"/>
          <w:color w:val="auto"/>
        </w:rPr>
      </w:pPr>
    </w:p>
    <w:p>
      <w:pPr>
        <w:jc w:val="both"/>
        <w:ind w:right="40"/>
        <w:spacing w:after="0" w:line="218" w:lineRule="exact"/>
        <w:rPr>
          <w:sz w:val="20"/>
          <w:szCs w:val="20"/>
          <w:color w:val="auto"/>
        </w:rPr>
      </w:pPr>
      <w:r>
        <w:rPr>
          <w:rFonts w:ascii="Times New Roman" w:cs="Times New Roman" w:eastAsia="Times New Roman" w:hAnsi="Times New Roman"/>
          <w:sz w:val="18"/>
          <w:szCs w:val="18"/>
          <w:color w:val="auto"/>
        </w:rPr>
        <w:t>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or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Goodwill and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are not amortized but are assessed for impairment at least annually, or more frequently if events or changes in circumstances indicate that the carrying amount may not be recoverable.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are amortized over their estimated useful lives and evaluated for impairment when indicators are present.</w:t>
      </w:r>
    </w:p>
    <w:p>
      <w:pPr>
        <w:spacing w:after="0" w:line="19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performs its annual goodwill impairment assessment in the third quarter of each fiscal year and evaluates goodwill on an interim basis if triggering events occur. The Company has one reporting unit.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ASC 350, the Company may first perform a qualitative assessment to determine whether it is more likely than not that the fair value of the reporting unit is less than its carrying value, or it may elect to perform a quantitative impairment test. When a quantitative test is performed, the estimated fair value of the reporting unit is compared to its carrying value, including goodwill.</w:t>
      </w:r>
    </w:p>
    <w:p>
      <w:pPr>
        <w:spacing w:after="0" w:line="176"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Fair value is primarily estimated using an income approach based on discounted cash flow analysis, supplemented by a market approach that considers the Company’s market capitalization and enterprise value. These valuation techniques require significant management judgment, including assumptions related to projected revenues, future cash flows, operating margins, cost of capital,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rates. These assumptions are derived from historical performance, current operating plans, and management’s expectations regarding future economic and competitive conditions.</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the annual impairment assessments conducted at the end of fiscal August 2025 and 2024, the estimated fair value of the reporting unit substantially exceeded its carrying value, and no goodwill impairment was recorded. Adverse changes in key assumptions or market conditions could result in future impairment charges that could have a material effect on the Company’s financial condition and results of operations.</w:t>
      </w:r>
    </w:p>
    <w:p>
      <w:pPr>
        <w:spacing w:after="0" w:line="176"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The Company’s identifiable intangible assets consist primarily of a trademark and customer relationships acquired in connection with the Dogfish Head acquisition. Customer relationships are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and are amortized over their estimated useful lives.</w:t>
      </w:r>
    </w:p>
    <w:p>
      <w:pPr>
        <w:spacing w:after="0" w:line="170" w:lineRule="exact"/>
        <w:rPr>
          <w:sz w:val="20"/>
          <w:szCs w:val="20"/>
          <w:color w:val="auto"/>
        </w:rPr>
      </w:pPr>
    </w:p>
    <w:p>
      <w:pPr>
        <w:ind w:right="360"/>
        <w:spacing w:after="0" w:line="220" w:lineRule="exact"/>
        <w:rPr>
          <w:sz w:val="20"/>
          <w:szCs w:val="20"/>
          <w:color w:val="auto"/>
        </w:rPr>
      </w:pPr>
      <w:r>
        <w:rPr>
          <w:rFonts w:ascii="Times New Roman" w:cs="Times New Roman" w:eastAsia="Times New Roman" w:hAnsi="Times New Roman"/>
          <w:sz w:val="18"/>
          <w:szCs w:val="18"/>
          <w:color w:val="auto"/>
        </w:rPr>
        <w:t>From the acquisition date through the annual impairment assessment conducted at the end of fiscal August 2024, the Dogfish Head trademark was classified as an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 based on management’s determination that there were no legal, regulatory, contractual, competitive, or economic factors limiting its expected period of benefit. As an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the trademark was not amortized and was tested annually for impairment.</w:t>
      </w:r>
    </w:p>
    <w:p>
      <w:pPr>
        <w:spacing w:after="0" w:line="200"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The Company’s impairment evaluation of the trademark follows ASC 350, under which management may first perform a qualitative assessment or proceed directly to a quantitative impairment test. When a quantitative test is performed, the carrying value of the trademark is compared to its estimated fair value. The fair value of the trademark is determined using an income approach based on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w:t>
      </w:r>
    </w:p>
    <w:p>
      <w:pPr>
        <w:spacing w:after="0" w:line="130" w:lineRule="exact"/>
        <w:rPr>
          <w:sz w:val="20"/>
          <w:szCs w:val="20"/>
          <w:color w:val="auto"/>
        </w:rPr>
      </w:pPr>
    </w:p>
    <w:p>
      <w:pPr>
        <w:ind w:right="400"/>
        <w:spacing w:after="0" w:line="228" w:lineRule="exact"/>
        <w:rPr>
          <w:sz w:val="20"/>
          <w:szCs w:val="20"/>
          <w:color w:val="auto"/>
        </w:rPr>
      </w:pPr>
      <w:r>
        <w:rPr>
          <w:rFonts w:ascii="Times New Roman" w:cs="Times New Roman" w:eastAsia="Times New Roman" w:hAnsi="Times New Roman"/>
          <w:sz w:val="18"/>
          <w:szCs w:val="18"/>
          <w:color w:val="auto"/>
        </w:rPr>
        <w:t>Estimating the fair value of the trademark requires significant judgment and the use of assumptions related to projected future revenues,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royalty rates, discount rates, and the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royalty savings attributable to ownership of the trademark. The Company uses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 specialists to assist in this assessment. The assumptions applied are consistent with recent performance trends and the Company’s current strategic operating plans, which include reduced revenue expectations for Dogfish Head beer products. These assumptions are sensitive to changes in macroeconomic conditions, industry growth, and competitive dynamics.</w:t>
      </w:r>
    </w:p>
    <w:p>
      <w:pPr>
        <w:spacing w:after="0" w:line="198"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Beginning in the fourth quarter of fiscal 2024, management reassessed the expected useful life of the Dogfish Head trademark and concluded that it no longer met the criteria for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classification due to changes in qualitative factors affecting the expected period of economic benefit. As a result, the trademark was reclassified as a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w:t>
      </w:r>
    </w:p>
    <w:p>
      <w:pPr>
        <w:spacing w:after="0" w:line="171"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Effective in the fourth quarter of fiscal 2024, the Company began amortizing the trademark’s remaining carrying value of $14.4 million over an estimated useful life of 10 years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This change in estimated useful life was accounted for prospectively.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Revenue Recognition and Classification of Customer Programs and Incentives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27, 2025 and December 28, 2024, the Company had deferred revenue of $13.3 million and $11.3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27, 2025, and December 28, 2024, the stale beer reserve was $4.9 million and $6.1 million, respectively. These amounts are included in accrued expenses and other current liabilities in the accompanying consolidated balance sheets.</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discounts,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$123.1 million, $112.3 million and $106.4 million in fiscal years 2025, 2024, and 2023, respectively. Estimates are based on historical and projected experience for each type of program or customer and have historically been in line with actual costs incurred.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promotional discount programs are entered into with Distributors for certain periods of time. Amounts paid to Distributors in connection with these programs in fiscal years 2025, 2024, and 2023 were $65.2 million, $61.0 million and $62.6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18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discounts, point-of-sale and merchandise placement, samples, product displays, promotional programs at retail locations and meals, travel and entertainment. Amounts paid to customers in connection with these programs in fiscal years 2025, 2024, and 2023 were $57.9 million, $51.3 million and $43.8 million, respectively. In fiscal years 2025, 2024, and 2023, the Company recorded certain of these costs in the total amount of $38.4 million, $32.2 million and $31.4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$21.8 million, $19.0 million and $17.0 million in fiscal years 2025, 2024, and 2023, respectively.</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O for further discussion of the application of the option-pricing models.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Beyond beer and Traditional beer categories within the United States are highly competitive due to large domestic and international brewers and the large number of craft brewers in this category who distribute similar products that have similar pricing and target drinkers. The Company believes that its pricing 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also increasingly competes with wine, spirits and other beverage companies, some of which have significantly greater resources than the Company. This competitive environment may affect the Company’s overall performance within the Beyond beer and Traditional beer categories. As the market continues to consolidate, the Company believes that companies that are well-positioned in terms of brand equity, marketing and distribution will have greater success than those who do not. With its over 300 Distributors nationwide and the Company’s sales force of over 550 people, as well as a commitment to maintaining its innovation capability, brand equity and quality, the Company believes it is well positioned to compete in the Beyond beer and Traditional beer categories.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enters into hops purchase contracts, as described in Note M to the Consolidated Financial Statements within Part II, Item 8 of this Form 10-K, and makes purchases of other ingredients, equipment, and machinery and payments for commissions and marketing services to an international sales agent denominated in foreign currencies. The cost of these commitments changes as foreign exchange rates fluctuate. Currently, it is not the Company’s policy to hedge against foreign currency fluctuations.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36" w:name="page37"/>
    <w:bookmarkEnd w:id="36"/>
    <w:p>
      <w:pPr>
        <w:ind w:right="140"/>
        <w:spacing w:after="0" w:line="266" w:lineRule="auto"/>
        <w:rPr>
          <w:sz w:val="20"/>
          <w:szCs w:val="20"/>
          <w:color w:val="auto"/>
        </w:rPr>
      </w:pPr>
      <w:r>
        <w:rPr>
          <w:rFonts w:ascii="Times New Roman" w:cs="Times New Roman" w:eastAsia="Times New Roman" w:hAnsi="Times New Roman"/>
          <w:sz w:val="18"/>
          <w:szCs w:val="18"/>
          <w:color w:val="auto"/>
        </w:rPr>
        <w:t>The interest rate for borrowings under the Company’s credit facility is based on the applicable secured overnight financing rate ("SOFR") plus 1.1%, and therefore, subjects the Company to fluctuations in such rates. At December 27, 2025, the applicable SOFR was 3.76%. As of December 27, 2025, the Company had no amounts outstanding under its current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applies a sensitivity analysis to reflect the impact of a 10% hypothetical adverse change in the foreign currency exchange rates. A potential adverse fluctuation in foreign currency exchange rates could negatively impact future cash flows by approximately $2.3 million as of December 27,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right="50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The Boston Beer Company,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Boston Beer Company, Inc. and subsidiaries (the "Company") as of December 27, 2025 and December 28, 2024, the related consolidated statements of comprehensive income, stockholders’ equity, and cash flows, for each of the three years in the period ended December 27, 2025, and the related notes (collectively referred to as “the financial statements”). In our opinion, the financial statements present fairly, in all material respects, the financial position of the Company as of December 27, 2025 and December 28, 2024, and the results of its operations and its cash flows for each of the three years in the period ended December 27, 2025, in conformity with accounting principles generally accepted in the United States of America.</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27, 2025, based on criteria established in Internal Control — Integrated Framework (2013) issued by the Committee of Sponsoring Organizations of the Treadway Commission and our report dated February 24, 2026,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Excess or Expired Inventory – Refer to Notes B, D, and S to the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The inventory balance is recorded net of a reserve for excess or expired inventory. The Company’s reserve for excess or expired inventory as of December 27, 2025 was $11.1 million. If the Company’s estimate results in inventory that is in excess of future demand, an allowance is recorded to reduce the net inventory on hand balance through a charge to cost of goods sold. The determination of the amount of excess or expired inventory requires management to make significant estimates and assumptions related to forecasts of future demand for the Company’s products.</w:t>
      </w:r>
    </w:p>
    <w:p>
      <w:pPr>
        <w:spacing w:after="0" w:line="14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identified the reserve for excess or expired inventory as a critical audit matter because of the extent of audit judgment and effort required to evaluate management’s estimate and assumptions due to the subjective nature of the estimates described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reserve for excess or expired inventory, included the following, among others:</w:t>
      </w:r>
    </w:p>
    <w:p>
      <w:pPr>
        <w:spacing w:after="0" w:line="185" w:lineRule="exact"/>
        <w:rPr>
          <w:sz w:val="20"/>
          <w:szCs w:val="20"/>
          <w:color w:val="auto"/>
        </w:rPr>
      </w:pPr>
    </w:p>
    <w:p>
      <w:pPr>
        <w:ind w:right="520" w:firstLine="8"/>
        <w:spacing w:after="0" w:line="282" w:lineRule="auto"/>
        <w:tabs>
          <w:tab w:leader="none" w:pos="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reserve for excess or expired inventory, including controls over the significant inputs, including the forecasted future demand, used in management’s estimate.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left="120" w:hanging="112"/>
        <w:spacing w:after="0"/>
        <w:tabs>
          <w:tab w:leader="none" w:pos="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process and assumptions used by management to determine the reserve for excess or expired inventory.</w:t>
      </w:r>
    </w:p>
    <w:p>
      <w:pPr>
        <w:spacing w:after="0" w:line="198" w:lineRule="exact"/>
        <w:rPr>
          <w:rFonts w:ascii="Times New Roman" w:cs="Times New Roman" w:eastAsia="Times New Roman" w:hAnsi="Times New Roman"/>
          <w:sz w:val="18"/>
          <w:szCs w:val="18"/>
          <w:color w:val="auto"/>
        </w:rPr>
      </w:pPr>
    </w:p>
    <w:p>
      <w:pPr>
        <w:ind w:right="480" w:firstLine="8"/>
        <w:spacing w:after="0" w:line="282" w:lineRule="auto"/>
        <w:tabs>
          <w:tab w:leader="none" w:pos="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specific inputs supporting management’s estimate, including the forecasted future demand, for the Company’s products.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a sample of inventory items to determine if the reserve for excess or expired inventory was reasonable through evaluation of historical demand, recent trends and market information about future trends.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of management’s prior year inventory excess or expired reserve.</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inventory excess or expired reserve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10"/>
                <w:szCs w:val="10"/>
                <w:color w:val="auto"/>
              </w:rPr>
            </w:pPr>
          </w:p>
        </w:tc>
        <w:tc>
          <w:tcPr>
            <w:tcW w:w="11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20" w:type="dxa"/>
            <w:vAlign w:val="bottom"/>
          </w:tcPr>
          <w:p>
            <w:pPr>
              <w:spacing w:after="0"/>
              <w:rPr>
                <w:sz w:val="10"/>
                <w:szCs w:val="10"/>
                <w:color w:val="auto"/>
              </w:rPr>
            </w:pPr>
          </w:p>
        </w:tc>
      </w:tr>
      <w:tr>
        <w:trPr>
          <w:trHeight w:val="190"/>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132"/>
        </w:trPr>
        <w:tc>
          <w:tcPr>
            <w:tcW w:w="6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2,087,251</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2,137,802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2,133,292</w:t>
            </w: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excise taxes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124,667</w:t>
            </w:r>
          </w:p>
        </w:tc>
        <w:tc>
          <w:tcPr>
            <w:tcW w:w="120" w:type="dxa"/>
            <w:vAlign w:val="bottom"/>
          </w:tcPr>
          <w:p>
            <w:pPr>
              <w:spacing w:after="0"/>
              <w:rPr>
                <w:sz w:val="12"/>
                <w:szCs w:val="12"/>
                <w:color w:val="auto"/>
              </w:rPr>
            </w:pPr>
          </w:p>
        </w:tc>
      </w:tr>
      <w:tr>
        <w:trPr>
          <w:trHeight w:val="142"/>
        </w:trPr>
        <w:tc>
          <w:tcPr>
            <w:tcW w:w="66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1,964,994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2,012,926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2,008,625</w:t>
            </w: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1,012,414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1,119,194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1,156,256</w:t>
            </w:r>
          </w:p>
        </w:tc>
        <w:tc>
          <w:tcPr>
            <w:tcW w:w="120" w:type="dxa"/>
            <w:vAlign w:val="bottom"/>
          </w:tcPr>
          <w:p>
            <w:pPr>
              <w:spacing w:after="0"/>
              <w:rPr>
                <w:sz w:val="12"/>
                <w:szCs w:val="12"/>
                <w:color w:val="auto"/>
              </w:rPr>
            </w:pPr>
          </w:p>
        </w:tc>
      </w:tr>
      <w:tr>
        <w:trPr>
          <w:trHeight w:val="142"/>
        </w:trPr>
        <w:tc>
          <w:tcPr>
            <w:tcW w:w="66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952,580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893,732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852,369</w:t>
            </w: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Advertising, promotional, and selling expenses</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609,953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552,033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555,998</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189,906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174,548</w:t>
            </w:r>
          </w:p>
        </w:tc>
      </w:tr>
      <w:tr>
        <w:trPr>
          <w:trHeight w:val="148"/>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14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16,426</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5,396</w:t>
            </w:r>
          </w:p>
        </w:tc>
      </w:tr>
      <w:tr>
        <w:trPr>
          <w:trHeight w:val="148"/>
        </w:trPr>
        <w:tc>
          <w:tcPr>
            <w:tcW w:w="664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Contract settlement costs</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807,698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817,759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752,368</w:t>
            </w:r>
          </w:p>
        </w:tc>
      </w:tr>
      <w:tr>
        <w:trPr>
          <w:trHeight w:val="142"/>
        </w:trPr>
        <w:tc>
          <w:tcPr>
            <w:tcW w:w="6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144,882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75,973</w:t>
            </w: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100,001</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9,939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13,249</w:t>
            </w:r>
          </w:p>
        </w:tc>
        <w:tc>
          <w:tcPr>
            <w:tcW w:w="14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10,995</w:t>
            </w: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(1,408)</w:t>
            </w:r>
          </w:p>
        </w:tc>
      </w:tr>
      <w:tr>
        <w:trPr>
          <w:trHeight w:val="142"/>
        </w:trPr>
        <w:tc>
          <w:tcPr>
            <w:tcW w:w="6640" w:type="dxa"/>
            <w:vAlign w:val="bottom"/>
            <w:tcBorders>
              <w:bottom w:val="single" w:sz="8" w:color="CFF0FC"/>
            </w:tcBorders>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other income, net</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8,578</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11,629</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9,587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 provision</w:t>
            </w:r>
          </w:p>
        </w:tc>
        <w:tc>
          <w:tcPr>
            <w:tcW w:w="16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87,602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109,588</w:t>
            </w:r>
          </w:p>
        </w:tc>
      </w:tr>
      <w:tr>
        <w:trPr>
          <w:trHeight w:val="149"/>
        </w:trPr>
        <w:tc>
          <w:tcPr>
            <w:tcW w:w="66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44,991</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108,469</w:t>
            </w:r>
          </w:p>
        </w:tc>
        <w:tc>
          <w:tcPr>
            <w:tcW w:w="100" w:type="dxa"/>
            <w:vAlign w:val="bottom"/>
          </w:tcPr>
          <w:p>
            <w:pPr>
              <w:spacing w:after="0"/>
              <w:rPr>
                <w:sz w:val="12"/>
                <w:szCs w:val="12"/>
                <w:color w:val="auto"/>
              </w:rPr>
            </w:pPr>
          </w:p>
        </w:tc>
        <w:tc>
          <w:tcPr>
            <w:tcW w:w="3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1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76,250</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income per common share - basic</w:t>
            </w: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9.90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6.23</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29"/>
        </w:trPr>
        <w:tc>
          <w:tcPr>
            <w:tcW w:w="6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1"/>
                <w:szCs w:val="11"/>
                <w:color w:val="auto"/>
              </w:rPr>
            </w:pPr>
          </w:p>
        </w:tc>
        <w:tc>
          <w:tcPr>
            <w:tcW w:w="3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5.06</w:t>
            </w:r>
          </w:p>
        </w:tc>
        <w:tc>
          <w:tcPr>
            <w:tcW w:w="140" w:type="dxa"/>
            <w:vAlign w:val="bottom"/>
          </w:tcPr>
          <w:p>
            <w:pPr>
              <w:spacing w:after="0"/>
              <w:rPr>
                <w:sz w:val="11"/>
                <w:szCs w:val="11"/>
                <w:color w:val="auto"/>
              </w:rPr>
            </w:pPr>
          </w:p>
        </w:tc>
        <w:tc>
          <w:tcPr>
            <w:tcW w:w="160" w:type="dxa"/>
            <w:vAlign w:val="bottom"/>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6.21</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Weighted-average number of common shares - basic</w:t>
            </w: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10,960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11,774</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12,243</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29"/>
        </w:trPr>
        <w:tc>
          <w:tcPr>
            <w:tcW w:w="6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Weighted-average number of common shares - diluted</w:t>
            </w:r>
          </w:p>
        </w:tc>
        <w:tc>
          <w:tcPr>
            <w:tcW w:w="1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10,937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11,766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12,258</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ind w:left="24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108,469</w:t>
            </w:r>
          </w:p>
        </w:tc>
        <w:tc>
          <w:tcPr>
            <w:tcW w:w="1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59,695</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76,250</w:t>
            </w: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w:t>
            </w:r>
          </w:p>
        </w:tc>
        <w:tc>
          <w:tcPr>
            <w:tcW w:w="16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w:t>
            </w:r>
          </w:p>
        </w:tc>
      </w:tr>
      <w:tr>
        <w:trPr>
          <w:trHeight w:val="142"/>
        </w:trPr>
        <w:tc>
          <w:tcPr>
            <w:tcW w:w="66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(639)</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108,785</w:t>
            </w:r>
          </w:p>
        </w:tc>
        <w:tc>
          <w:tcPr>
            <w:tcW w:w="100" w:type="dxa"/>
            <w:vAlign w:val="bottom"/>
          </w:tcPr>
          <w:p>
            <w:pPr>
              <w:spacing w:after="0"/>
              <w:rPr>
                <w:sz w:val="12"/>
                <w:szCs w:val="12"/>
                <w:color w:val="auto"/>
              </w:rPr>
            </w:pPr>
          </w:p>
        </w:tc>
        <w:tc>
          <w:tcPr>
            <w:tcW w:w="3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59,056</w:t>
            </w:r>
          </w:p>
        </w:tc>
        <w:tc>
          <w:tcPr>
            <w:tcW w:w="1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76,403</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-2005330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-2005330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-1414145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-1414145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-1216660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-1216660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-993775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-976630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-753745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-736600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-753745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-736600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528"/>
              <w:spacing w:after="0" w:line="137"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600" w:type="dxa"/>
            <w:vAlign w:val="bottom"/>
            <w:shd w:val="clear" w:color="auto" w:fill="CFF0FC"/>
          </w:tcPr>
          <w:p>
            <w:pPr>
              <w:ind w:left="35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223,378</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92,532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24,259</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417,579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417,291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578,125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right-of-use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Third-party production prepayments</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receivable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22,063</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28,462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1,193,595</w:t>
            </w:r>
          </w:p>
        </w:tc>
        <w:tc>
          <w:tcPr>
            <w:tcW w:w="100" w:type="dxa"/>
            <w:vAlign w:val="bottom"/>
          </w:tcPr>
          <w:p>
            <w:pPr>
              <w:spacing w:after="0"/>
              <w:rPr>
                <w:sz w:val="12"/>
                <w:szCs w:val="12"/>
                <w:color w:val="auto"/>
              </w:rPr>
            </w:pPr>
          </w:p>
        </w:tc>
        <w:tc>
          <w:tcPr>
            <w:tcW w:w="2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00" w:type="dxa"/>
            <w:vAlign w:val="bottom"/>
            <w:shd w:val="clear" w:color="auto" w:fill="CFF0FC"/>
          </w:tcPr>
          <w:p>
            <w:pPr>
              <w:ind w:left="266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94,975</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12,762</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252,534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64,785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65,803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operating lease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347,315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333,831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(See Note M)</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60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Common Stock, $0.01 par value; 22,700,000 shares authorized; 8,408,458 and 9,263,198 issued and outstanding as of</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December 27, 2025 and December 28, 2024, respectively</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 Common Stock, $0.01 par value; 4,200,000 shares authorized; 2,068,000 issued and outstanding at December 27, 2025</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December 28, 2024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698,811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676,454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48"/>
        </w:trPr>
        <w:tc>
          <w:tcPr>
            <w:tcW w:w="76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147,744</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240,315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846,280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916,187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4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1,193,595</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-2931160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-231140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left="3160"/>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For the Years Ended December 27, 2025, December 28, 2024, and December 30, 2023</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w:t>
            </w: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22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Stock, Par</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10,238</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300" w:type="dxa"/>
            <w:vAlign w:val="bottom"/>
            <w:gridSpan w:val="3"/>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629,515</w:t>
            </w:r>
          </w:p>
        </w:tc>
        <w:tc>
          <w:tcPr>
            <w:tcW w:w="36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439,121</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1,068,549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76,250</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76,250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and retirement of Class A Common Stock</w:t>
            </w: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(93,803)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(93,805)</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 net of tax of $1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9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30, 2023</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10,033</w:t>
            </w:r>
          </w:p>
        </w:tc>
        <w:tc>
          <w:tcPr>
            <w:tcW w:w="12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3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656,297</w:t>
            </w:r>
          </w:p>
        </w:tc>
        <w:tc>
          <w:tcPr>
            <w:tcW w:w="3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421,568</w:t>
            </w:r>
          </w:p>
        </w:tc>
        <w:tc>
          <w:tcPr>
            <w:tcW w:w="140" w:type="dxa"/>
            <w:vAlign w:val="bottom"/>
          </w:tcPr>
          <w:p>
            <w:pPr>
              <w:spacing w:after="0"/>
              <w:rPr>
                <w:sz w:val="12"/>
                <w:szCs w:val="12"/>
                <w:color w:val="auto"/>
              </w:rPr>
            </w:pP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1,077,929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59,695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59,695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and retirement of Class A Common Stock</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(240,948)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(240,955)</w:t>
            </w: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 net of tax of $1</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28, 2024</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9,263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20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676,454</w:t>
            </w:r>
          </w:p>
        </w:tc>
        <w:tc>
          <w:tcPr>
            <w:tcW w:w="36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240,315</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916,187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108,469</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108,469</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and retirement of Class A Common Stock</w:t>
            </w: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(201,040)</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(201,049)</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 net of tax of $1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39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27, 2025</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8,408</w:t>
            </w:r>
          </w:p>
        </w:tc>
        <w:tc>
          <w:tcPr>
            <w:tcW w:w="12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3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698,811</w:t>
            </w:r>
          </w:p>
        </w:tc>
        <w:tc>
          <w:tcPr>
            <w:tcW w:w="3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147,744</w:t>
            </w:r>
          </w:p>
        </w:tc>
        <w:tc>
          <w:tcPr>
            <w:tcW w:w="140" w:type="dxa"/>
            <w:vAlign w:val="bottom"/>
          </w:tcPr>
          <w:p>
            <w:pPr>
              <w:spacing w:after="0"/>
              <w:rPr>
                <w:sz w:val="12"/>
                <w:szCs w:val="12"/>
                <w:color w:val="auto"/>
              </w:rPr>
            </w:pP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846,280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-2391410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-2373630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-2391410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-2373630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-2391410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-2373630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-2391410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-2373630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-2391410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-2373630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-2391410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-2373630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-2391410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-2373630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-2391410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-2373630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-1705610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-1705610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-1705610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-1705610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-1705610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-1705610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-1705610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-1705610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-814070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-796925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-814070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-796925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-814070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-796925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-814070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-796925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-814070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-796925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-796925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-814070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-796925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-796925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-128270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-128270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-128270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-128270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-128270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-128270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-128270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108,469</w:t>
            </w:r>
          </w:p>
        </w:tc>
        <w:tc>
          <w:tcPr>
            <w:tcW w:w="14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59,695</w:t>
            </w:r>
          </w:p>
        </w:tc>
        <w:tc>
          <w:tcPr>
            <w:tcW w:w="100" w:type="dxa"/>
            <w:vAlign w:val="bottom"/>
          </w:tcPr>
          <w:p>
            <w:pPr>
              <w:spacing w:after="0"/>
              <w:rPr>
                <w:sz w:val="12"/>
                <w:szCs w:val="12"/>
                <w:color w:val="auto"/>
              </w:rPr>
            </w:pP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 in right-of-use assets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(2,940)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(19,918)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(10,871)</w:t>
            </w:r>
          </w:p>
        </w:tc>
        <w:tc>
          <w:tcPr>
            <w:tcW w:w="0" w:type="dxa"/>
            <w:vAlign w:val="bottom"/>
          </w:tcPr>
          <w:p>
            <w:pPr>
              <w:spacing w:after="0"/>
              <w:rPr>
                <w:sz w:val="1"/>
                <w:szCs w:val="1"/>
                <w:color w:val="auto"/>
              </w:rPr>
            </w:pPr>
          </w:p>
        </w:tc>
      </w:tr>
      <w:tr>
        <w:trPr>
          <w:trHeight w:val="149"/>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non-cash (income) expense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(10,340)</w:t>
            </w: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23,405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Prepaid expenses, income tax receivable, and other current assets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(18,496)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Third-party production prepayments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Accrued expenses, other current liabilities, and other liabilities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(9,065)</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(8,759)</w:t>
            </w:r>
          </w:p>
        </w:tc>
        <w:tc>
          <w:tcPr>
            <w:tcW w:w="0" w:type="dxa"/>
            <w:vAlign w:val="bottom"/>
          </w:tcPr>
          <w:p>
            <w:pPr>
              <w:spacing w:after="0"/>
              <w:rPr>
                <w:sz w:val="1"/>
                <w:szCs w:val="1"/>
                <w:color w:val="auto"/>
              </w:rPr>
            </w:pPr>
          </w:p>
        </w:tc>
      </w:tr>
      <w:tr>
        <w:trPr>
          <w:trHeight w:val="142"/>
        </w:trPr>
        <w:tc>
          <w:tcPr>
            <w:tcW w:w="6140" w:type="dxa"/>
            <w:vAlign w:val="bottom"/>
            <w:tcBorders>
              <w:top w:val="single" w:sz="8" w:color="CFF0FC"/>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270,158</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248,892</w:t>
            </w: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265,151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(76,277)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(64,087)</w:t>
            </w:r>
          </w:p>
        </w:tc>
        <w:tc>
          <w:tcPr>
            <w:tcW w:w="0" w:type="dxa"/>
            <w:vAlign w:val="bottom"/>
          </w:tcPr>
          <w:p>
            <w:pPr>
              <w:spacing w:after="0"/>
              <w:rPr>
                <w:sz w:val="1"/>
                <w:szCs w:val="1"/>
                <w:color w:val="auto"/>
              </w:rPr>
            </w:pPr>
          </w:p>
        </w:tc>
      </w:tr>
      <w:tr>
        <w:trPr>
          <w:trHeight w:val="149"/>
        </w:trPr>
        <w:tc>
          <w:tcPr>
            <w:tcW w:w="61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Cash paid for note receivable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(54,516)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(96,254)</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(62,378)</w:t>
            </w:r>
          </w:p>
        </w:tc>
        <w:tc>
          <w:tcPr>
            <w:tcW w:w="0" w:type="dxa"/>
            <w:vAlign w:val="bottom"/>
          </w:tcPr>
          <w:p>
            <w:pPr>
              <w:spacing w:after="0"/>
              <w:rPr>
                <w:sz w:val="1"/>
                <w:szCs w:val="1"/>
                <w:color w:val="auto"/>
              </w:rPr>
            </w:pPr>
          </w:p>
        </w:tc>
      </w:tr>
      <w:tr>
        <w:trPr>
          <w:trHeight w:val="142"/>
        </w:trPr>
        <w:tc>
          <w:tcPr>
            <w:tcW w:w="61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Repurchases and retirement of Class A common stock</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(202,424)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(238,614)</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(92,877)</w:t>
            </w:r>
          </w:p>
        </w:tc>
        <w:tc>
          <w:tcPr>
            <w:tcW w:w="0" w:type="dxa"/>
            <w:vAlign w:val="bottom"/>
          </w:tcPr>
          <w:p>
            <w:pPr>
              <w:spacing w:after="0"/>
              <w:rPr>
                <w:sz w:val="1"/>
                <w:szCs w:val="1"/>
                <w:color w:val="auto"/>
              </w:rPr>
            </w:pPr>
          </w:p>
        </w:tc>
      </w:tr>
      <w:tr>
        <w:trPr>
          <w:trHeight w:val="148"/>
        </w:trPr>
        <w:tc>
          <w:tcPr>
            <w:tcW w:w="6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sale of investment shares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paid on finance leases and notes payable</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(1,728)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(1,886)</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48"/>
        </w:trPr>
        <w:tc>
          <w:tcPr>
            <w:tcW w:w="6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tax withholding on stock-based payment awards and investment shares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42"/>
        </w:trPr>
        <w:tc>
          <w:tcPr>
            <w:tcW w:w="6140" w:type="dxa"/>
            <w:vAlign w:val="bottom"/>
            <w:tcBorders>
              <w:top w:val="single" w:sz="8" w:color="CFF0FC"/>
              <w:bottom w:val="single" w:sz="8" w:color="CFF0FC"/>
            </w:tcBorders>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(204,083)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(239,310)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(84,842)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Change in cash and cash equivalents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(86,672)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211,819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298,491</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180,560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80" w:type="dxa"/>
            <w:vAlign w:val="bottom"/>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223,378</w:t>
            </w:r>
          </w:p>
        </w:tc>
        <w:tc>
          <w:tcPr>
            <w:tcW w:w="140" w:type="dxa"/>
            <w:vAlign w:val="bottom"/>
          </w:tcPr>
          <w:p>
            <w:pPr>
              <w:spacing w:after="0"/>
              <w:rPr>
                <w:sz w:val="12"/>
                <w:szCs w:val="12"/>
                <w:color w:val="auto"/>
              </w:rPr>
            </w:pPr>
          </w:p>
        </w:tc>
        <w:tc>
          <w:tcPr>
            <w:tcW w:w="3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211,819</w:t>
            </w:r>
          </w:p>
        </w:tc>
        <w:tc>
          <w:tcPr>
            <w:tcW w:w="100" w:type="dxa"/>
            <w:vAlign w:val="bottom"/>
          </w:tcPr>
          <w:p>
            <w:pPr>
              <w:spacing w:after="0"/>
              <w:rPr>
                <w:sz w:val="12"/>
                <w:szCs w:val="12"/>
                <w:color w:val="auto"/>
              </w:rPr>
            </w:pPr>
          </w:p>
        </w:tc>
        <w:tc>
          <w:tcPr>
            <w:tcW w:w="280" w:type="dxa"/>
            <w:vAlign w:val="bottom"/>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298,491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4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(63,424)</w:t>
            </w: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(52,028)</w:t>
            </w: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(35,728)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4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4"/>
                <w:szCs w:val="14"/>
                <w:color w:val="auto"/>
              </w:rPr>
              <w:t>Cash paid for amounts included in measurement of lease liabilities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4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13,288</w:t>
            </w:r>
          </w:p>
        </w:tc>
        <w:tc>
          <w:tcPr>
            <w:tcW w:w="14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10,496</w:t>
            </w:r>
          </w:p>
        </w:tc>
        <w:tc>
          <w:tcPr>
            <w:tcW w:w="100" w:type="dxa"/>
            <w:vAlign w:val="bottom"/>
          </w:tcPr>
          <w:p>
            <w:pPr>
              <w:spacing w:after="0"/>
              <w:rPr>
                <w:sz w:val="12"/>
                <w:szCs w:val="12"/>
                <w:color w:val="auto"/>
              </w:rPr>
            </w:pP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40" w:type="dxa"/>
            <w:vAlign w:val="bottom"/>
            <w:shd w:val="clear" w:color="auto" w:fill="CFF0FC"/>
          </w:tcPr>
          <w:p>
            <w:pPr>
              <w:ind w:left="240"/>
              <w:spacing w:after="0" w:line="12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480" w:type="dxa"/>
            <w:vAlign w:val="bottom"/>
            <w:gridSpan w:val="2"/>
            <w:shd w:val="clear" w:color="auto" w:fill="CFF0FC"/>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122</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4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48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1,728</w:t>
            </w:r>
          </w:p>
        </w:tc>
        <w:tc>
          <w:tcPr>
            <w:tcW w:w="140" w:type="dxa"/>
            <w:vAlign w:val="bottom"/>
          </w:tcPr>
          <w:p>
            <w:pPr>
              <w:spacing w:after="0"/>
              <w:rPr>
                <w:sz w:val="11"/>
                <w:szCs w:val="11"/>
                <w:color w:val="auto"/>
              </w:rPr>
            </w:pPr>
          </w:p>
        </w:tc>
        <w:tc>
          <w:tcPr>
            <w:tcW w:w="300" w:type="dxa"/>
            <w:vAlign w:val="bottom"/>
            <w:gridSpan w:val="2"/>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1,886</w:t>
            </w:r>
          </w:p>
        </w:tc>
        <w:tc>
          <w:tcPr>
            <w:tcW w:w="100" w:type="dxa"/>
            <w:vAlign w:val="bottom"/>
          </w:tcPr>
          <w:p>
            <w:pPr>
              <w:spacing w:after="0"/>
              <w:rPr>
                <w:sz w:val="11"/>
                <w:szCs w:val="11"/>
                <w:color w:val="auto"/>
              </w:rPr>
            </w:pPr>
          </w:p>
        </w:tc>
        <w:tc>
          <w:tcPr>
            <w:tcW w:w="28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4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4"/>
                <w:szCs w:val="14"/>
                <w:color w:val="auto"/>
              </w:rPr>
              <w:t>Right-of-use-assets obtained in exchange for operating lease obligations</w:t>
            </w:r>
          </w:p>
        </w:tc>
        <w:tc>
          <w:tcPr>
            <w:tcW w:w="480" w:type="dxa"/>
            <w:vAlign w:val="bottom"/>
            <w:gridSpan w:val="2"/>
            <w:shd w:val="clear" w:color="auto" w:fill="CFF0FC"/>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13,630</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Right-of-use-assets obtained in exchange for finance lease obligations</w:t>
            </w:r>
          </w:p>
        </w:tc>
        <w:tc>
          <w:tcPr>
            <w:tcW w:w="48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300" w:type="dxa"/>
            <w:vAlign w:val="bottom"/>
            <w:gridSpan w:val="2"/>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1"/>
                <w:szCs w:val="11"/>
                <w:color w:val="auto"/>
              </w:rPr>
            </w:pPr>
          </w:p>
        </w:tc>
        <w:tc>
          <w:tcPr>
            <w:tcW w:w="28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14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2"/>
                <w:szCs w:val="12"/>
                <w:color w:val="auto"/>
              </w:rPr>
              <w:t>Increase (decrease) in accounts payable and accrued expenses for purchases of property, plant, and</w:t>
            </w:r>
          </w:p>
        </w:tc>
        <w:tc>
          <w:tcPr>
            <w:tcW w:w="3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140" w:type="dxa"/>
            <w:vAlign w:val="bottom"/>
            <w:tcBorders>
              <w:bottom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equipment</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13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Non-cash financing activity – (decrease) increase in accrued excise taxes on share repurchases</w:t>
            </w:r>
          </w:p>
        </w:tc>
        <w:tc>
          <w:tcPr>
            <w:tcW w:w="48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(399)</w:t>
            </w:r>
          </w:p>
        </w:tc>
        <w:tc>
          <w:tcPr>
            <w:tcW w:w="300" w:type="dxa"/>
            <w:vAlign w:val="bottom"/>
            <w:gridSpan w:val="2"/>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1"/>
                <w:szCs w:val="11"/>
                <w:color w:val="auto"/>
              </w:rPr>
            </w:pPr>
          </w:p>
        </w:tc>
        <w:tc>
          <w:tcPr>
            <w:tcW w:w="28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14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2"/>
                <w:szCs w:val="12"/>
                <w:color w:val="auto"/>
              </w:rPr>
              <w:t>Non-cash investing activity - reduction in accrued expenses, notes receivable and related interest</w:t>
            </w:r>
          </w:p>
        </w:tc>
        <w:tc>
          <w:tcPr>
            <w:tcW w:w="3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6,786</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140" w:type="dxa"/>
            <w:vAlign w:val="bottom"/>
            <w:tcBorders>
              <w:bottom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receivable</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13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-2905125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-2905125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-2313940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-2313940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-1846580</wp:posOffset>
            </wp:positionV>
            <wp:extent cx="9398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-1846580</wp:posOffset>
            </wp:positionV>
            <wp:extent cx="9398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-1846580</wp:posOffset>
            </wp:positionV>
            <wp:extent cx="9398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-1533525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-1533525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-882015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-864870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-882015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-864870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-641985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-624840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-641985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-624840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-333375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-316230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-333375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-316230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27,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Organization and Basis of Presentation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Boston Beer Company, Inc. and certain subsidiaries (the “Company”) are engaged in the business of selling alcohol beverages throughout the United States and in selected international markets, under the trade names “The Boston Beer Company®”, “Twisted Tea Brewing Company®”, “Hard Seltzer Beverage Company”, “Angry Orchard® Cider Company”, “Dogfish Head® Craft Brewery”, “Dogfish Head Distilling Co.”, “Angel City® Brewing Company”, “Coney Island® Brewing Company”, "Green Rebel Brewing Co.", “TeaPot Worldwide”, “Sun Cruiser Beverage Co.","American Fermentation Company LLC", and "Sinless Spirits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fiscal year is a fifty-two or fifty-three-week period ending on the last Saturday in December. The 2025, 2024 and 2023 fiscal years consisted of fifty-two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all of which are wholly-owned.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United States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the Company bases estimates and assumptions on historical experience, currently available information, and various other factors that management believes to be reasonable under the circumstances. Actual results may differ materially from these estimates and assumptions.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and cash equivalents at December 27, 2025 and December 28, 2024 included cash on-hand and money market instruments that are highly liquid investments. Cash and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primarily consist of trade receivables. The Company records an allowance for credit losses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allowances for credit losses as of December 27, 2025 and December 28, 2024 are adequate, but actual losses could exceed the recorded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equivalents, and trade receivables. The Company places its cash equivalents with high credit quality financial institutions. As of December 27, 2025 and December 28, 2024, the Company’s cash and cash equivalents were primarily invested in a “Triple A” rated money market fund.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4" w:name="page45"/>
    <w:bookmarkEnd w:id="44"/>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sells primarily to a network of independent wholesalers in the United States and to a network of foreign wholesalers, importers or other agencies (collectively referred to as “Distributors”). In 2025, 2024, and 2023, sales to foreign Distributors were approximately 5%, 5%, 4%, respectively of total sales. Receivables arising from the Company's sales are not collateralized; however, credit risk is minimized as a result of the large and diverse nature of the Company’s customer base. There were no individual customer accounts receivable balances outstanding at December 27, 2025 or December 28, 2024 that were in excess of 10% of the gross accounts receivable balance on those dates. No individual customers represented more than 10% of the Company’s revenues in fiscal years 2025, 2024, or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Fair Value of Financial Instruments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Company’s primary financial instruments at December 27, 2025 and December 28, 2024 consisted of cash equivalents, accounts receivable, and accounts payable. The Company determines the fair value of its financial assets and liabilities in accordance with Financial Accounting Standards Board (“FASB”)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The Company believes that the carrying amount of its cash equivalents, accounts receivable, and accounts payable approximates fair value due to the short-term nature of these assets and liabilities. The Company is not exposed to significant interest, currency or credit risks arising from these financial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and Provision for Excess or Expired Inventory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packaging materials, work in process and finished goods. Raw materials, which principally consist of flavorings, hops, malt, fruit juices,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$13.7 million, $21.9 million, and $19.3 million in fiscal years 2025,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or fair value as of the date of acquisition. Expenditures for repairs and maintenance are expensed as incurred. Major renewals and betterments that extend the life of the property are capitalized. Depreciation is computed using the straight-line method based upon the estimated useful lives of the underlying assets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Kegs</w:t>
            </w:r>
          </w:p>
        </w:tc>
        <w:tc>
          <w:tcPr>
            <w:tcW w:w="7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 years</w:t>
            </w: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7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 to 5 years</w:t>
            </w: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7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 to 7 years</w:t>
            </w: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plant equipment</w:t>
            </w:r>
          </w:p>
        </w:tc>
        <w:tc>
          <w:tcPr>
            <w:tcW w:w="7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 to 20 years</w:t>
            </w: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Lesser of the remaining term of the lease or estimated useful life of the asset</w:t>
            </w: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7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 to 20 years, or the remaining useful life of the building, whichever is shorter</w:t>
            </w:r>
          </w:p>
        </w:tc>
      </w:tr>
      <w:tr>
        <w:trPr>
          <w:trHeight w:val="648"/>
        </w:trPr>
        <w:tc>
          <w:tcPr>
            <w:tcW w:w="3680" w:type="dxa"/>
            <w:vAlign w:val="bottom"/>
          </w:tcPr>
          <w:p>
            <w:pPr>
              <w:spacing w:after="0"/>
              <w:rPr>
                <w:sz w:val="24"/>
                <w:szCs w:val="24"/>
                <w:color w:val="auto"/>
              </w:rPr>
            </w:pPr>
          </w:p>
        </w:tc>
        <w:tc>
          <w:tcPr>
            <w:tcW w:w="75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45</w:t>
            </w:r>
          </w:p>
        </w:tc>
      </w:tr>
      <w:tr>
        <w:trPr>
          <w:trHeight w:val="763"/>
        </w:trPr>
        <w:tc>
          <w:tcPr>
            <w:tcW w:w="36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line="218" w:lineRule="exact"/>
        <w:rPr>
          <w:sz w:val="20"/>
          <w:szCs w:val="20"/>
          <w:color w:val="auto"/>
        </w:rPr>
      </w:pPr>
      <w:r>
        <w:rPr>
          <w:rFonts w:ascii="Times New Roman" w:cs="Times New Roman" w:eastAsia="Times New Roman" w:hAnsi="Times New Roman"/>
          <w:sz w:val="18"/>
          <w:szCs w:val="18"/>
          <w:color w:val="auto"/>
        </w:rPr>
        <w:t>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accelerate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charges included in operating expenses related to brewery assets classified as property, plant, and equipment were $6.4 million, $7.2 million, and $5.0 million for fiscal years 2025, 2024, and 2023, respectively. Impairment charges related to brewery assets classified as operating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were $0.6 million, $0.0 million, and $0.4 million for fiscal years 2025, 2024, and 2023, respectively.</w:t>
      </w:r>
    </w:p>
    <w:p>
      <w:pPr>
        <w:spacing w:after="0" w:line="20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consists of one operating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See Note U for further discussion of the Company's segment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goodwill and identifiable intangible assets arising from business acquisitions. Intangible assets are classified as either</w:t>
      </w:r>
    </w:p>
    <w:p>
      <w:pPr>
        <w:spacing w:after="0" w:line="22" w:lineRule="exact"/>
        <w:rPr>
          <w:sz w:val="20"/>
          <w:szCs w:val="20"/>
          <w:color w:val="auto"/>
        </w:rPr>
      </w:pPr>
    </w:p>
    <w:p>
      <w:pPr>
        <w:jc w:val="both"/>
        <w:ind w:right="60"/>
        <w:spacing w:after="0" w:line="218" w:lineRule="exact"/>
        <w:rPr>
          <w:sz w:val="20"/>
          <w:szCs w:val="20"/>
          <w:color w:val="auto"/>
        </w:rPr>
      </w:pPr>
      <w:r>
        <w:rPr>
          <w:rFonts w:ascii="Times New Roman" w:cs="Times New Roman" w:eastAsia="Times New Roman" w:hAnsi="Times New Roman"/>
          <w:sz w:val="18"/>
          <w:szCs w:val="18"/>
          <w:color w:val="auto"/>
        </w:rPr>
        <w:t>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or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Goodwill and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are not amortized but are assessed for impairment at least annually, or more frequently if events or changes in circumstances indicate that the carrying amount may not be recoverable.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are amortized over their estimated useful lives and evaluated for impairment when indicators are present.</w:t>
      </w:r>
    </w:p>
    <w:p>
      <w:pPr>
        <w:spacing w:after="0" w:line="1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performs its annual goodwill impairment assessment in the third quarter of each fiscal year and evaluates goodwill on an interim basis if triggering events occur. The Company has one reporting unit.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ASC 350, the Company may first perform a qualitative assessment to determine whether it is more likely than not that the fair value of the reporting unit is less than its carrying value, or it may elect to perform a quantitative impairment test. When a quantitative test is performed, the estimated fair value of the reporting unit is compared to its carrying value, including goodwill.</w:t>
      </w:r>
    </w:p>
    <w:p>
      <w:pPr>
        <w:spacing w:after="0" w:line="17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Fair value is primarily estimated using an income approach based on discounted cash flow analysis, supplemented by a market approach that considers the Company’s market capitalization and enterprise value. These valuation techniques require significant management judgment, including assumptions related to projected revenues, future cash flows, operating margins, cost of capital,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rates. These assumptions are derived from historical performance, current operating plans, and management’s expectations regarding future economic and competitive conditions.</w:t>
      </w:r>
    </w:p>
    <w:p>
      <w:pPr>
        <w:spacing w:after="0" w:line="20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the annual impairment assessments conducted at the end of fiscal August 2025 and 2024, the estimated fair value of the reporting unit substantially exceeded its carrying value, and no goodwill impairment was recorded. Adverse changes in key assumptions or market conditions could result in future impairment charges that could have a material effect on the Company’s financial condition and results of operations.</w:t>
      </w:r>
    </w:p>
    <w:p>
      <w:pPr>
        <w:spacing w:after="0" w:line="176"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The Company’s identifiable intangible assets consist primarily of a trademark and customer relationships acquired in connection with the Dogfish Head acquisition. Customer relationships are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and are amortized over their estimated useful lives.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360"/>
        <w:spacing w:after="0" w:line="220" w:lineRule="exact"/>
        <w:rPr>
          <w:sz w:val="20"/>
          <w:szCs w:val="20"/>
          <w:color w:val="auto"/>
        </w:rPr>
      </w:pPr>
      <w:r>
        <w:rPr>
          <w:rFonts w:ascii="Times New Roman" w:cs="Times New Roman" w:eastAsia="Times New Roman" w:hAnsi="Times New Roman"/>
          <w:sz w:val="18"/>
          <w:szCs w:val="18"/>
          <w:color w:val="auto"/>
        </w:rPr>
        <w:t>From the acquisition date through the annual impairment assessment conducted at the end of fiscal August 2024, the Dogfish Head trademark was classified as an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 based on management’s determination that there were no legal, regulatory, contractual, competitive, or economic factors limiting its expected period of benefit. As an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the trademark was not amortized and was tested annually for impairment.</w:t>
      </w:r>
    </w:p>
    <w:p>
      <w:pPr>
        <w:spacing w:after="0" w:line="200"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The Company’s impairment evaluation of the trademark follows ASC 350, under which management may first perform a qualitative assessment or proceed directly to a quantitative impairment test. When a quantitative test is performed, the carrying value of the trademark is compared to its estimated fair value. The fair value of the trademark is determined using an income approach based on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w:t>
      </w:r>
    </w:p>
    <w:p>
      <w:pPr>
        <w:spacing w:after="0" w:line="130" w:lineRule="exact"/>
        <w:rPr>
          <w:sz w:val="20"/>
          <w:szCs w:val="20"/>
          <w:color w:val="auto"/>
        </w:rPr>
      </w:pPr>
    </w:p>
    <w:p>
      <w:pPr>
        <w:ind w:right="400"/>
        <w:spacing w:after="0" w:line="228" w:lineRule="exact"/>
        <w:rPr>
          <w:sz w:val="20"/>
          <w:szCs w:val="20"/>
          <w:color w:val="auto"/>
        </w:rPr>
      </w:pPr>
      <w:r>
        <w:rPr>
          <w:rFonts w:ascii="Times New Roman" w:cs="Times New Roman" w:eastAsia="Times New Roman" w:hAnsi="Times New Roman"/>
          <w:sz w:val="18"/>
          <w:szCs w:val="18"/>
          <w:color w:val="auto"/>
        </w:rPr>
        <w:t>Estimating the fair value of the trademark requires significant judgment and the use of assumptions related to projected future revenues,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royalty rates, discount rates, and the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royalty savings attributable to ownership of the trademark. The Company uses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 specialists to assist in this assessment. The assumptions applied are consistent with recent performance trends and the Company’s current strategic operating plans, which include reduced revenue expectations for Dogfish Head beer products. These assumptions are sensitive to changes in macroeconomic conditions, industry growth, and competitive dynamics.</w:t>
      </w:r>
    </w:p>
    <w:p>
      <w:pPr>
        <w:spacing w:after="0" w:line="198"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Beginning in the fourth quarter of fiscal 2024, management reassessed the expected useful life of the Dogfish Head trademark and concluded that it no longer met the criteria for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classification due to changes in qualitative factors affecting the expected period of economic benefit. As a result, the trademark was reclassified as a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w:t>
      </w:r>
    </w:p>
    <w:p>
      <w:pPr>
        <w:spacing w:after="0" w:line="171"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Effective in the fourth quarter of fiscal 2024, the Company began amortizing the trademark’s remaining carrying value of $14.4 million over an estimated useful life of 10 years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This change in estimated useful life was accounted for prospectively.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Refundable Deposits on Kegs and Pallets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distributes its packaged flavored malt beverages, hard seltzers, beers, hard ciders and spirits based ready to drink beverages primarily in cans and glass bottles and its draft beer and hard ciders in kegs and such cans, bottles, and kegs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certain pallets, which is included in current liabilities in the Company’s balance sheets. Upon return of the kegs and pallets to the Company, the deposit is refunded to the Distributor.</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experienced some loss of kegs and pallets and anticipates that some loss will occur in future periods due to the significant volume of kegs and pallets handled by each Distributor and retailer, the homogeneous nature of kegs and pallets owned by most brewers, and the relatively small deposit collected for each keg when compared with its market value. The Company believes that this is an industry-wide issue and that the Company’s loss experience is not atypical. The Company believes that the loss of kegs and pallets, after considering the forfeiture of related deposits, has not been material to the financial statements. The Company uses internal records, records maintained by Distributors, records maintained by other third-party vendors and historical information to estimate the physical count of kegs and pallets held by Distributors. These estimates affect the amount recorded as property, plant and equipment and current liabilities as of the date of the financial statements. The actual liability for refundable deposits could differ from these estimates. For the year ended December 27, 2025, the Company decreased its liability for refundable deposits, and decreased its gross property, plant, and equipment and related accumulated depreciation by $1.7 million, $5.5 million and $5.5 million, respectively. For the year ended December 28, 2024, the Company increased its liability for refundable deposits, and decreased its gross property, plant, and equipment and related accumulated depreciation by $1.8 million, $2.3 million and $2.2 million, respectively. As of December 27, 2025, and December 28, 2024, the Company’s balance sheet includes $13.5 million and $15.1 million, respectively, in refundable deposits on kegs and pallets and $2.1 million and $2.8 million, respectively, in kegs, net of accumulated depreciation.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provides for deferred taxes using an asset and liability approach that requires the recognition of deferred tax assets and liabilities for the expected future tax consequences of events that have been recognized in the Company’s consolidated financial statements or tax returns. This results in differences between the book and tax basis of the Company’s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7" w:name="page48"/>
    <w:bookmarkEnd w:id="47"/>
    <w:p>
      <w:pPr>
        <w:ind w:right="60"/>
        <w:spacing w:after="0" w:line="266" w:lineRule="auto"/>
        <w:rPr>
          <w:sz w:val="20"/>
          <w:szCs w:val="20"/>
          <w:color w:val="auto"/>
        </w:rPr>
      </w:pPr>
      <w:r>
        <w:rPr>
          <w:rFonts w:ascii="Times New Roman" w:cs="Times New Roman" w:eastAsia="Times New Roman" w:hAnsi="Times New Roman"/>
          <w:sz w:val="18"/>
          <w:szCs w:val="18"/>
          <w:color w:val="auto"/>
        </w:rPr>
        <w:t>assets, liabilities and carry-forwards, such as tax credits. In estimating future tax consequences, all expected future events, other than enactment of changes in the tax laws or rates, are generally considered. Valuation allowances are provided when recovery of deferred tax assets does not meet the more likely than not standards as defined in ASC Topic 740, Income Taxes.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calculation of the Company’s uncertain tax positions involves dealing with uncertainties in the application of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Income Taxes.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has introduced rules to establish a global minimum tax rate of 15%, commonly referred to as the Pillar Two rules. Numerous foreign countries have enacted legislation to implement the Pillar Two rules, effective beginning in 2024, or are expected to enact similar legislation. The Company is currently evaluating the potential impacts that Pillar Two may have on future periods and will continue to monitor the implementation of the Pillar Two rules in the jurisdictions in which it operates. The Company meets the transitional safe harbor for the period ended December 27,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Classification of Customer Programs and Incentives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years 2025, 2024, and 2023 approximately 93%, 94%, and 94%, respectively, of the Company’s revenue was from shipments of its products to domestic Distributors and 5%, 5%, 4% from shipments to international Distributors, primarily located in Canada. Approximately 2%, 1%, and 2% of the Company’s revenue was from retail beer, cider, food and merchandise sales at the Company’s retail locations during fiscal years 2025, 2024, and 2023, respectively.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27, 2025 and December 28, 2024, the Company had deferred revenue of $13.3 million and $11.3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27, 2025, and December 28, 2024, the stale beer reserve was $4.9 million and $6.1 million, respectively. These amounts are included in accrued expenses and other current liabilities in the accompanying consolidated balance sheets. Provision for stale beer recorded as reductions to revenue totaled $6.1 million, $5.3 million, and $18.8 million in fiscal years 2025, 2024, and 2023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20"/>
        <w:spacing w:after="0" w:line="254" w:lineRule="auto"/>
        <w:rPr>
          <w:sz w:val="20"/>
          <w:szCs w:val="20"/>
          <w:color w:val="auto"/>
        </w:rPr>
      </w:pPr>
      <w:r>
        <w:rPr>
          <w:rFonts w:ascii="Times New Roman" w:cs="Times New Roman" w:eastAsia="Times New Roman" w:hAnsi="Times New Roman"/>
          <w:sz w:val="18"/>
          <w:szCs w:val="18"/>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discounts,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$123.1 million, $112.3 million and $106.4 million in fiscal years 2025, 2024, and 2023, respectively. Estimates are based on historical and projected experience for each type of program or customer and have historically been in line with actual costs incurred.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promotional discount programs are entered into with Distributors for certain periods of time. Amounts paid to Distributors in connection with these programs in fiscal years 2025, 2024, and 2023 were $65.2 million, $61.0 million and $62.6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discounts, point-of-sale and merchandise placement, samples, product displays, promotional programs at retail locations and meals, travel and entertainment. Amounts paid to customers in connection with these programs in fiscal years 2025, 2024, and 2023 were $57.9 million, $51.3 million and $43.8 million, respectively. In fiscal years 2025, 2024, and 2023, the Company recorded certain of these costs in the total amount of $38.4 million, $32.2 million and $31.4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Excise Taxes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is responsible for compliance with the Alcohol and Tobacco Tax and Trade Bureau (the “TTB”) regulations, including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following expenses are included in cost of goods sold in the accompanying consolidated statements of comprehensive income: raw material costs, packaging material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Costs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Costs incurred for the shipping of products to customers are included in advertising, promotional and selling expenses in the accompanying consolidated statements of comprehensive income. The Company incurred shipping costs of $101.1 million, $104.1 million, and $114.7 million in fiscal years 2025, 2024, and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Promotional, and Selling Expenses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expenses are included in advertising, promotional and selling expenses in the accompanying consolidated statements of comprehensive income: media advertising and production costs, sales and brand related expenses, sales and brand salary and benefit expenses, stock compensation, meals, travel and entertainment expenses, promotional activity expenses, shipping costs related to shipments of finished goods from manufacturing locations to distributor locations and point-of-sale items. Total advertising and sales promotional expenditures of $286.2 million, $240.9 million, and $233.5 million were included in advertising, promotional and selling expenses in the accompanying consolidated statements of comprehensive income for fiscal years 2025, 2024, and 2023, respectively.</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The following expenses are included in general and administrative expenses in the accompanying consolidated statements of comprehensive income: general and administrative salary and benefit expenses, stock compensation, insurance costs, consulting and professional service fees, rent and utility expenses, meals, travel and entertainment expenses for general and administrative employees, and other general and administrative overhead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$21.8 million, $19.0 million and $17.0 million in fiscal years 2025, 2024, and 2023, respectively.</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O for further discussion of the application of the option-pricing models.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 Recent Accounting Pronouncements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spacing w:after="0" w:line="17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This ASU was issued to improve reportable segment disclosure requirements, primarily through enhanced disclosures about significant segment expenses. This ASU applies to all public entities that are required to report segment information in accordance with Topic 280, Segment Reporting. ASU 2023-07 is effective for fiscal years beginning after December 15, 2023, and interim periods within fiscal years beginning after December 15, 2024. The Company adopted ASU 2023-07 for the fiscal year ending December 28, 2024. See Note T for further discussion of the Company's segment reporting.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was issued to address investor requests for more transparency about income tax information through improvements to income tax disclosure primarily related to the rate reconciliation and income taxes paid information, and to improve the effectiveness of income tax disclosures. This ASU is effective for public entities for annual periods beginning after December 15, 2024. The Company prospectively adopted ASU 2023-09 for the fiscal year ending December 27, 2025. See Note L for details of the Company's income tax disclosure.</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Income Statement - Reporting Comprehensive Income - Expenses Disaggregation Disclosures</w:t>
      </w:r>
      <w:r>
        <w:rPr>
          <w:rFonts w:ascii="Times New Roman" w:cs="Times New Roman" w:eastAsia="Times New Roman" w:hAnsi="Times New Roman"/>
          <w:sz w:val="18"/>
          <w:szCs w:val="18"/>
          <w:color w:val="auto"/>
        </w:rPr>
        <w:t xml:space="preserve"> (SubTopic 220-40):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s. This ASU was issued to address investor requests for more detailed information about the types of expenses in commonly presented expense captions (such as cost of sales, SG&amp;A, and research and development). This ASU is effective for public entities for annual periods beginning after December 15, 2026. Early adoption is permitted. ASU 2024-03 will be effective for the Company in the first quarter of its fiscal year ending December 15, 2027. The Company is currently evaluating the impact the adoption of this ASU will have on its consolidated financial statements.</w:t>
      </w:r>
    </w:p>
    <w:p>
      <w:pPr>
        <w:spacing w:after="0" w:line="143" w:lineRule="exact"/>
        <w:rPr>
          <w:sz w:val="20"/>
          <w:szCs w:val="20"/>
          <w:color w:val="auto"/>
        </w:rPr>
      </w:pPr>
    </w:p>
    <w:p>
      <w:pPr>
        <w:ind w:right="80"/>
        <w:spacing w:after="0" w:line="231"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The ASU provides a practical expedient intended to simplify the estimation of expected credit losses for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contract assets arising under Topic 606. It is effective for annual and interim periods beginning after December 15, 2025, with early adoption permitted. The Company is currently evaluating the impact the adoption of this ASU will have on its consolidated financial statements.</w:t>
      </w:r>
    </w:p>
    <w:p>
      <w:pPr>
        <w:spacing w:after="0" w:line="19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2025-11—</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ASU was issued to improve the navigability of the interim reporting guidance and to clarify when and how the interim disclosure requirements in Topic 270 apply. The amendments also introduce a disclosure principle requiring entities to disclose events and changes since the end of the most recent annual reporting period that have a material impact on the entity. The ASU does not change the fundamental nature of interim reporting or significantly expand or reduce existing interim disclosure requirements. ASU 2025-11 is effective for public entities for interim reporting periods within fiscal years beginning after December 15, 2027. Early adoption is permitted. The Company is currently evaluating the impact the adoption of this ASU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as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2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4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inventory:</w:t>
            </w:r>
          </w:p>
        </w:tc>
        <w:tc>
          <w:tcPr>
            <w:tcW w:w="3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3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37,395</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48,321</w:t>
            </w:r>
          </w:p>
        </w:tc>
      </w:tr>
      <w:tr>
        <w:trPr>
          <w:trHeight w:val="148"/>
        </w:trPr>
        <w:tc>
          <w:tcPr>
            <w:tcW w:w="4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Work in process</w:t>
            </w:r>
          </w:p>
        </w:tc>
        <w:tc>
          <w:tcPr>
            <w:tcW w:w="3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20,369</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18,878</w:t>
            </w:r>
          </w:p>
        </w:tc>
      </w:tr>
      <w:tr>
        <w:trPr>
          <w:trHeight w:val="148"/>
        </w:trPr>
        <w:tc>
          <w:tcPr>
            <w:tcW w:w="4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3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34,768</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49,960</w:t>
            </w:r>
          </w:p>
        </w:tc>
        <w:tc>
          <w:tcPr>
            <w:tcW w:w="100" w:type="dxa"/>
            <w:vAlign w:val="bottom"/>
          </w:tcPr>
          <w:p>
            <w:pPr>
              <w:spacing w:after="0"/>
              <w:rPr>
                <w:sz w:val="12"/>
                <w:szCs w:val="12"/>
                <w:color w:val="auto"/>
              </w:rPr>
            </w:pPr>
          </w:p>
        </w:tc>
      </w:tr>
      <w:tr>
        <w:trPr>
          <w:trHeight w:val="142"/>
        </w:trPr>
        <w:tc>
          <w:tcPr>
            <w:tcW w:w="4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current inventory</w:t>
            </w:r>
          </w:p>
        </w:tc>
        <w:tc>
          <w:tcPr>
            <w:tcW w:w="3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92,532</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117,159</w:t>
            </w:r>
          </w:p>
        </w:tc>
      </w:tr>
      <w:tr>
        <w:trPr>
          <w:trHeight w:val="149"/>
        </w:trPr>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 term inventory</w:t>
            </w:r>
          </w:p>
        </w:tc>
        <w:tc>
          <w:tcPr>
            <w:tcW w:w="3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7,298</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6,076</w:t>
            </w:r>
          </w:p>
        </w:tc>
        <w:tc>
          <w:tcPr>
            <w:tcW w:w="100" w:type="dxa"/>
            <w:vAlign w:val="bottom"/>
          </w:tcPr>
          <w:p>
            <w:pPr>
              <w:spacing w:after="0"/>
              <w:rPr>
                <w:sz w:val="12"/>
                <w:szCs w:val="12"/>
                <w:color w:val="auto"/>
              </w:rPr>
            </w:pPr>
          </w:p>
        </w:tc>
      </w:tr>
      <w:tr>
        <w:trPr>
          <w:trHeight w:val="162"/>
        </w:trPr>
        <w:tc>
          <w:tcPr>
            <w:tcW w:w="4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inventory</w:t>
            </w:r>
          </w:p>
        </w:tc>
        <w:tc>
          <w:tcPr>
            <w:tcW w:w="34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99,830</w:t>
            </w: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123,235</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27, 2025 and December 28, 2024, the Company has recorded inventory obsolescence reserves of $11.1 million and $16.3 million, respectively. The decrease in inventory obsolescence reserves was primarily driven by physical destruction of obsolete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advertising, promotional and selling costs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8,075</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4,678</w:t>
            </w:r>
          </w:p>
        </w:tc>
      </w:tr>
      <w:tr>
        <w:trPr>
          <w:trHeight w:val="149"/>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insurance</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4,718</w:t>
            </w: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software and consulting fees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3,907</w:t>
            </w: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taxes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3,984</w:t>
            </w:r>
          </w:p>
        </w:tc>
      </w:tr>
      <w:tr>
        <w:trPr>
          <w:trHeight w:val="148"/>
        </w:trPr>
        <w:tc>
          <w:tcPr>
            <w:tcW w:w="7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20,316</w:t>
            </w:r>
          </w:p>
        </w:tc>
        <w:tc>
          <w:tcPr>
            <w:tcW w:w="260" w:type="dxa"/>
            <w:vAlign w:val="bottom"/>
          </w:tcPr>
          <w:p>
            <w:pPr>
              <w:spacing w:after="0"/>
              <w:rPr>
                <w:sz w:val="12"/>
                <w:szCs w:val="12"/>
                <w:color w:val="auto"/>
              </w:rPr>
            </w:pPr>
          </w:p>
        </w:tc>
        <w:tc>
          <w:tcPr>
            <w:tcW w:w="3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20,209</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Machinery and plant equipment</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834,528</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830,964</w:t>
            </w:r>
          </w:p>
        </w:tc>
      </w:tr>
      <w:tr>
        <w:trPr>
          <w:trHeight w:val="149"/>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and building improvements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276,483</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256,829</w:t>
            </w: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Leasehold improvements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70,559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71,846</w:t>
            </w: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Kegs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52,914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58,384</w:t>
            </w: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Office equipment and furniture</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47,638</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44,409</w:t>
            </w: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25,980</w:t>
            </w:r>
          </w:p>
        </w:tc>
      </w:tr>
      <w:tr>
        <w:trPr>
          <w:trHeight w:val="149"/>
        </w:trPr>
        <w:tc>
          <w:tcPr>
            <w:tcW w:w="7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Assets under construction</w:t>
            </w: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49,152</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46,637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Property, plant, and equipment, gross</w:t>
            </w: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1,362,274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1,335,049</w:t>
            </w: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(784,149)</w:t>
            </w: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(718,807)</w:t>
            </w:r>
          </w:p>
        </w:tc>
      </w:tr>
      <w:tr>
        <w:trPr>
          <w:trHeight w:val="142"/>
        </w:trPr>
        <w:tc>
          <w:tcPr>
            <w:tcW w:w="77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578,125</w:t>
            </w:r>
          </w:p>
        </w:tc>
        <w:tc>
          <w:tcPr>
            <w:tcW w:w="26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616,242</w:t>
            </w:r>
          </w:p>
        </w:tc>
        <w:tc>
          <w:tcPr>
            <w:tcW w:w="100" w:type="dxa"/>
            <w:vAlign w:val="bottom"/>
            <w:tcBorders>
              <w:top w:val="single" w:sz="8" w:color="CFF0FC"/>
            </w:tcBorders>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-325120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related to these assets of $88.8 million, $93.2 million, and $87.9 million, in fiscal years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evaluates its assets for impairment when events indicate that an asset or asset group may have suffered impairment. During fiscal years 2025, 2024, and 2023, the Company recorded impairment charges on brewery equipment and other brewery related assets classified as property, plant, and equipment of $6.4 million, $7.2 million, and $5.0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Leases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various lease agreements in place for facilities and equipment. Terms of these leases include, in some instances, scheduled rent increases, renewals, purchase options, and maintenance costs, and vary by lease. These lease obligations expire at various dates through 2034. As the rate implicit in each lease is not readily determinable, the Company uses its incremental borrowing rate based on information available at lease commencement to determine the present value of the lease payments. Leases with an initial term of 12 months or less (“short-term leases”) are not recorded on the balance sheet and are recognized on a straight-line basis over the lease term. Total right-of-use ("ROU") assets and lease liabilities were as follows 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8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0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Pr>
          <w:p>
            <w:pPr>
              <w:spacing w:after="0"/>
              <w:rPr>
                <w:sz w:val="10"/>
                <w:szCs w:val="10"/>
                <w:color w:val="auto"/>
              </w:rPr>
            </w:pPr>
          </w:p>
        </w:tc>
      </w:tr>
      <w:tr>
        <w:trPr>
          <w:trHeight w:val="173"/>
        </w:trPr>
        <w:tc>
          <w:tcPr>
            <w:tcW w:w="40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4"/>
          </w:tcPr>
          <w:p>
            <w:pPr>
              <w:jc w:val="center"/>
              <w:ind w:right="1009"/>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2"/>
                <w:szCs w:val="12"/>
                <w:color w:val="auto"/>
              </w:rPr>
            </w:pPr>
          </w:p>
        </w:tc>
      </w:tr>
      <w:tr>
        <w:trPr>
          <w:trHeight w:val="148"/>
        </w:trPr>
        <w:tc>
          <w:tcPr>
            <w:tcW w:w="4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Right-of-use assets</w:t>
            </w:r>
          </w:p>
        </w:tc>
        <w:tc>
          <w:tcPr>
            <w:tcW w:w="3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right-of-use assets</w:t>
            </w:r>
          </w:p>
        </w:tc>
        <w:tc>
          <w:tcPr>
            <w:tcW w:w="1060" w:type="dxa"/>
            <w:vAlign w:val="bottom"/>
            <w:gridSpan w:val="2"/>
          </w:tcPr>
          <w:p>
            <w:pPr>
              <w:jc w:val="right"/>
              <w:ind w:right="7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30,229</w:t>
            </w: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27,837</w:t>
            </w:r>
          </w:p>
        </w:tc>
      </w:tr>
      <w:tr>
        <w:trPr>
          <w:trHeight w:val="148"/>
        </w:trPr>
        <w:tc>
          <w:tcPr>
            <w:tcW w:w="4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Finance lease assets</w:t>
            </w:r>
          </w:p>
        </w:tc>
        <w:tc>
          <w:tcPr>
            <w:tcW w:w="3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2,818</w:t>
            </w:r>
          </w:p>
        </w:tc>
      </w:tr>
      <w:tr>
        <w:trPr>
          <w:trHeight w:val="148"/>
        </w:trPr>
        <w:tc>
          <w:tcPr>
            <w:tcW w:w="4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Lease Liabilities</w:t>
            </w: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3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12,762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5,735</w:t>
            </w:r>
          </w:p>
        </w:tc>
      </w:tr>
      <w:tr>
        <w:trPr>
          <w:trHeight w:val="148"/>
        </w:trPr>
        <w:tc>
          <w:tcPr>
            <w:tcW w:w="40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3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1,904</w:t>
            </w:r>
          </w:p>
        </w:tc>
      </w:tr>
      <w:tr>
        <w:trPr>
          <w:trHeight w:val="148"/>
        </w:trPr>
        <w:tc>
          <w:tcPr>
            <w:tcW w:w="4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w:t>
            </w: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0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Non-current operating lease liabilities</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25,111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30,205</w:t>
            </w:r>
          </w:p>
        </w:tc>
      </w:tr>
      <w:tr>
        <w:trPr>
          <w:trHeight w:val="188"/>
        </w:trPr>
        <w:tc>
          <w:tcPr>
            <w:tcW w:w="4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936</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value and accumulated depreciation of ROU assets related to finance leases were as follows at: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right"/>
              <w:ind w:right="309"/>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Gross value</w:t>
            </w:r>
          </w:p>
        </w:tc>
        <w:tc>
          <w:tcPr>
            <w:tcW w:w="4300" w:type="dxa"/>
            <w:vAlign w:val="bottom"/>
            <w:gridSpan w:val="2"/>
            <w:shd w:val="clear" w:color="auto" w:fill="CFF0FC"/>
          </w:tcPr>
          <w:p>
            <w:pPr>
              <w:jc w:val="right"/>
              <w:ind w:right="10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amortization</w:t>
            </w:r>
          </w:p>
        </w:tc>
        <w:tc>
          <w:tcPr>
            <w:tcW w:w="3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7"/>
              </w:rPr>
              <w:t>(4,220)</w:t>
            </w:r>
          </w:p>
        </w:tc>
        <w:tc>
          <w:tcPr>
            <w:tcW w:w="3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(2,498)</w:t>
            </w:r>
          </w:p>
        </w:tc>
      </w:tr>
      <w:tr>
        <w:trPr>
          <w:trHeight w:val="20"/>
        </w:trPr>
        <w:tc>
          <w:tcPr>
            <w:tcW w:w="4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Carrying value</w:t>
            </w:r>
          </w:p>
        </w:tc>
        <w:tc>
          <w:tcPr>
            <w:tcW w:w="4300" w:type="dxa"/>
            <w:vAlign w:val="bottom"/>
            <w:gridSpan w:val="2"/>
            <w:shd w:val="clear" w:color="auto" w:fill="CFF0FC"/>
          </w:tcPr>
          <w:p>
            <w:pPr>
              <w:jc w:val="right"/>
              <w:ind w:right="1071"/>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340" w:type="dxa"/>
            <w:vAlign w:val="bottom"/>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2,818</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for the fiscal year-ended are as follows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10"/>
                <w:szCs w:val="10"/>
                <w:color w:val="auto"/>
              </w:rPr>
            </w:pPr>
          </w:p>
        </w:tc>
        <w:tc>
          <w:tcPr>
            <w:tcW w:w="118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20" w:type="dxa"/>
            <w:vAlign w:val="bottom"/>
          </w:tcPr>
          <w:p>
            <w:pPr>
              <w:spacing w:after="0"/>
              <w:rPr>
                <w:sz w:val="10"/>
                <w:szCs w:val="10"/>
                <w:color w:val="auto"/>
              </w:rPr>
            </w:pPr>
          </w:p>
        </w:tc>
      </w:tr>
      <w:tr>
        <w:trPr>
          <w:trHeight w:val="173"/>
        </w:trPr>
        <w:tc>
          <w:tcPr>
            <w:tcW w:w="6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cost:</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9,420</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8,339</w:t>
            </w:r>
          </w:p>
        </w:tc>
      </w:tr>
      <w:tr>
        <w:trPr>
          <w:trHeight w:val="148"/>
        </w:trPr>
        <w:tc>
          <w:tcPr>
            <w:tcW w:w="66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Variable lease costs not included in liability</w:t>
            </w: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operating lease cost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12,352</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9,981</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8,945</w:t>
            </w: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Finance lease cost:</w:t>
            </w: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1,568</w:t>
            </w:r>
          </w:p>
        </w:tc>
      </w:tr>
      <w:tr>
        <w:trPr>
          <w:trHeight w:val="149"/>
        </w:trPr>
        <w:tc>
          <w:tcPr>
            <w:tcW w:w="66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on lease liabilities</w:t>
            </w: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finance lease cost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1,844</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1,846</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1,706</w:t>
            </w: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-539115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-539115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-539115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-127635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right="40"/>
        <w:spacing w:after="0" w:line="245" w:lineRule="exact"/>
        <w:rPr>
          <w:sz w:val="20"/>
          <w:szCs w:val="20"/>
          <w:color w:val="auto"/>
        </w:rPr>
      </w:pPr>
      <w:r>
        <w:rPr>
          <w:rFonts w:ascii="Times New Roman" w:cs="Times New Roman" w:eastAsia="Times New Roman" w:hAnsi="Times New Roman"/>
          <w:sz w:val="18"/>
          <w:szCs w:val="18"/>
          <w:color w:val="auto"/>
        </w:rPr>
        <w:t>During 2025, 2024 and 2023, the Company recorded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impairment charges of $0.6 million, $0.0 million and $0.4 million, respectively, which were included in impairment of brewery assets in the consolidated statements of comprehensive income. In addition, during 2024, the Company recorded losses of $0.2 million on disposals of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included in other expenses, net in the consolidated statements of comprehensive income.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27,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300" w:type="dxa"/>
            <w:vAlign w:val="bottom"/>
            <w:gridSpan w:val="4"/>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380" w:type="dxa"/>
            <w:vAlign w:val="bottom"/>
            <w:gridSpan w:val="3"/>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13,918</w:t>
            </w: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41,434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imputed interest (based on 3.5% weighted-average</w:t>
            </w:r>
          </w:p>
        </w:tc>
        <w:tc>
          <w:tcPr>
            <w:tcW w:w="180" w:type="dxa"/>
            <w:vAlign w:val="bottom"/>
          </w:tcPr>
          <w:p>
            <w:pPr>
              <w:spacing w:after="0"/>
              <w:rPr>
                <w:sz w:val="10"/>
                <w:szCs w:val="10"/>
                <w:color w:val="auto"/>
              </w:rPr>
            </w:pPr>
          </w:p>
        </w:tc>
        <w:tc>
          <w:tcPr>
            <w:tcW w:w="11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78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discount rate)</w:t>
            </w: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Present value of lease liabilities</w:t>
            </w: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37,873</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w:t>
            </w: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H. Goodwill and Intangible Assets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guidance for goodwill impairment testing allows an entity to assess qualitative factors to determine whether the existence of events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of goodwill was recorded in any period.</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intangible assets consist primarily of a trademark and customer relationships obtained through the Company’s Dogfish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acquisition. Customer relationships are amortized over their estimated useful lives and beginning in the fourth quarter of 2024, the Company changed the indefinite useful life Dogfish Head trademark asset and began amortizing the remaining balance over an estimated useful life of 10 years.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third quarter of 2024 and 2023, the Dogfish Head trademark was classified as an indefinite-lived intangible asset and was not amortized. In line with accounting guidance, the Company performed a quantitative impairment test. The quantitative test compared the trademark’s carrying value to its estimated fair value, determined using the relief-from-royalty method.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2024, as a result of performing this testing, the Dogfish Head trademark asset with a carrying value of $55.6 million was written down to its estimated fair value of $14.4 million. The Coney Island trademark asset with a carrying value of $1.0 million was written down to zero and the Angel City trademark asset with a carrying value of $0.4 million was written down to zero, resulting in a total impairment of $42.6 million which was recorded during the third quarter of 2024.</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2023, as a result of performing this testing, the Dogfish Head trademark asset with a carrying value of $71.4 million was written down to its estimated fair value of $55.6 million and the Coney Island trademark asset with a carrying value of $1.6 million was written down to its estimated fair value of $1.0 million, resulting in a total impairment of $16.4 million which was recorded during the third quarter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were as follows as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5"/>
                <w:szCs w:val="15"/>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FF0FC"/>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w:t>
            </w:r>
          </w:p>
        </w:tc>
        <w:tc>
          <w:tcPr>
            <w:tcW w:w="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2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(1,394)</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10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14,400</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1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w:t>
            </w: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(3,447)</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14,753</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w:t>
            </w:r>
          </w:p>
        </w:tc>
        <w:tc>
          <w:tcPr>
            <w:tcW w:w="2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(1,754)</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right="180"/>
        <w:spacing w:after="0" w:line="260" w:lineRule="auto"/>
        <w:rPr>
          <w:sz w:val="20"/>
          <w:szCs w:val="20"/>
          <w:color w:val="auto"/>
        </w:rPr>
      </w:pPr>
      <w:r>
        <w:rPr>
          <w:rFonts w:ascii="Times New Roman" w:cs="Times New Roman" w:eastAsia="Times New Roman" w:hAnsi="Times New Roman"/>
          <w:sz w:val="18"/>
          <w:szCs w:val="18"/>
          <w:color w:val="auto"/>
        </w:rPr>
        <w:t>*During the 2024 annual intangible impairment testing the Company changed the remaining useful life of the Dogfish Head trademark intangible asset to 10 years.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was approximately $1.7 million and $0.6 million in fiscal 2025 and 2024, respectively. The Company expects to record amortization expense as follows over the subsequent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20" w:type="dxa"/>
            <w:vAlign w:val="bottom"/>
          </w:tcPr>
          <w:p>
            <w:pPr>
              <w:spacing w:after="0"/>
              <w:rPr>
                <w:sz w:val="15"/>
                <w:szCs w:val="15"/>
                <w:color w:val="auto"/>
              </w:rPr>
            </w:pPr>
          </w:p>
        </w:tc>
      </w:tr>
      <w:tr>
        <w:trPr>
          <w:trHeight w:val="142"/>
        </w:trPr>
        <w:tc>
          <w:tcPr>
            <w:tcW w:w="8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1,693</w:t>
            </w: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1,693</w:t>
            </w:r>
          </w:p>
        </w:tc>
      </w:tr>
      <w:tr>
        <w:trPr>
          <w:trHeight w:val="148"/>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1,693</w:t>
            </w:r>
          </w:p>
        </w:tc>
      </w:tr>
      <w:tr>
        <w:trPr>
          <w:trHeight w:val="149"/>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1,693</w:t>
            </w:r>
          </w:p>
        </w:tc>
      </w:tr>
      <w:tr>
        <w:trPr>
          <w:trHeight w:val="148"/>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1,693</w:t>
            </w: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6,288</w:t>
            </w:r>
          </w:p>
        </w:tc>
        <w:tc>
          <w:tcPr>
            <w:tcW w:w="120" w:type="dxa"/>
            <w:vAlign w:val="bottom"/>
          </w:tcPr>
          <w:p>
            <w:pPr>
              <w:spacing w:after="0"/>
              <w:rPr>
                <w:sz w:val="12"/>
                <w:szCs w:val="12"/>
                <w:color w:val="auto"/>
              </w:rPr>
            </w:pPr>
          </w:p>
        </w:tc>
      </w:tr>
      <w:tr>
        <w:trPr>
          <w:trHeight w:val="162"/>
        </w:trPr>
        <w:tc>
          <w:tcPr>
            <w:tcW w:w="8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amortization to be recorded</w:t>
            </w:r>
          </w:p>
        </w:tc>
        <w:tc>
          <w:tcPr>
            <w:tcW w:w="5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14,753</w:t>
            </w:r>
          </w:p>
        </w:tc>
      </w:tr>
      <w:tr>
        <w:trPr>
          <w:trHeight w:val="20"/>
        </w:trPr>
        <w:tc>
          <w:tcPr>
            <w:tcW w:w="8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Third-Party Production Payments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27, 2025 and December 28, 2024, the Company produced approximately 86% and 74%, respectively, of its domestic volume at Company-owned production facilities. In the normal course of its business, the Company has historically entered into various production arrangements with other beverage companies. Pursuant to these arrangements, the Company generally supplies raw materials and packaging to those companies and incurs conversion fees for labor at the time the liquid is produced and packaged.</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currently has production services agreements with subsidiaries of City Brewing Company, LLC (“City Brewing”). In August 2025, the Company extended the terms and amended certain fees under these agreements. The contracts now expire on December 31, 2028 and the Company retains the contractual right to extend these agreements annually through December 31, 2035. These City Brewing agreements include a minimum capacity availability commitment by City Brewing and the Company is obligated to meet annual minimum volume commitments and is subject to contractual shortfall fees, if these annual minimum volume commitments are not met.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27, 2025 and December 28, 2024, City Brewing supplied approximately 14% and 26%, respectively, of the Company’s domestic shipment volume. In accordance with the production services agreement, the Company has made payments to City Brewing which were principally used for capital improvements at City Brewing facilities. These payments are being expensed over the terms of the agreements. During years ended December 27, 2025 and December 28, 2024, third-party production prepayment expense was $8.4 million and $20.1 million, respectively. The remaining net book value of these third-party production prepayments is $7.1 million as of December 27, 2025, which is expected to be expensed to cost of goods sold ratably based on committed annual production capacity through December 31, 2028.</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January of 2024, the Company and City Brewing entered into a Loan and Security agreement at which time payment of $20 million was made by the Company to City Brewing. Repayment of the note receivable plus an agreed investment return for a combined total of $22.4 million shall be repaid to the Company subject to annual repayment limits. As of December 27, 2025, the balance of the note receivable was $11.2 million and the final maturity date is December 31, 2028.</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of 2024, the Company announced an amendment and restatement in its entirety of an existing production agreement with a third-party supplier, Rauch North America Inc ("Rauch"). This amendment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amended and restated Rauch agreement includes quarterly minimum payments that total $4.1 million annually at zero volume and a termination fee of $5 million with 12 months written notice. The initial term of the agreement expires on December 31, 2031 with provisions to extend.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20"/>
        <w:spacing w:after="0" w:line="258" w:lineRule="auto"/>
        <w:rPr>
          <w:sz w:val="20"/>
          <w:szCs w:val="20"/>
          <w:color w:val="auto"/>
        </w:rPr>
      </w:pPr>
      <w:r>
        <w:rPr>
          <w:rFonts w:ascii="Times New Roman" w:cs="Times New Roman" w:eastAsia="Times New Roman" w:hAnsi="Times New Roman"/>
          <w:sz w:val="18"/>
          <w:szCs w:val="18"/>
          <w:color w:val="auto"/>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2025 and 2024, the Company recorded $21.4 million and $13.0 million, respectively, in shortfall fees. At current volume projections, the Company anticipates that it will recognize approximately $19 million of shortfall fees in future years with $6 million forecasted to be expensed in 2026 and $13 million expected to be expensed in future years thereafter.</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27, 2025, if volume for the remaining term of the production arrangements was zero, the total contractual shortfall and termination fees, with advance notice as specified in the related contractual agreements, would total approximately $26 million with $15 million due in 2026 and $11 million due in future years thereafter.</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wages, benefits, and reimbursements</w:t>
            </w:r>
          </w:p>
        </w:tc>
        <w:tc>
          <w:tcPr>
            <w:tcW w:w="26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53,709</w:t>
            </w: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47,992</w:t>
            </w:r>
          </w:p>
        </w:tc>
      </w:tr>
      <w:tr>
        <w:trPr>
          <w:trHeight w:val="149"/>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Advertising, promotional, and selling expenses</w:t>
            </w: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20,862</w:t>
            </w: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22,666</w:t>
            </w:r>
          </w:p>
        </w:tc>
      </w:tr>
      <w:tr>
        <w:trPr>
          <w:trHeight w:val="148"/>
        </w:trPr>
        <w:tc>
          <w:tcPr>
            <w:tcW w:w="5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inventory and production related costs</w:t>
            </w:r>
          </w:p>
        </w:tc>
        <w:tc>
          <w:tcPr>
            <w:tcW w:w="2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20,598</w:t>
            </w: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14,657</w:t>
            </w: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deposits</w:t>
            </w: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13,468</w:t>
            </w: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15,213</w:t>
            </w:r>
          </w:p>
        </w:tc>
      </w:tr>
      <w:tr>
        <w:trPr>
          <w:trHeight w:val="148"/>
        </w:trPr>
        <w:tc>
          <w:tcPr>
            <w:tcW w:w="5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13,338</w:t>
            </w: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11,302</w:t>
            </w: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6,252</w:t>
            </w:r>
          </w:p>
        </w:tc>
        <w:tc>
          <w:tcPr>
            <w:tcW w:w="3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7,444</w:t>
            </w:r>
          </w:p>
        </w:tc>
      </w:tr>
      <w:tr>
        <w:trPr>
          <w:trHeight w:val="149"/>
        </w:trPr>
        <w:tc>
          <w:tcPr>
            <w:tcW w:w="5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returns</w:t>
            </w:r>
          </w:p>
        </w:tc>
        <w:tc>
          <w:tcPr>
            <w:tcW w:w="2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4,932</w:t>
            </w: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6,092</w:t>
            </w: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11,638</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100" w:type="dxa"/>
            <w:vAlign w:val="bottom"/>
          </w:tcPr>
          <w:p>
            <w:pPr>
              <w:spacing w:after="0"/>
              <w:rPr>
                <w:sz w:val="12"/>
                <w:szCs w:val="12"/>
                <w:color w:val="auto"/>
              </w:rPr>
            </w:pPr>
          </w:p>
        </w:tc>
      </w:tr>
      <w:tr>
        <w:trPr>
          <w:trHeight w:val="162"/>
        </w:trPr>
        <w:tc>
          <w:tcPr>
            <w:tcW w:w="5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26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144,797</w:t>
            </w:r>
          </w:p>
        </w:tc>
        <w:tc>
          <w:tcPr>
            <w:tcW w:w="340" w:type="dxa"/>
            <w:vAlign w:val="bottom"/>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138,618</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Revolving Line of Credit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2022, the Company amended its $150.0 million credit facility agreement, which now has a term not scheduled to expire until December 16, 2027. Under the terms of the amended agreement, the Company may elect an interest rate for borrowings under the credit facility based on the applicable secured overnight financing rate ("SOFR") plus 1.1%. At December 27, 2025, the applicable SOFR was 3.76%. The Company incurs an annual commitment fee of 0.2% on the unused portion of the facility and is obligated to meet certain financial covenants, which are measured using earnings before interest, tax, depreciation, and amortization (“EBITDA”) based ratios. The Company’s EBITDA to interest expense ratio was 2,107 as of December 27, 2025, compared to a minimum allowable ratio of 2.0 and the Company’s total funded debt to EBITDA ratio was 0.0 as of December 27, 2025, compared to a maximum allowable ratio of 2.5. There were no borrowings, repayments, or interest payments during 2025 or 2024. There were no borrowings outstanding under the credit facility as of December 27, 2025.</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 other equity interests 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 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L. Income Taxes</w:t>
      </w:r>
    </w:p>
    <w:p>
      <w:pPr>
        <w:spacing w:after="0" w:line="227" w:lineRule="exact"/>
        <w:rPr>
          <w:sz w:val="20"/>
          <w:szCs w:val="20"/>
          <w:color w:val="auto"/>
        </w:rPr>
      </w:pPr>
    </w:p>
    <w:p>
      <w:pPr>
        <w:ind w:right="60"/>
        <w:spacing w:after="0" w:line="221" w:lineRule="exact"/>
        <w:rPr>
          <w:sz w:val="20"/>
          <w:szCs w:val="20"/>
          <w:color w:val="auto"/>
        </w:rPr>
      </w:pPr>
      <w:r>
        <w:rPr>
          <w:rFonts w:ascii="Times New Roman" w:cs="Times New Roman" w:eastAsia="Times New Roman" w:hAnsi="Times New Roman"/>
          <w:sz w:val="18"/>
          <w:szCs w:val="18"/>
          <w:color w:val="auto"/>
        </w:rPr>
        <w:t>During the period ended December 27, 2025, the Company adopted ASU 2023-09—</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income tax disclosures, primarily related to the rate reconciliation and income taxes paid. The Company is applying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on a prospective basis. As a result, for certain reconciliations presented in the income taxes footnote, comparative information for 2024 and 2023 is presented in a separate table.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on which the provision for income taxes was computed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3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3860" w:type="dxa"/>
            <w:vAlign w:val="bottom"/>
            <w:gridSpan w:val="2"/>
            <w:shd w:val="clear" w:color="auto" w:fill="CFF0FC"/>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157,651</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91,218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111,247</w:t>
            </w:r>
          </w:p>
        </w:tc>
        <w:tc>
          <w:tcPr>
            <w:tcW w:w="120" w:type="dxa"/>
            <w:vAlign w:val="bottom"/>
            <w:shd w:val="clear" w:color="auto" w:fill="CFF0FC"/>
          </w:tcPr>
          <w:p>
            <w:pPr>
              <w:spacing w:after="0"/>
              <w:rPr>
                <w:sz w:val="12"/>
                <w:szCs w:val="12"/>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(1,659)</w:t>
            </w:r>
          </w:p>
        </w:tc>
      </w:tr>
      <w:tr>
        <w:trPr>
          <w:trHeight w:val="20"/>
        </w:trPr>
        <w:tc>
          <w:tcPr>
            <w:tcW w:w="3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860" w:type="dxa"/>
            <w:vAlign w:val="bottom"/>
            <w:gridSpan w:val="2"/>
            <w:shd w:val="clear" w:color="auto" w:fill="CFF0FC"/>
          </w:tcPr>
          <w:p>
            <w:pPr>
              <w:jc w:val="right"/>
              <w:ind w:righ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153,460</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87,602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109,588</w:t>
            </w:r>
          </w:p>
        </w:tc>
        <w:tc>
          <w:tcPr>
            <w:tcW w:w="120" w:type="dxa"/>
            <w:vAlign w:val="bottom"/>
            <w:shd w:val="clear" w:color="auto" w:fill="CFF0FC"/>
          </w:tcPr>
          <w:p>
            <w:pPr>
              <w:spacing w:after="0"/>
              <w:rPr>
                <w:sz w:val="14"/>
                <w:szCs w:val="14"/>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income tax provision for fiscal 2025, 2024, and 2023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860" w:type="dxa"/>
            <w:vAlign w:val="bottom"/>
          </w:tcPr>
          <w:p>
            <w:pPr>
              <w:jc w:val="right"/>
              <w:ind w:right="73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36,364</w:t>
            </w:r>
          </w:p>
        </w:tc>
        <w:tc>
          <w:tcPr>
            <w:tcW w:w="100" w:type="dxa"/>
            <w:vAlign w:val="bottom"/>
          </w:tcPr>
          <w:p>
            <w:pPr>
              <w:spacing w:after="0"/>
              <w:rPr>
                <w:sz w:val="12"/>
                <w:szCs w:val="12"/>
                <w:color w:val="auto"/>
              </w:rPr>
            </w:pPr>
          </w:p>
        </w:tc>
        <w:tc>
          <w:tcPr>
            <w:tcW w:w="3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36,556</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9,144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9,880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8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current</w:t>
            </w:r>
          </w:p>
        </w:tc>
        <w:tc>
          <w:tcPr>
            <w:tcW w:w="8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46,143</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47,851</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44,206</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8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(17,175)</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(10,816)</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8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20"/>
        </w:trPr>
        <w:tc>
          <w:tcPr>
            <w:tcW w:w="6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deferred</w:t>
            </w:r>
          </w:p>
        </w:tc>
        <w:tc>
          <w:tcPr>
            <w:tcW w:w="8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(19,944)</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(10,868)</w:t>
            </w:r>
          </w:p>
        </w:tc>
      </w:tr>
      <w:tr>
        <w:trPr>
          <w:trHeight w:val="142"/>
        </w:trPr>
        <w:tc>
          <w:tcPr>
            <w:tcW w:w="66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income tax provision</w:t>
            </w:r>
          </w:p>
        </w:tc>
        <w:tc>
          <w:tcPr>
            <w:tcW w:w="860" w:type="dxa"/>
            <w:vAlign w:val="bottom"/>
            <w:tcBorders>
              <w:top w:val="single" w:sz="8" w:color="auto"/>
              <w:bottom w:val="single" w:sz="8" w:color="auto"/>
            </w:tcBorders>
          </w:tcPr>
          <w:p>
            <w:pPr>
              <w:jc w:val="right"/>
              <w:ind w:right="73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44,991</w:t>
            </w: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27,907</w:t>
            </w: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33,338</w:t>
            </w:r>
          </w:p>
        </w:tc>
        <w:tc>
          <w:tcPr>
            <w:tcW w:w="120" w:type="dxa"/>
            <w:vAlign w:val="bottom"/>
            <w:tcBorders>
              <w:top w:val="single" w:sz="8" w:color="CFF0FC"/>
            </w:tcBorders>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to statutory rates for fiscal 2025, after the adoption of ASU 2023-09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U.S. federal statutory rate</w:t>
            </w:r>
          </w:p>
        </w:tc>
        <w:tc>
          <w:tcPr>
            <w:tcW w:w="2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21.0%</w:t>
            </w: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 and local income taxes, net of federal income tax effect</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tax effects</w:t>
            </w: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5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562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4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credits</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6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Federal tax credits</w:t>
            </w: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(0.8)</w:t>
            </w: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valuation allowances</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5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Share-based payment awards</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40" w:type="dxa"/>
            <w:vAlign w:val="bottom"/>
          </w:tcPr>
          <w:p>
            <w:pPr>
              <w:spacing w:after="0"/>
              <w:rPr>
                <w:sz w:val="12"/>
                <w:szCs w:val="12"/>
                <w:color w:val="auto"/>
              </w:rPr>
            </w:pPr>
          </w:p>
        </w:tc>
      </w:tr>
      <w:tr>
        <w:trPr>
          <w:trHeight w:val="148"/>
        </w:trPr>
        <w:tc>
          <w:tcPr>
            <w:tcW w:w="56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Limitation on officer's compensation</w:t>
            </w: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FF0FC"/>
          </w:tcPr>
          <w:p>
            <w:pPr>
              <w:spacing w:after="0"/>
              <w:rPr>
                <w:sz w:val="12"/>
                <w:szCs w:val="12"/>
                <w:color w:val="auto"/>
              </w:rPr>
            </w:pPr>
          </w:p>
        </w:tc>
      </w:tr>
      <w:tr>
        <w:trPr>
          <w:trHeight w:val="148"/>
        </w:trPr>
        <w:tc>
          <w:tcPr>
            <w:tcW w:w="5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Non-deductible meals &amp; entertainment</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unrecognized tax benefits</w:t>
            </w: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20"/>
        </w:trPr>
        <w:tc>
          <w:tcPr>
            <w:tcW w:w="5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5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Effective tax rate</w:t>
            </w:r>
          </w:p>
        </w:tc>
        <w:tc>
          <w:tcPr>
            <w:tcW w:w="2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44,991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29.3%</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reconciliations to statutory rates for periods prior to the adoption of ASU 2023-09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6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Statutory rate</w:t>
            </w:r>
          </w:p>
        </w:tc>
        <w:tc>
          <w:tcPr>
            <w:tcW w:w="18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17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21.0%</w:t>
            </w: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 income taxes, net of federal benefit</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2"/>
                <w:szCs w:val="12"/>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Non-deductible compensation under Internal Revenue Code Section 162(m)</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FF0FC"/>
          </w:tcPr>
          <w:p>
            <w:pPr>
              <w:spacing w:after="0"/>
              <w:rPr>
                <w:sz w:val="12"/>
                <w:szCs w:val="12"/>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Non-deductible meals &amp; entertainment</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valuation allowances</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FF0FC"/>
          </w:tcPr>
          <w:p>
            <w:pPr>
              <w:spacing w:after="0"/>
              <w:rPr>
                <w:sz w:val="12"/>
                <w:szCs w:val="12"/>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Deduction relating to excess stock-based compensation</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4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r>
      <w:tr>
        <w:trPr>
          <w:trHeight w:val="149"/>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7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r>
      <w:tr>
        <w:trPr>
          <w:trHeight w:val="20"/>
        </w:trPr>
        <w:tc>
          <w:tcPr>
            <w:tcW w:w="76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42"/>
        </w:trPr>
        <w:tc>
          <w:tcPr>
            <w:tcW w:w="7620" w:type="dxa"/>
            <w:vAlign w:val="bottom"/>
          </w:tcPr>
          <w:p>
            <w:pPr>
              <w:spacing w:after="0"/>
              <w:rPr>
                <w:sz w:val="12"/>
                <w:szCs w:val="12"/>
                <w:color w:val="auto"/>
              </w:rPr>
            </w:pPr>
          </w:p>
        </w:tc>
        <w:tc>
          <w:tcPr>
            <w:tcW w:w="18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31.9%</w:t>
            </w:r>
          </w:p>
        </w:tc>
        <w:tc>
          <w:tcPr>
            <w:tcW w:w="1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30.4%</w:t>
            </w:r>
          </w:p>
        </w:tc>
      </w:tr>
      <w:tr>
        <w:trPr>
          <w:trHeight w:val="20"/>
        </w:trPr>
        <w:tc>
          <w:tcPr>
            <w:tcW w:w="76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-128270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-128270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8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8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gridSpan w:val="5"/>
          </w:tcPr>
          <w:p>
            <w:pPr>
              <w:jc w:val="right"/>
              <w:ind w:right="1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8"/>
        </w:trPr>
        <w:tc>
          <w:tcPr>
            <w:tcW w:w="8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9,656</w:t>
            </w:r>
          </w:p>
        </w:tc>
        <w:tc>
          <w:tcPr>
            <w:tcW w:w="28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9,669</w:t>
            </w:r>
          </w:p>
        </w:tc>
        <w:tc>
          <w:tcPr>
            <w:tcW w:w="100" w:type="dxa"/>
            <w:vAlign w:val="bottom"/>
          </w:tcPr>
          <w:p>
            <w:pPr>
              <w:spacing w:after="0"/>
              <w:rPr>
                <w:sz w:val="12"/>
                <w:szCs w:val="12"/>
                <w:color w:val="auto"/>
              </w:rPr>
            </w:pPr>
          </w:p>
        </w:tc>
      </w:tr>
      <w:tr>
        <w:trPr>
          <w:trHeight w:val="149"/>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Inventory reserves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8,282</w:t>
            </w: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9,415</w:t>
            </w:r>
          </w:p>
        </w:tc>
        <w:tc>
          <w:tcPr>
            <w:tcW w:w="100" w:type="dxa"/>
            <w:vAlign w:val="bottom"/>
          </w:tcPr>
          <w:p>
            <w:pPr>
              <w:spacing w:after="0"/>
              <w:rPr>
                <w:sz w:val="12"/>
                <w:szCs w:val="12"/>
                <w:color w:val="auto"/>
              </w:rPr>
            </w:pPr>
          </w:p>
        </w:tc>
      </w:tr>
      <w:tr>
        <w:trPr>
          <w:trHeight w:val="148"/>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 carryforwards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3,714</w:t>
            </w:r>
          </w:p>
        </w:tc>
        <w:tc>
          <w:tcPr>
            <w:tcW w:w="100" w:type="dxa"/>
            <w:vAlign w:val="bottom"/>
          </w:tcPr>
          <w:p>
            <w:pPr>
              <w:spacing w:after="0"/>
              <w:rPr>
                <w:sz w:val="12"/>
                <w:szCs w:val="12"/>
                <w:color w:val="auto"/>
              </w:rPr>
            </w:pPr>
          </w:p>
        </w:tc>
      </w:tr>
      <w:tr>
        <w:trPr>
          <w:trHeight w:val="148"/>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commitments for inventory at vendor locations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Tax credit carryforwards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2"/>
                <w:szCs w:val="12"/>
                <w:color w:val="auto"/>
              </w:rPr>
            </w:pPr>
          </w:p>
        </w:tc>
      </w:tr>
      <w:tr>
        <w:trPr>
          <w:trHeight w:val="149"/>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Capitalized research and development</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w:t>
            </w: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180" w:type="dxa"/>
            <w:vAlign w:val="bottom"/>
          </w:tcPr>
          <w:p>
            <w:pPr>
              <w:spacing w:after="0"/>
              <w:rPr>
                <w:sz w:val="12"/>
                <w:szCs w:val="12"/>
                <w:color w:val="auto"/>
              </w:rPr>
            </w:pPr>
          </w:p>
        </w:tc>
        <w:tc>
          <w:tcPr>
            <w:tcW w:w="15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2"/>
                <w:szCs w:val="12"/>
                <w:color w:val="auto"/>
              </w:rPr>
            </w:pPr>
          </w:p>
        </w:tc>
      </w:tr>
      <w:tr>
        <w:trPr>
          <w:trHeight w:val="148"/>
        </w:trPr>
        <w:tc>
          <w:tcPr>
            <w:tcW w:w="814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2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14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deferred tax assets</w:t>
            </w:r>
          </w:p>
        </w:tc>
        <w:tc>
          <w:tcPr>
            <w:tcW w:w="1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34,591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40,037</w:t>
            </w:r>
          </w:p>
        </w:tc>
        <w:tc>
          <w:tcPr>
            <w:tcW w:w="100" w:type="dxa"/>
            <w:vAlign w:val="bottom"/>
          </w:tcPr>
          <w:p>
            <w:pPr>
              <w:spacing w:after="0"/>
              <w:rPr>
                <w:sz w:val="12"/>
                <w:szCs w:val="12"/>
                <w:color w:val="auto"/>
              </w:rPr>
            </w:pPr>
          </w:p>
        </w:tc>
      </w:tr>
      <w:tr>
        <w:trPr>
          <w:trHeight w:val="149"/>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Valuation allowances</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(9,926)</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(8,203)</w:t>
            </w:r>
          </w:p>
        </w:tc>
      </w:tr>
      <w:tr>
        <w:trPr>
          <w:trHeight w:val="142"/>
        </w:trPr>
        <w:tc>
          <w:tcPr>
            <w:tcW w:w="814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24,665</w:t>
            </w:r>
          </w:p>
        </w:tc>
        <w:tc>
          <w:tcPr>
            <w:tcW w:w="2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31,834</w:t>
            </w:r>
          </w:p>
        </w:tc>
        <w:tc>
          <w:tcPr>
            <w:tcW w:w="100" w:type="dxa"/>
            <w:vAlign w:val="bottom"/>
            <w:tcBorders>
              <w:top w:val="single" w:sz="8" w:color="CFF0FC"/>
            </w:tcBorders>
          </w:tcPr>
          <w:p>
            <w:pPr>
              <w:spacing w:after="0"/>
              <w:rPr>
                <w:sz w:val="12"/>
                <w:szCs w:val="12"/>
                <w:color w:val="auto"/>
              </w:rPr>
            </w:pPr>
          </w:p>
        </w:tc>
      </w:tr>
      <w:tr>
        <w:trPr>
          <w:trHeight w:val="148"/>
        </w:trPr>
        <w:tc>
          <w:tcPr>
            <w:tcW w:w="8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(76,201)</w:t>
            </w:r>
          </w:p>
        </w:tc>
        <w:tc>
          <w:tcPr>
            <w:tcW w:w="14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(84,081)</w:t>
            </w:r>
          </w:p>
        </w:tc>
      </w:tr>
      <w:tr>
        <w:trPr>
          <w:trHeight w:val="148"/>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(7,643)</w:t>
            </w:r>
          </w:p>
        </w:tc>
      </w:tr>
      <w:tr>
        <w:trPr>
          <w:trHeight w:val="148"/>
        </w:trPr>
        <w:tc>
          <w:tcPr>
            <w:tcW w:w="81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14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1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(4,211)</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(5,913)</w:t>
            </w:r>
          </w:p>
        </w:tc>
      </w:tr>
      <w:tr>
        <w:trPr>
          <w:trHeight w:val="20"/>
        </w:trPr>
        <w:tc>
          <w:tcPr>
            <w:tcW w:w="8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814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deferred tax liabilities</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(89,450)</w:t>
            </w:r>
          </w:p>
        </w:tc>
        <w:tc>
          <w:tcPr>
            <w:tcW w:w="14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(97,637)</w:t>
            </w:r>
          </w:p>
        </w:tc>
      </w:tr>
      <w:tr>
        <w:trPr>
          <w:trHeight w:val="20"/>
        </w:trPr>
        <w:tc>
          <w:tcPr>
            <w:tcW w:w="8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814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Net deferred tax liabilities</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(64,785)</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(65,803)</w:t>
            </w:r>
          </w:p>
        </w:tc>
      </w:tr>
      <w:tr>
        <w:trPr>
          <w:trHeight w:val="20"/>
        </w:trPr>
        <w:tc>
          <w:tcPr>
            <w:tcW w:w="8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-1002665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-805180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-231140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income tax matters in income tax expense. Interest and penalties included in the provision for income taxes amounted to $0.0 million in fiscal year 2025, $(0.2) million in fiscal year 2024, and $0.1 in fiscal year 2023. Accrued interest and penalties amounted to $0.1 million at December 27, 2025 and $0.1 million at December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for fiscal 2025 and 2024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beginning of period</w:t>
            </w:r>
          </w:p>
        </w:tc>
        <w:tc>
          <w:tcPr>
            <w:tcW w:w="3520" w:type="dxa"/>
            <w:vAlign w:val="bottom"/>
            <w:gridSpan w:val="2"/>
            <w:shd w:val="clear" w:color="auto" w:fill="CFF0FC"/>
          </w:tcPr>
          <w:p>
            <w:pPr>
              <w:jc w:val="right"/>
              <w:ind w:right="9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480" w:type="dxa"/>
            <w:vAlign w:val="bottom"/>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303</w:t>
            </w: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Increases related to current period tax positions</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8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48"/>
        </w:trPr>
        <w:tc>
          <w:tcPr>
            <w:tcW w:w="5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Increases related to prior period tax positions</w:t>
            </w:r>
          </w:p>
        </w:tc>
        <w:tc>
          <w:tcPr>
            <w:tcW w:w="24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309</w:t>
            </w: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Decreases related to lapse of statute of limitations</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8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w:t>
            </w: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end of period</w:t>
            </w:r>
          </w:p>
        </w:tc>
        <w:tc>
          <w:tcPr>
            <w:tcW w:w="3520" w:type="dxa"/>
            <w:vAlign w:val="bottom"/>
            <w:gridSpan w:val="2"/>
            <w:shd w:val="clear" w:color="auto" w:fill="CFF0FC"/>
          </w:tcPr>
          <w:p>
            <w:pPr>
              <w:jc w:val="right"/>
              <w:ind w:right="9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515</w:t>
            </w:r>
          </w:p>
        </w:tc>
        <w:tc>
          <w:tcPr>
            <w:tcW w:w="480" w:type="dxa"/>
            <w:vAlign w:val="bottom"/>
            <w:shd w:val="clear" w:color="auto" w:fill="CFF0FC"/>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480</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27, 2025 and December 28, 2024 are potential net benefits of $0.5 million and $0.5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spacing w:after="0" w:line="261" w:lineRule="auto"/>
        <w:rPr>
          <w:sz w:val="20"/>
          <w:szCs w:val="20"/>
          <w:color w:val="auto"/>
        </w:rPr>
      </w:pPr>
      <w:r>
        <w:rPr>
          <w:rFonts w:ascii="Times New Roman" w:cs="Times New Roman" w:eastAsia="Times New Roman" w:hAnsi="Times New Roman"/>
          <w:sz w:val="18"/>
          <w:szCs w:val="18"/>
          <w:color w:val="auto"/>
        </w:rPr>
        <w:t>As of December 27, 2025, the Company’s 2022, 2023, and 2024 federal income tax returns remain subject to examination by the IRS. The Company’s state income tax returns remain subject to examination for three or four years depending on the state’s statute of limitations. In addition, the Company is generally obligated to report changes in taxable income arising from federal income tax audits. The Company is currently under one income tax audit as of December 27,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27, 2025, the Company had Canadian non-capital loss carryforwards totaling $15.5 million, compared to $10.8 million as of December 28, 2024. These loss carryforwards will expire in various years from 2042 to 2046. The Company maintains a valuation allowance against these losses due to insufficient positive evidence to support their realization.</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27, 2025, the Company’s deferred tax assets include a valuation allowance of $9.9 million, compared to $8.2 million at December 28, 2024. In evaluating the realizability of deferred tax assets, the Company considers all available evidence, both positive and negative. This assessment includes historical operating results, expectations of future market growth, forecasted earnings, future taxable income, and feasible tax planning strategies. The valuation allowance as of December 27, 2025 and December 28, 2024 was primarily related to stock-based compensation expected by management to be non-deductible under Internal Revenue Code, Section 162(m), as well as jurisdictional losses not expected to be utilized before expiring. The net increase in total valuation allowance was $1.7 million from December 28, 2024 to December 27, 2025, compared to a net increase of $2.4 million from December 30, 2023 to December 28, 2024 and a net increase of $1.2 million from December 31, 2022 to December 30, 2023.</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period ended December 27, 2025, income taxes paid (net of refunds) in any state or foreign jurisdiction did not exceed 5 percent of total income taxes paid (net of refunds).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148"/>
        </w:trPr>
        <w:tc>
          <w:tcPr>
            <w:tcW w:w="5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4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49,000</w:t>
            </w:r>
          </w:p>
        </w:tc>
        <w:tc>
          <w:tcPr>
            <w:tcW w:w="100" w:type="dxa"/>
            <w:vAlign w:val="bottom"/>
            <w:shd w:val="clear" w:color="auto" w:fill="CFF0FC"/>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3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13,920</w:t>
            </w:r>
          </w:p>
        </w:tc>
        <w:tc>
          <w:tcPr>
            <w:tcW w:w="100" w:type="dxa"/>
            <w:vAlign w:val="bottom"/>
          </w:tcPr>
          <w:p>
            <w:pPr>
              <w:spacing w:after="0"/>
              <w:rPr>
                <w:sz w:val="12"/>
                <w:szCs w:val="12"/>
                <w:color w:val="auto"/>
              </w:rPr>
            </w:pPr>
          </w:p>
        </w:tc>
      </w:tr>
      <w:tr>
        <w:trPr>
          <w:trHeight w:val="148"/>
        </w:trPr>
        <w:tc>
          <w:tcPr>
            <w:tcW w:w="55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Canada</w:t>
            </w:r>
          </w:p>
        </w:tc>
        <w:tc>
          <w:tcPr>
            <w:tcW w:w="37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income tax payments, net</w:t>
            </w:r>
          </w:p>
        </w:tc>
        <w:tc>
          <w:tcPr>
            <w:tcW w:w="3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63,424</w:t>
            </w:r>
          </w:p>
        </w:tc>
        <w:tc>
          <w:tcPr>
            <w:tcW w:w="100" w:type="dxa"/>
            <w:vAlign w:val="bottom"/>
          </w:tcPr>
          <w:p>
            <w:pPr>
              <w:spacing w:after="0"/>
              <w:rPr>
                <w:sz w:val="12"/>
                <w:szCs w:val="12"/>
                <w:color w:val="auto"/>
              </w:rPr>
            </w:pPr>
          </w:p>
        </w:tc>
      </w:tr>
      <w:tr>
        <w:trPr>
          <w:trHeight w:val="20"/>
        </w:trPr>
        <w:tc>
          <w:tcPr>
            <w:tcW w:w="5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amount of cash income taxes paid by the Company (net of refunds) was $52 million for the year ended December 28, 2024, and $35.7 million for the year ended December 30, 2023.</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primary business operations are within the United States. During the period ended December 27, 2025, the Company had 12 state and local jurisdictions that made up the majority (greater than 50 percent) of the state income tax category disclosed above in the "Significant components of the income tax provision" section of this footnote. Those state and local jurisdictions are listed in alphabetical order as follows: California, Cincinnati, Florida, Illinois, Massachusetts, Michigan, New Jersey, New York City, Oregon, Pennsylvania, Tennessee, and Texas.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Commitments and Contingencies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projected cash outflows under non-cancellable contractual obligations for the remaining years under the contracts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Brand support</w:t>
            </w:r>
          </w:p>
        </w:tc>
        <w:tc>
          <w:tcPr>
            <w:tcW w:w="800" w:type="dxa"/>
            <w:vAlign w:val="bottom"/>
            <w:shd w:val="clear" w:color="auto" w:fill="CFF0FC"/>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112,734</w:t>
            </w:r>
          </w:p>
        </w:tc>
        <w:tc>
          <w:tcPr>
            <w:tcW w:w="1040" w:type="dxa"/>
            <w:vAlign w:val="bottom"/>
            <w:gridSpan w:val="2"/>
            <w:shd w:val="clear" w:color="auto" w:fill="CFF0FC"/>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63,896</w:t>
            </w:r>
          </w:p>
        </w:tc>
        <w:tc>
          <w:tcPr>
            <w:tcW w:w="3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8,388</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4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34,650</w:t>
            </w:r>
          </w:p>
        </w:tc>
        <w:tc>
          <w:tcPr>
            <w:tcW w:w="100" w:type="dxa"/>
            <w:vAlign w:val="bottom"/>
            <w:shd w:val="clear" w:color="auto" w:fill="CFF0FC"/>
          </w:tcPr>
          <w:p>
            <w:pPr>
              <w:spacing w:after="0"/>
              <w:rPr>
                <w:sz w:val="12"/>
                <w:szCs w:val="12"/>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Ingredients and packaging (excluding hops and malt)</w:t>
            </w:r>
          </w:p>
        </w:tc>
        <w:tc>
          <w:tcPr>
            <w:tcW w:w="8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37,781</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37,781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Hops and malt</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34,361</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100" w:type="dxa"/>
            <w:vAlign w:val="bottom"/>
            <w:shd w:val="clear" w:color="auto" w:fill="CFF0FC"/>
          </w:tcPr>
          <w:p>
            <w:pPr>
              <w:spacing w:after="0"/>
              <w:rPr>
                <w:sz w:val="12"/>
                <w:szCs w:val="12"/>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 and machinery</w:t>
            </w:r>
          </w:p>
        </w:tc>
        <w:tc>
          <w:tcPr>
            <w:tcW w:w="8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11,476</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8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30,831</w:t>
            </w: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15,932</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10,276</w:t>
            </w:r>
          </w:p>
        </w:tc>
        <w:tc>
          <w:tcPr>
            <w:tcW w:w="22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contractual obligations</w:t>
            </w:r>
          </w:p>
        </w:tc>
        <w:tc>
          <w:tcPr>
            <w:tcW w:w="800" w:type="dxa"/>
            <w:vAlign w:val="bottom"/>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227,183</w:t>
            </w:r>
          </w:p>
        </w:tc>
        <w:tc>
          <w:tcPr>
            <w:tcW w:w="104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157,506</w:t>
            </w:r>
          </w:p>
        </w:tc>
        <w:tc>
          <w:tcPr>
            <w:tcW w:w="3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20,377</w:t>
            </w:r>
          </w:p>
        </w:tc>
        <w:tc>
          <w:tcPr>
            <w:tcW w:w="220" w:type="dxa"/>
            <w:vAlign w:val="bottom"/>
          </w:tcPr>
          <w:p>
            <w:pPr>
              <w:spacing w:after="0"/>
              <w:rPr>
                <w:sz w:val="12"/>
                <w:szCs w:val="12"/>
                <w:color w:val="auto"/>
              </w:rPr>
            </w:pPr>
          </w:p>
        </w:tc>
        <w:tc>
          <w:tcPr>
            <w:tcW w:w="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10,731</w:t>
            </w:r>
          </w:p>
        </w:tc>
        <w:tc>
          <w:tcPr>
            <w:tcW w:w="4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38,569</w:t>
            </w:r>
          </w:p>
        </w:tc>
        <w:tc>
          <w:tcPr>
            <w:tcW w:w="10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-128270</wp:posOffset>
            </wp:positionV>
            <wp:extent cx="774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-128270</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-128270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accounting policy for inventory and non-cancellable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Currently, the Company has entered into contracts for barley, wheat and malt used in the Company’s products with four major suppliers. The contracts cover the Company’s barley, wheat, and malt requirements for 2026 and extend through crop year 2027. These purchase commitments outstanding at December 27, 2025 totaled $25.2 million.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utilizes several varieties of hops in the production of its products. To ensure adequate supplies of these varieties, the Company enters into advance multi-year purchase commitments based on forecasted future hop requirements, among other factors. These purchase commitments extend through crop year 2029 and specify both the quantities and prices, denominated in U.S. Dollar and Euros, to which the Company is committed. Hops purchase commitments outstanding at December 27, 2025 totaled $9.1 million, based on the exchange rates on that date.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anticipates paying shortfall fees at certain of its third-party production locations in future periods. See Note I for further discussion of the Company's third-party production arrangements and the anticipated shortfall fees. The anticipated shortfall fees are not included in the contractual obligations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Supplier Dispute. </w:t>
      </w:r>
      <w:r>
        <w:rPr>
          <w:rFonts w:ascii="Times New Roman" w:cs="Times New Roman" w:eastAsia="Times New Roman" w:hAnsi="Times New Roman"/>
          <w:sz w:val="18"/>
          <w:szCs w:val="18"/>
          <w:color w:val="auto"/>
        </w:rPr>
        <w:t>On December 31, 2022, Ardagh Metal Packaging USA Corp. (“Ardagh”) filed an action against the Company alleging, among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things, that the Company had failed or would fail to purchase contractual minimum volumes of certain aluminum beverage can containers in 2021 to 2026. The Company filed an Amended Answer, Amended Affirmative Defenses and Amended Counterclaims on March 25, 2024. 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Following briefing by the parties, on June 17, 2024, the Court granted the Company's Motion to Reconsider, denied Ardagh's Motion for Judgment on the Pleadings, and vacated its February 26, 2024 Order. The Court set a fact discovery deadline of November 25, 2024. The Court also set an expert discovery deadline of May 30, 2025. Ardagh has filed a Motion for Partial Summary Judgment on certain liability issues. The Company also has filed a Motion for Partial Summary judgment on certain liability and damage issues. The Court has set a trial date to commence on March 23, 2026. The Company denies that it breached the terms of the parties’ contract and intends to defend against the Ardagh claims vigorously. The possible outcome of this litigation could range from zero to the level of Ardagh's initial demand of over/approximately $300 million plus interest if applied.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 Fair Value Measurements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9" w:lineRule="exact"/>
        <w:rPr>
          <w:sz w:val="20"/>
          <w:szCs w:val="20"/>
          <w:color w:val="auto"/>
        </w:rPr>
      </w:pPr>
    </w:p>
    <w:p>
      <w:pPr>
        <w:ind w:left="760" w:right="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Level 1 inputs are quoted prices (unadjusted) in active markets for identical assets or liabilities that the reporting entity has the ability to access at the measurement date.</w:t>
      </w:r>
    </w:p>
    <w:p>
      <w:pPr>
        <w:ind w:left="760" w:right="14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760" w:right="160" w:hanging="378"/>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Level 3 inputs are unobservable inputs for the asset or liability in which there is little, if any, market activity for the asset or liability at the measurement date.</w:t>
      </w:r>
    </w:p>
    <w:p>
      <w:pPr>
        <w:spacing w:after="0" w:line="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investments in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accounts payable, and accrued expenses are carried at their cost, which approximates fair value, because of their short-term nature.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At December 27, 2025 and December 28, 2024, the Company had funds invested in a “Triple A” rated money market fund. The Company considers the “Triple A” rated money market fund to be a large, highly-rated investment-grade institution. As of December 27, 2025 and December 28, 2024, the Company’s cash and cash equivalents balance was $223.4 million and $211.8 million, respectively, including money market funds amounting to $216.7 million and $203.1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as of the issuance date of the Company's note receivable as discussed further in Note I is classified within Level 2 of the fair value hierarchy as the fair value was partially derived from publicly quoted inputs of market interest rates for a loan of similar terms, provisions, and maturity.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the Company's Dogfish Head trademark intangible assets as of the 2024 impairment assessment date is classified within Level 3 of the fair value hierarchy because there are no observable inputs of market activity. When performing a quantitative assessment for impairment of the trademark asset, the Company measures the amount of impairment by calculating the amount by which the carrying value of the trademark asset exceeds its estimated fair value. The estimated fair value is determined based on an income approach using the relief from royalty method, which assumes that, in lieu of ownership, a third party would be willing to pay a royalty in order to exploit the related benefits of the trademark asset. The cash flow projections the Company uses to estimate the fair value of its Dogfish Head trademark intangible asset involves several assumptions, including (i) projected revenue growth, (ii) an estimated royalty rate, (iii) after-tax royalty savings expected from ownership of the trademark and (iv) a discount rate used to derive the estimated fair value of the trademark asset.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Common Stock and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Compensation Plan</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Company’s Employee Equity Incentive Plan (the “Equity Plan”) currently provides for the grant of discretionary options, restricted stock awards and restricted stock units to employees, and provides for shares to be sold to employees of the Company 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spacing w:after="0" w:line="1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Stock options and related vesting requirements and terms are granted at the Board of Directors’ discretion, but generally vest ratably over three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years 2025, 2024, and 2023, the Company granted options to purchase 165,187 shares, 21,205 shares, and 58,054 shares, respectively, of its Class A Common Stock to employees at market value on the grant dates. 131,432 of the 2025 stock options were service-based while 33,755 were performance-based.</w:t>
      </w:r>
    </w:p>
    <w:p>
      <w:pPr>
        <w:spacing w:after="0" w:line="1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fiscal years 2025, 2024, and 2023, the Company granted 144,080 shares, 74,262 shares, and 53,884 shares, respectively, of restricted stock units to certain senior managers and key employees. 78,299 of the 2025 restricted stock unit grants were service-based while 65,781 were performance-based.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years 2025, 2024, and 2023, employees elected to purchase an aggregate of 12,251 investment shares, 12,007 investment shares, and 10,594 investment shares, respectively.</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reserved 6.7 million shares of Class A Common Stock for issuance pursuant to the Equity Plan, of which 0.6 million shares were available for grant as of December 27, 2025. Shares reserved for issuance under cancelled employee stock options and forfeited restricted stock are returned to the reserve under the Equity Plan for future grants or purchases. 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Plan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 stock option and restricted stock unit plan for non-employee directors of the Company (the “Non-Employee Director Plan”), pursuant to which each non-employee director of the Company is granted a combination of options to purchase shares of the Company’s Class A Common Stock and restricted stock units upon election or re-election to the Board of Directors. Stock options issued to non-employee directors vest upon grant and have a maximum contractual term of ten years. Restricted stock units granted to non-employee directors vest over a 1-year service period, During fiscal years 2025, 2024, and 2023 the Company granted options to purchase an aggregate of 3,276 shares, 4,430 shares, and 2,941 shares of the Company’s Class A Common Stock to non-employee directors, respectively. During fiscal years 2025, 2024, and 2023, the Company granted 1,626, 1,997, and 1,442 restricted stock units, respectively, to non-employee directors..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reserved 0.6 million shares of Class A Common Stock for issuance pursuant to the Non-Employee Director Plan, of which 0.1 million shares were available for grant as of December 27, 2025. Shares under any cancelled non-employee directors’ restricted stock units or stock options or options that expire unexercised are returned to the reserve under the Non-Employee Director Plan for future grants.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stock options under the Equity Plan and the Non-Employee Director Plan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28, 2024</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209,794</w:t>
            </w:r>
          </w:p>
        </w:tc>
        <w:tc>
          <w:tcPr>
            <w:tcW w:w="16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358.48</w:t>
            </w: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235.19</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174.90</w:t>
            </w: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Cancelled/Forfeited</w:t>
            </w:r>
          </w:p>
        </w:tc>
        <w:tc>
          <w:tcPr>
            <w:tcW w:w="1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(80,767)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276.01</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Expired</w:t>
            </w:r>
          </w:p>
        </w:tc>
        <w:tc>
          <w:tcPr>
            <w:tcW w:w="1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(2,820)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262.25</w:t>
            </w: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27, 2025</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289,550</w:t>
            </w:r>
          </w:p>
        </w:tc>
        <w:tc>
          <w:tcPr>
            <w:tcW w:w="16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313.93</w:t>
            </w:r>
          </w:p>
        </w:tc>
        <w:tc>
          <w:tcPr>
            <w:tcW w:w="1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5.81</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482,818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Exercisable at December 27, 2025</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137,543</w:t>
            </w:r>
          </w:p>
        </w:tc>
        <w:tc>
          <w:tcPr>
            <w:tcW w:w="16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355.37</w:t>
            </w:r>
          </w:p>
        </w:tc>
        <w:tc>
          <w:tcPr>
            <w:tcW w:w="132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2.73</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482,818</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Vested and expected to vest at December 27, 2025</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273,960</w:t>
            </w:r>
          </w:p>
        </w:tc>
        <w:tc>
          <w:tcPr>
            <w:tcW w:w="160" w:type="dxa"/>
            <w:vAlign w:val="bottom"/>
          </w:tcPr>
          <w:p>
            <w:pPr>
              <w:spacing w:after="0"/>
              <w:rPr>
                <w:sz w:val="11"/>
                <w:szCs w:val="11"/>
                <w:color w:val="auto"/>
              </w:rPr>
            </w:pP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321.42</w:t>
            </w:r>
          </w:p>
        </w:tc>
        <w:tc>
          <w:tcPr>
            <w:tcW w:w="13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5.53</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482,818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-367665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-145415</wp:posOffset>
            </wp:positionV>
            <wp:extent cx="768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-145415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-128270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Of the total options outstanding at December 27, 2025, 6,930 shares were performance-based options for which the performance criteria had yet to be achieved.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estimate fair values of stock options on the date of grants for fiscal 2025, 2024, and 2023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73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Expected volatility</w:t>
            </w:r>
          </w:p>
        </w:tc>
        <w:tc>
          <w:tcPr>
            <w:tcW w:w="7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40.6%</w:t>
            </w:r>
          </w:p>
        </w:tc>
        <w:tc>
          <w:tcPr>
            <w:tcW w:w="16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40.0%</w:t>
            </w:r>
          </w:p>
        </w:tc>
        <w:tc>
          <w:tcPr>
            <w:tcW w:w="15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39.7%</w:t>
            </w:r>
          </w:p>
        </w:tc>
      </w:tr>
      <w:tr>
        <w:trPr>
          <w:trHeight w:val="149"/>
        </w:trPr>
        <w:tc>
          <w:tcPr>
            <w:tcW w:w="7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Risk-free interest rate</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r>
      <w:tr>
        <w:trPr>
          <w:trHeight w:val="148"/>
        </w:trPr>
        <w:tc>
          <w:tcPr>
            <w:tcW w:w="73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Expected dividends</w:t>
            </w: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6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8"/>
        </w:trPr>
        <w:tc>
          <w:tcPr>
            <w:tcW w:w="7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factor</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 times</w:t>
            </w: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 times</w:t>
            </w: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 times</w:t>
            </w:r>
          </w:p>
        </w:tc>
      </w:tr>
      <w:tr>
        <w:trPr>
          <w:trHeight w:val="149"/>
        </w:trPr>
        <w:tc>
          <w:tcPr>
            <w:tcW w:w="73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Discount for post-vesting restrictions</w:t>
            </w: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6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Options to purchase 25,191 shares vested during fiscal year 2025. The total fair value of options vested during fiscal years 2025 was $5.1 million. The aggregate intrinsic value of stock options exercised during fiscal years 2025, 2024, and 2023 was $0.3 million, $0.7 million, and $6.6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Shares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vesting activities of shares issued under the investment share program and restricted stock awards: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7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Non-vested at December 28, 2024</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164,551</w:t>
            </w:r>
          </w:p>
        </w:tc>
        <w:tc>
          <w:tcPr>
            <w:tcW w:w="26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157,957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(46,927)</w:t>
            </w: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(45,978)</w:t>
            </w: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Non-vested at December 27, 2025</w:t>
            </w:r>
          </w:p>
        </w:tc>
        <w:tc>
          <w:tcPr>
            <w:tcW w:w="1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229,603</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265.97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is based on the Company’s traded stock price on the date of the grants. Fair value of investment shares is calculated using the trinomial option-pricing model.</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46,927 shares vested in 2025 with a weighted average fair value of $343.91, 32,823 shares vested in 2024 with a weighted average fair value of $381.95, and 27,640 shares vested in 2023 with a weighted average fair value of $341.57.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stock-based compensation expense included in operating expenses in the accompanying consolidated statements of comprehensive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Amounts included in general and administrative</w:t>
            </w:r>
          </w:p>
        </w:tc>
        <w:tc>
          <w:tcPr>
            <w:tcW w:w="860" w:type="dxa"/>
            <w:vAlign w:val="bottom"/>
            <w:vMerge w:val="restart"/>
            <w:shd w:val="clear" w:color="auto" w:fill="CFF0FC"/>
          </w:tcPr>
          <w:p>
            <w:pPr>
              <w:jc w:val="right"/>
              <w:ind w:right="7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14,395</w:t>
            </w:r>
          </w:p>
        </w:tc>
        <w:tc>
          <w:tcPr>
            <w:tcW w:w="4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11,835</w:t>
            </w: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10,370</w:t>
            </w:r>
          </w:p>
        </w:tc>
        <w:tc>
          <w:tcPr>
            <w:tcW w:w="0" w:type="dxa"/>
            <w:vAlign w:val="bottom"/>
          </w:tcPr>
          <w:p>
            <w:pPr>
              <w:spacing w:after="0"/>
              <w:rPr>
                <w:sz w:val="1"/>
                <w:szCs w:val="1"/>
                <w:color w:val="auto"/>
              </w:rPr>
            </w:pPr>
          </w:p>
        </w:tc>
      </w:tr>
      <w:tr>
        <w:trPr>
          <w:trHeight w:val="171"/>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42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Amounts included in advertising, promotional, and</w:t>
            </w:r>
          </w:p>
        </w:tc>
        <w:tc>
          <w:tcPr>
            <w:tcW w:w="8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2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4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selling expenses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86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21,754</w:t>
            </w:r>
          </w:p>
        </w:tc>
        <w:tc>
          <w:tcPr>
            <w:tcW w:w="4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18,954</w:t>
            </w:r>
          </w:p>
        </w:tc>
        <w:tc>
          <w:tcPr>
            <w:tcW w:w="300" w:type="dxa"/>
            <w:vAlign w:val="bottom"/>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16,971</w:t>
            </w:r>
          </w:p>
        </w:tc>
        <w:tc>
          <w:tcPr>
            <w:tcW w:w="0" w:type="dxa"/>
            <w:vAlign w:val="bottom"/>
          </w:tcPr>
          <w:p>
            <w:pPr>
              <w:spacing w:after="0"/>
              <w:rPr>
                <w:sz w:val="1"/>
                <w:szCs w:val="1"/>
                <w:color w:val="auto"/>
              </w:rPr>
            </w:pPr>
          </w:p>
        </w:tc>
      </w:tr>
      <w:tr>
        <w:trPr>
          <w:trHeight w:val="106"/>
        </w:trPr>
        <w:tc>
          <w:tcPr>
            <w:tcW w:w="66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Amounts related to performance-based stock awards</w:t>
            </w:r>
          </w:p>
        </w:tc>
        <w:tc>
          <w:tcPr>
            <w:tcW w:w="860" w:type="dxa"/>
            <w:vAlign w:val="bottom"/>
            <w:tcBorders>
              <w:top w:val="single" w:sz="8" w:color="auto"/>
            </w:tcBorders>
            <w:vMerge w:val="restart"/>
          </w:tcPr>
          <w:p>
            <w:pPr>
              <w:jc w:val="right"/>
              <w:ind w:right="7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24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64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included in total stock-based compensation expense</w:t>
            </w:r>
          </w:p>
        </w:tc>
        <w:tc>
          <w:tcPr>
            <w:tcW w:w="8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-213995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-196850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-196850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-213995</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-196850</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expense, less estimated forfeitures. For Equity Plan awards during fiscal year 2025, the estimated forfeiture rate was 15.0% for stock options and 11.0% for restricted stock units and investment shares. For Equity Plan awards during fiscal year 2024, the estimated forfeiture rate was 16.0% for stock options and 13.0% for restricted stock units and investment shares. For Equity Plan awards during fiscal year 2023, the estimated forfeiture rate was 20.0% for stock options and 12.0% for restricted stock units and investment shares. The estimated forfeiture rates used are based upon historical experience with the various award types and the Company annually reviews these rates to ensure proper projection of future forfeitures.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Based on equity awards outstanding as of December 27, 2025, there is $39.9 million of unrecognized compensation costs, net of estimated forfeitures, related to unvested share-based compensation arrangements that are expected to vest. Such costs are expected to be recognized over a weighted-average period of 1.7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fiscal year 2025, the Company repurchased and subsequently retired 896,521 shares of its Class A Common Stock for an aggregate purchase price of $199.2 million. As of December 27, 2025, the Company had repurchased a cumulative total of approximately 15.8 million shares of its Class A Common Stock for an aggregate purchase price of approximately $1.37 billion and had approximately $228.4 million remaining on the $1.6 billion stock repurchase expenditure limit set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Employee Retirement Plans and Post-Retirement Medical Benefits</w:t>
      </w:r>
    </w:p>
    <w:p>
      <w:pPr>
        <w:spacing w:after="0" w:line="22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The Company’s workforce comprises mostly of non-union employees who are employed by Boston Beer Corporation, American Craft Brewery LLC, or Angry Orchard Cider Company, LLC. As of December 27, 2025, the Company had three unions at its Cincinnati Brewery: Local 1, Local 20, and Teamsters Local Union. No. 1199 (“Local Union 1199”). The Company has different retirement and post-retirement plans available to each group of employees. The Boston Beer Company 401(k) Plan (the “Boston Beer 401(k) Plan”) covers most non-union employees and all members of Local 1 and Local Union 1199. The Samuel Adams Cincinnati Brewery 401(k) Plan for Represented Employees (the “SACB 401(k) Plan”) covers members of Local</w:t>
      </w:r>
    </w:p>
    <w:p>
      <w:pPr>
        <w:spacing w:after="0" w:line="3" w:lineRule="exact"/>
        <w:rPr>
          <w:sz w:val="20"/>
          <w:szCs w:val="20"/>
          <w:color w:val="auto"/>
        </w:rPr>
      </w:pPr>
    </w:p>
    <w:p>
      <w:pPr>
        <w:jc w:val="both"/>
        <w:ind w:right="20" w:firstLine="8"/>
        <w:spacing w:after="0" w:line="255"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provides a supplement to eligible retirees from Local 1, Local 20, and Local Union 1199 to assist with the cost of Medicare gap coverage after their retirement on account of age or permanent disability (collectively, the “Retiree Medical Plan”). The Company previously offered a pension plan (the “Local 1199 Pension Plan”) to members of Local Union 1199 until the plan was terminated effective January 1,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Boston Beer 401(k) Plan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Boston Beer 401(k) Plan, which was established by the Company in 1993, is a Company-sponsored defined contribution plan. Most non-union employees and all members of the Local 1 and Local 1199 unions are eligible to participate in the Plan immediately upon employment. Participants may make voluntary contributions up to 60% of their annual compensation, subject to IRS limitations. The Company matches each participant’s contribution. A maximum of 5% of compensation is taken into account in determining the amount of the match. In January 2020, the Company amended the Boston Beer 401(k) Plan to update the Company match as follows: 100% of the first 3% of the eligible compensation participants contribute. Thereafter, the Company matches 50% of the next 2% of the eligible compensation participants contribute. Beginning April 1, 2023, for Local 1 union members specifically, the Company match is 100% of the first 5% of the eligible contribution. The Company’s contributions to the Boston Beer 401(k) Plan amounted to $9.8 million, $9.7 million, and $8.8 million in fiscal years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SACB 401(k)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“SACB 401(k) Plan”, which was established by the Company in 1997, is a Company-sponsored defined contribution plan. It is available to all members of Local 20 upon commencement of employment or, if later, attaining age 21. Participants may make voluntary contributions up to 60% of their annual compensation to the SACB 401(k) Plan, subject to IRS limitations. Company contributions for fiscal years 2025, 2024, and 2023 were insignificant.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qualify for this benefit, an eligible employee must have worked for at least 20 years for the Company or its predecessor at the Company’s Cincinnati Brewery as a part of one of its three unions, must have been enrolled in the Company’s group medical insurance plan for at least 5 years before retirement, and, in the case of retirees from Local 20, for at least 7 of the last 10 years of their employment, and must be eligible for Medicare benefits under the Social Security Act. The accumulated post-retirement benefit obligation was determined using a discount rate of 5.50% at December 27, 2025 and 5.69% at December 28, 2024 and a health care cost increase based on the Cincinnati Consumer Price Index of 3.0% for the years 2025 and 2024, respectively. The effect of a 1% increase and the effect of a 1% decrease in the assumed health care cost trend rates on the aggregate of the service and interest cost components of net periodic post-retirement health care benefit costs and on the accumulated post-retirement benefit obligation for health care benefits would not be significant.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Retiree Medical Plan is as follows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6600" w:type="dxa"/>
            <w:vAlign w:val="bottom"/>
          </w:tcPr>
          <w:p>
            <w:pPr>
              <w:spacing w:after="0"/>
              <w:rPr>
                <w:sz w:val="15"/>
                <w:szCs w:val="15"/>
                <w:color w:val="auto"/>
              </w:rPr>
            </w:pPr>
          </w:p>
        </w:tc>
        <w:tc>
          <w:tcPr>
            <w:tcW w:w="16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Benefit obligation at end of period</w:t>
            </w:r>
          </w:p>
        </w:tc>
        <w:tc>
          <w:tcPr>
            <w:tcW w:w="1620" w:type="dxa"/>
            <w:vAlign w:val="bottom"/>
            <w:shd w:val="clear" w:color="auto" w:fill="CFF0FC"/>
          </w:tcPr>
          <w:p>
            <w:pPr>
              <w:jc w:val="right"/>
              <w:ind w:right="149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700" w:type="dxa"/>
            <w:vAlign w:val="bottom"/>
            <w:gridSpan w:val="2"/>
            <w:shd w:val="clear" w:color="auto" w:fill="CFF0FC"/>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FF0FC"/>
          </w:tcPr>
          <w:p>
            <w:pPr>
              <w:spacing w:after="0"/>
              <w:rPr>
                <w:sz w:val="12"/>
                <w:szCs w:val="12"/>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Unfunded Status</w:t>
            </w:r>
          </w:p>
        </w:tc>
        <w:tc>
          <w:tcPr>
            <w:tcW w:w="1620" w:type="dxa"/>
            <w:vAlign w:val="bottom"/>
          </w:tcPr>
          <w:p>
            <w:pPr>
              <w:jc w:val="right"/>
              <w:ind w:right="149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887</w:t>
            </w:r>
          </w:p>
        </w:tc>
        <w:tc>
          <w:tcPr>
            <w:tcW w:w="7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2"/>
                <w:szCs w:val="12"/>
                <w:color w:val="auto"/>
              </w:rPr>
            </w:pPr>
          </w:p>
        </w:tc>
      </w:tr>
      <w:tr>
        <w:trPr>
          <w:trHeight w:val="20"/>
        </w:trPr>
        <w:tc>
          <w:tcPr>
            <w:tcW w:w="66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-128270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Net Income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 - Basic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net income per share using the two-class method: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06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data)</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6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108,469</w:t>
            </w:r>
          </w:p>
        </w:tc>
        <w:tc>
          <w:tcPr>
            <w:tcW w:w="4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59,695</w:t>
            </w:r>
          </w:p>
        </w:tc>
        <w:tc>
          <w:tcPr>
            <w:tcW w:w="480" w:type="dxa"/>
            <w:vAlign w:val="bottom"/>
            <w:gridSpan w:val="3"/>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w:t>
            </w:r>
          </w:p>
        </w:tc>
        <w:tc>
          <w:tcPr>
            <w:tcW w:w="120" w:type="dxa"/>
            <w:vAlign w:val="bottom"/>
            <w:shd w:val="clear" w:color="auto" w:fill="CFF0FC"/>
          </w:tcPr>
          <w:p>
            <w:pPr>
              <w:spacing w:after="0"/>
              <w:rPr>
                <w:sz w:val="16"/>
                <w:szCs w:val="16"/>
                <w:color w:val="auto"/>
              </w:rPr>
            </w:pPr>
          </w:p>
        </w:tc>
      </w:tr>
      <w:tr>
        <w:trPr>
          <w:trHeight w:val="129"/>
        </w:trPr>
        <w:tc>
          <w:tcPr>
            <w:tcW w:w="66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Allocation of net income for basic:</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87,703</w:t>
            </w:r>
          </w:p>
        </w:tc>
        <w:tc>
          <w:tcPr>
            <w:tcW w:w="4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49,070</w:t>
            </w:r>
          </w:p>
        </w:tc>
        <w:tc>
          <w:tcPr>
            <w:tcW w:w="480" w:type="dxa"/>
            <w:vAlign w:val="bottom"/>
            <w:gridSpan w:val="3"/>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63,216</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2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Unvested participating shares</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108,469</w:t>
            </w:r>
          </w:p>
        </w:tc>
        <w:tc>
          <w:tcPr>
            <w:tcW w:w="40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48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76,250</w:t>
            </w:r>
          </w:p>
        </w:tc>
        <w:tc>
          <w:tcPr>
            <w:tcW w:w="1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Weighted average number of shares for basic:</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10,150</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Unvested participating shares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r>
      <w:tr>
        <w:trPr>
          <w:trHeight w:val="182"/>
        </w:trPr>
        <w:tc>
          <w:tcPr>
            <w:tcW w:w="66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10,960</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12,243</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6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income per share for basic:</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8"/>
        </w:trPr>
        <w:tc>
          <w:tcPr>
            <w:tcW w:w="66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29"/>
        </w:trPr>
        <w:tc>
          <w:tcPr>
            <w:tcW w:w="66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9.90</w:t>
            </w:r>
          </w:p>
        </w:tc>
        <w:tc>
          <w:tcPr>
            <w:tcW w:w="400" w:type="dxa"/>
            <w:vAlign w:val="bottom"/>
            <w:gridSpan w:val="3"/>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5.07</w:t>
            </w:r>
          </w:p>
        </w:tc>
        <w:tc>
          <w:tcPr>
            <w:tcW w:w="480" w:type="dxa"/>
            <w:vAlign w:val="bottom"/>
            <w:gridSpan w:val="3"/>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6.23</w:t>
            </w:r>
          </w:p>
        </w:tc>
        <w:tc>
          <w:tcPr>
            <w:tcW w:w="120" w:type="dxa"/>
            <w:vAlign w:val="bottom"/>
          </w:tcPr>
          <w:p>
            <w:pPr>
              <w:spacing w:after="0"/>
              <w:rPr>
                <w:sz w:val="11"/>
                <w:szCs w:val="1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-1370965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-1353820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-1370965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-1353820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-967740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-967740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-967740</wp:posOffset>
            </wp:positionV>
            <wp:extent cx="774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-359410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-342265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-359410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-342265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-359410</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-342265</wp:posOffset>
            </wp:positionV>
            <wp:extent cx="77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-145415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-145415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-145415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Net Income per Common Share - Diluted</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calculates diluted net income per share for common stock using the more dilutive of (1) the treasury stock method, or (2) the two-class method, which assumes the participating securities are not exercised or converted.</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diluted net income per share, assuming the conversion of all Class B Common Stock into Class A Common Stock: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Fiscal year ended December 27, 2025</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Earnings to</w:t>
            </w:r>
          </w:p>
        </w:tc>
        <w:tc>
          <w:tcPr>
            <w:tcW w:w="1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20" w:type="dxa"/>
            <w:vAlign w:val="bottom"/>
            <w:gridSpan w:val="2"/>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 reported - basic</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87,703</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8,862</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108,169</w:t>
            </w: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10,937</w:t>
            </w:r>
          </w:p>
        </w:tc>
        <w:tc>
          <w:tcPr>
            <w:tcW w:w="240" w:type="dxa"/>
            <w:vAlign w:val="bottom"/>
            <w:tcBorders>
              <w:top w:val="single" w:sz="8" w:color="CFF0FC"/>
            </w:tcBorders>
          </w:tcPr>
          <w:p>
            <w:pPr>
              <w:spacing w:after="0"/>
              <w:rPr>
                <w:sz w:val="12"/>
                <w:szCs w:val="12"/>
                <w:color w:val="auto"/>
              </w:rPr>
            </w:pPr>
          </w:p>
        </w:tc>
        <w:tc>
          <w:tcPr>
            <w:tcW w:w="380" w:type="dxa"/>
            <w:vAlign w:val="bottom"/>
            <w:tcBorders>
              <w:top w:val="single" w:sz="8" w:color="CFF0FC"/>
              <w:bottom w:val="single" w:sz="8" w:color="CFF0FC"/>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Fiscal year ended December 28, 2024</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Earnings to</w:t>
            </w:r>
          </w:p>
        </w:tc>
        <w:tc>
          <w:tcPr>
            <w:tcW w:w="1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20" w:type="dxa"/>
            <w:vAlign w:val="bottom"/>
            <w:gridSpan w:val="2"/>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 reported - basic</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49,070</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9,678</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59,555</w:t>
            </w: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11,766</w:t>
            </w:r>
          </w:p>
        </w:tc>
        <w:tc>
          <w:tcPr>
            <w:tcW w:w="240" w:type="dxa"/>
            <w:vAlign w:val="bottom"/>
            <w:tcBorders>
              <w:top w:val="single" w:sz="8" w:color="CFF0FC"/>
            </w:tcBorders>
          </w:tcPr>
          <w:p>
            <w:pPr>
              <w:spacing w:after="0"/>
              <w:rPr>
                <w:sz w:val="12"/>
                <w:szCs w:val="12"/>
                <w:color w:val="auto"/>
              </w:rPr>
            </w:pPr>
          </w:p>
        </w:tc>
        <w:tc>
          <w:tcPr>
            <w:tcW w:w="380" w:type="dxa"/>
            <w:vAlign w:val="bottom"/>
            <w:tcBorders>
              <w:top w:val="single" w:sz="8" w:color="CFF0FC"/>
              <w:bottom w:val="single" w:sz="8" w:color="CFF0FC"/>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Fiscal year ended December 30, 2023</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Earnings to</w:t>
            </w: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73"/>
              </w:rPr>
              <w:t>except</w:t>
            </w:r>
          </w:p>
        </w:tc>
        <w:tc>
          <w:tcPr>
            <w:tcW w:w="13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 reported - basic</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63,216</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10,150</w:t>
            </w: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200" w:type="dxa"/>
            <w:vAlign w:val="bottom"/>
          </w:tcPr>
          <w:p>
            <w:pPr>
              <w:spacing w:after="0"/>
              <w:rPr>
                <w:sz w:val="12"/>
                <w:szCs w:val="12"/>
                <w:color w:val="auto"/>
              </w:rPr>
            </w:pPr>
          </w:p>
        </w:tc>
        <w:tc>
          <w:tcPr>
            <w:tcW w:w="1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spacing w:after="0"/>
              <w:rPr>
                <w:sz w:val="12"/>
                <w:szCs w:val="12"/>
                <w:color w:val="auto"/>
              </w:rPr>
            </w:pPr>
          </w:p>
        </w:tc>
        <w:tc>
          <w:tcPr>
            <w:tcW w:w="16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76,096</w:t>
            </w:r>
          </w:p>
        </w:tc>
        <w:tc>
          <w:tcPr>
            <w:tcW w:w="20" w:type="dxa"/>
            <w:vAlign w:val="bottom"/>
            <w:tcBorders>
              <w:top w:val="single" w:sz="8" w:color="CFF0FC"/>
              <w:bottom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12,258</w:t>
            </w:r>
          </w:p>
        </w:tc>
        <w:tc>
          <w:tcPr>
            <w:tcW w:w="24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CFF0FC"/>
              <w:bottom w:val="single" w:sz="8" w:color="CFF0FC"/>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FF0FC"/>
              <w:bottom w:val="single" w:sz="8" w:color="CFF0FC"/>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-2614295</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-2614295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-1370965</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-1370965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-128270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Basic net income per common share for each share of Class A Common Stock and Class B Common Stock is $9.90, $5.07, and $6.23 for the fiscal years 2025, 2024, and 2023, respectively, as each share of Class A and Class B participates equally in earnings. Shares of Class B are convertible at any time into shares of Class A on a one-for-one basis at the option of the stockholder.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Weighted average stock options to purchase approximately 199,000, 142,000, and 52,000 shares of Class A Common Stock were outstanding during fiscal years 2025, 2024, and 2023, respectively, but not included in computing diluted income per share because their effects were anti-dilutive. Additionally, approximately 89,000, 52,000, and 54,000 performance awards were outstanding during fiscal years 2025, 2024, and 2023, respectively, but not included in computing dilutive income per share because the performance criteria of these stock awards were not met at the respective fiscal year 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 Accumulated Other Comprehensive Loss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represents cumulative currency translation adjustments and amounts of unrecognized actuarial gains or losses related to the Company sponsored post-retirement medical plan, net of tax effect. Changes in accumulated other comprehensive loss represent currency translation adjustments due to exchange rate fluctuations in the period and actuarial losses or gains, net of tax effect, recognized as components of net periodic benefit costs. The components of the accumulated other comprehensive loss was as follows as 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51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Cumulative currency translation adjustments</w:t>
            </w:r>
          </w:p>
        </w:tc>
        <w:tc>
          <w:tcPr>
            <w:tcW w:w="3800" w:type="dxa"/>
            <w:vAlign w:val="bottom"/>
            <w:gridSpan w:val="2"/>
            <w:shd w:val="clear" w:color="auto" w:fill="CFF0FC"/>
          </w:tcPr>
          <w:p>
            <w:pPr>
              <w:jc w:val="right"/>
              <w:ind w:right="1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(856)</w:t>
            </w: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benefit costs, net of tax</w:t>
            </w:r>
          </w:p>
        </w:tc>
        <w:tc>
          <w:tcPr>
            <w:tcW w:w="256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2"/>
                <w:szCs w:val="12"/>
                <w:color w:val="auto"/>
              </w:rPr>
            </w:pPr>
          </w:p>
        </w:tc>
      </w:tr>
      <w:tr>
        <w:trPr>
          <w:trHeight w:val="16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accumulated other comprehensive loss</w:t>
            </w:r>
          </w:p>
        </w:tc>
        <w:tc>
          <w:tcPr>
            <w:tcW w:w="3800" w:type="dxa"/>
            <w:vAlign w:val="bottom"/>
            <w:gridSpan w:val="2"/>
            <w:shd w:val="clear" w:color="auto" w:fill="CFF0FC"/>
          </w:tcPr>
          <w:p>
            <w:pPr>
              <w:jc w:val="right"/>
              <w:ind w:right="1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340" w:type="dxa"/>
            <w:vAlign w:val="bottom"/>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(696)</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Valuation and Qualifying Accounts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16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16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Discount Accrual</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8,147</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65,234</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(65,824)</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7,557</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61,037</w:t>
            </w:r>
          </w:p>
        </w:tc>
        <w:tc>
          <w:tcPr>
            <w:tcW w:w="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(60,843)</w:t>
            </w: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8,147</w:t>
            </w: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8,179</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62,620</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(62,846)</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16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Inventory Obsolescence Reserve</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16,315</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13,714</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(18,961)</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11,067</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21,916</w:t>
            </w:r>
          </w:p>
        </w:tc>
        <w:tc>
          <w:tcPr>
            <w:tcW w:w="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(13,241)</w:t>
            </w: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16,315</w:t>
            </w: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21,976</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19,328</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(33,664)</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16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Stale Beer Reserve</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6,092</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(7,294)</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8,240</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5,311</w:t>
            </w:r>
          </w:p>
        </w:tc>
        <w:tc>
          <w:tcPr>
            <w:tcW w:w="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(7,459)</w:t>
            </w: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6,092</w:t>
            </w: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5,580</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18,772</w:t>
            </w:r>
          </w:p>
        </w:tc>
        <w:tc>
          <w:tcPr>
            <w:tcW w:w="160" w:type="dxa"/>
            <w:vAlign w:val="bottom"/>
            <w:shd w:val="clear" w:color="auto" w:fill="CFF0FC"/>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(16,112)</w:t>
            </w:r>
          </w:p>
        </w:tc>
        <w:tc>
          <w:tcPr>
            <w:tcW w:w="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8,240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Segment Reporting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in assessing performance. The Company has one operating segment and one reportable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The Company’s chief operating decision maker (“CODM”) is the chief executive officer.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right="20"/>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income, which is reported on the income statement as consolidated net income. The measure of segment assets is reported on the balance sheet as total consolidated assets.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measures of segment net income that the CODM considered in determining how to allocate resources and assess segment performance for the years ended December 27, 2025, December 28, 2024, and December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00" w:type="dxa"/>
            <w:vAlign w:val="bottom"/>
          </w:tcPr>
          <w:p>
            <w:pPr>
              <w:spacing w:after="0"/>
              <w:rPr>
                <w:sz w:val="10"/>
                <w:szCs w:val="10"/>
                <w:color w:val="auto"/>
              </w:rPr>
            </w:pPr>
          </w:p>
        </w:tc>
      </w:tr>
      <w:tr>
        <w:trPr>
          <w:trHeight w:val="190"/>
        </w:trPr>
        <w:tc>
          <w:tcPr>
            <w:tcW w:w="5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32"/>
        </w:trPr>
        <w:tc>
          <w:tcPr>
            <w:tcW w:w="5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5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1,964,994</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2,012,926</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2,008,625</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1,012,414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1,119,194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1,156,256</w:t>
            </w:r>
          </w:p>
        </w:tc>
        <w:tc>
          <w:tcPr>
            <w:tcW w:w="100" w:type="dxa"/>
            <w:vAlign w:val="bottom"/>
            <w:shd w:val="clear" w:color="auto" w:fill="CFF0FC"/>
          </w:tcPr>
          <w:p>
            <w:pPr>
              <w:spacing w:after="0"/>
              <w:rPr>
                <w:sz w:val="12"/>
                <w:szCs w:val="12"/>
                <w:color w:val="auto"/>
              </w:rPr>
            </w:pPr>
          </w:p>
        </w:tc>
      </w:tr>
      <w:tr>
        <w:trPr>
          <w:trHeight w:val="149"/>
        </w:trPr>
        <w:tc>
          <w:tcPr>
            <w:tcW w:w="5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Salaries and benefits expenses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238,363</w:t>
            </w:r>
          </w:p>
        </w:tc>
        <w:tc>
          <w:tcPr>
            <w:tcW w:w="100" w:type="dxa"/>
            <w:vAlign w:val="bottom"/>
          </w:tcPr>
          <w:p>
            <w:pPr>
              <w:spacing w:after="0"/>
              <w:rPr>
                <w:sz w:val="12"/>
                <w:szCs w:val="12"/>
                <w:color w:val="auto"/>
              </w:rPr>
            </w:pPr>
          </w:p>
        </w:tc>
      </w:tr>
      <w:tr>
        <w:trPr>
          <w:trHeight w:val="148"/>
        </w:trPr>
        <w:tc>
          <w:tcPr>
            <w:tcW w:w="5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Advertising, promotional, and selling expenses (excluding salaries and benefits)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455,833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402,221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410,710</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 (excluding salaries and benefits)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81,473</w:t>
            </w:r>
          </w:p>
        </w:tc>
        <w:tc>
          <w:tcPr>
            <w:tcW w:w="100" w:type="dxa"/>
            <w:vAlign w:val="bottom"/>
          </w:tcPr>
          <w:p>
            <w:pPr>
              <w:spacing w:after="0"/>
              <w:rPr>
                <w:sz w:val="12"/>
                <w:szCs w:val="12"/>
                <w:color w:val="auto"/>
              </w:rPr>
            </w:pPr>
          </w:p>
        </w:tc>
      </w:tr>
      <w:tr>
        <w:trPr>
          <w:trHeight w:val="148"/>
        </w:trPr>
        <w:tc>
          <w:tcPr>
            <w:tcW w:w="5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2"/>
                <w:szCs w:val="12"/>
                <w:color w:val="auto"/>
              </w:rPr>
            </w:pPr>
          </w:p>
        </w:tc>
      </w:tr>
      <w:tr>
        <w:trPr>
          <w:trHeight w:val="149"/>
        </w:trPr>
        <w:tc>
          <w:tcPr>
            <w:tcW w:w="5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 settlement costs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(9,939)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(10,995)</w:t>
            </w:r>
          </w:p>
        </w:tc>
      </w:tr>
      <w:tr>
        <w:trPr>
          <w:trHeight w:val="148"/>
        </w:trPr>
        <w:tc>
          <w:tcPr>
            <w:tcW w:w="5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44,991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33,338</w:t>
            </w:r>
          </w:p>
        </w:tc>
        <w:tc>
          <w:tcPr>
            <w:tcW w:w="100" w:type="dxa"/>
            <w:vAlign w:val="bottom"/>
          </w:tcPr>
          <w:p>
            <w:pPr>
              <w:spacing w:after="0"/>
              <w:rPr>
                <w:sz w:val="12"/>
                <w:szCs w:val="12"/>
                <w:color w:val="auto"/>
              </w:rPr>
            </w:pPr>
          </w:p>
        </w:tc>
      </w:tr>
      <w:tr>
        <w:trPr>
          <w:trHeight w:val="162"/>
        </w:trPr>
        <w:tc>
          <w:tcPr>
            <w:tcW w:w="5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net income</w:t>
            </w: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108,469</w:t>
            </w:r>
          </w:p>
        </w:tc>
        <w:tc>
          <w:tcPr>
            <w:tcW w:w="1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76,250</w:t>
            </w:r>
          </w:p>
        </w:tc>
        <w:tc>
          <w:tcPr>
            <w:tcW w:w="100" w:type="dxa"/>
            <w:vAlign w:val="bottom"/>
            <w:shd w:val="clear" w:color="auto" w:fill="CFF0FC"/>
          </w:tcPr>
          <w:p>
            <w:pPr>
              <w:spacing w:after="0"/>
              <w:rPr>
                <w:sz w:val="14"/>
                <w:szCs w:val="14"/>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76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Related Party Transactions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2019, as part of the merger with Dogfish Head, the Company entered into a lease with the Dogfish Head founders and other owners of buildings used in certain of the Company’s restaurant operations. The lease is for ten years with renewal options. The total payments due under the initial ten-year term is $3.6 million. Total related party expense recognized was approximately $0.4 million, in fiscal 2025, 2024, and 2023, respectively. Other related party expenses and transactions totaled less than $0.1 million for fiscal 2025, 2024, and 2023.</w:t>
      </w:r>
    </w:p>
    <w:p>
      <w:pPr>
        <w:spacing w:after="0" w:line="18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Effective August 15, 2025, Jim Koch assumed the role of Chief Executive Officer, succeeding Michael Spillane. Prior to this appointment, Mr. Koch served as Brewer, Founder, and Chairman of the Board, during which time in 2025, he did not receive salary, bonus, or equity compensation. Upon assuming the CEO role, Mr. Koch has elected to continue forgoing salary and bonus, and no new equity awards have been granted. He also holds no unvested equity awards that would be subject to expense recognition.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was party to an International Brand Rights License Agreement, dated May 8, 2019 (the “License Agreement”), with Calagione International, LLC (“CILLC”), an entity owned and controlled by Director Samuel A. Calagione, III. The License Agreement, which was entered into in connection with the Dogfish Head Merger, granted CILLC exclusive rights to the Dogfish Head trademarks outside of the United States and Canada for a ten-year period, automatically renewable on an indefinite basis. On October 22, 2025, the Company and CILLC entered into a letter agreement terminating the License Agreement, reverting the rights back to the Company in exchange for a one-time payment of $100,000.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Subsequent Events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occurring after the balance sheet date, December 27, 2025, through the issuance of these financial statements and concluded that there were no events of which management was aware that occurred that would require any adjustment to or disclosure in the accompanying consolidated financial statements.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February 20, 2026, the U.S. Supreme Court issued a ruling related to federal tariffs. The Company is currently evaluating the ruling and its potential implications. At this time, management cannot reasonably estimate the impact, if any, on the Company’s operations or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 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December 27, 2025. In making this assessment, the Company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 (2013 framework)</w:t>
      </w:r>
      <w:r>
        <w:rPr>
          <w:rFonts w:ascii="Times New Roman" w:cs="Times New Roman" w:eastAsia="Times New Roman" w:hAnsi="Times New Roman"/>
          <w:sz w:val="18"/>
          <w:szCs w:val="18"/>
          <w:color w:val="auto"/>
        </w:rPr>
        <w:t>. Based on its assessment, the Company believes that, as of December 27, 2025, the Company’s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is effective based on those criteria.</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27, 2025 has been audited by Deloitte &amp; Touche LLP, an independent registered public accounting firm, as stated in their report.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changes in the Company’s internal control over financial reporting occurred during the quarter ended December 27, 2025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Boston Beer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Boston Beer Company, Inc. and subsidiaries (the “Company”) as of December 27,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27,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27, 2025, of the Company and our report dated February 24,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Agreements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trading plans were adopted or terminated during the thirteen weeks ended December 27, 2025 by an officer (as defined in Exchange Act Rule 16a-1(f)) or director that is intended to satisfy the affirmative defense conditions of Securities Exchange Act Rule 10b5-1(c) or a non-Rule 10b5-1(c) trading arrangement.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t>
      </w:r>
      <w:r>
        <w:rPr>
          <w:rFonts w:ascii="Times New Roman" w:cs="Times New Roman" w:eastAsia="Times New Roman" w:hAnsi="Times New Roman"/>
          <w:sz w:val="18"/>
          <w:szCs w:val="18"/>
          <w:i w:val="1"/>
          <w:iCs w:val="1"/>
          <w:color w:val="auto"/>
        </w:rPr>
        <w:t>www.bostonbeer.com</w:t>
      </w:r>
      <w:r>
        <w:rPr>
          <w:rFonts w:ascii="Times New Roman" w:cs="Times New Roman" w:eastAsia="Times New Roman" w:hAnsi="Times New Roman"/>
          <w:sz w:val="18"/>
          <w:szCs w:val="18"/>
          <w:color w:val="auto"/>
        </w:rPr>
        <w:t>,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the registrant’s definitive Proxy Statement for the 2026 Annual Meeting to be held on May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the registrant’s definitive Proxy Statement for the 2026 Annual Meeting to be held on May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Ownership</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with respect to security ownership of certain beneficial owners and management is hereby incorporated by reference from the registrant’s definitive Proxy Statement for the 2026 Annual Meeting to be held on May 27,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3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Equity Compensation Plans Approved by</w:t>
            </w:r>
          </w:p>
        </w:tc>
        <w:tc>
          <w:tcPr>
            <w:tcW w:w="20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289,550</w:t>
            </w: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313.93</w:t>
            </w:r>
          </w:p>
        </w:tc>
        <w:tc>
          <w:tcPr>
            <w:tcW w:w="1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Security Holders</w:t>
            </w:r>
          </w:p>
        </w:tc>
        <w:tc>
          <w:tcPr>
            <w:tcW w:w="2020" w:type="dxa"/>
            <w:vAlign w:val="bottom"/>
            <w:gridSpan w:val="3"/>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1700" w:type="dxa"/>
            <w:vAlign w:val="bottom"/>
            <w:gridSpan w:val="2"/>
            <w:vMerge w:val="continue"/>
            <w:shd w:val="clear" w:color="auto" w:fill="CFF0FC"/>
          </w:tcPr>
          <w:p>
            <w:pPr>
              <w:spacing w:after="0"/>
              <w:rPr>
                <w:sz w:val="14"/>
                <w:szCs w:val="14"/>
                <w:color w:val="auto"/>
              </w:rPr>
            </w:pPr>
          </w:p>
        </w:tc>
        <w:tc>
          <w:tcPr>
            <w:tcW w:w="1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120" w:type="dxa"/>
            <w:vAlign w:val="bottom"/>
          </w:tcPr>
          <w:p>
            <w:pPr>
              <w:spacing w:after="0"/>
              <w:rPr>
                <w:sz w:val="10"/>
                <w:szCs w:val="10"/>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1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58"/>
        </w:trPr>
        <w:tc>
          <w:tcPr>
            <w:tcW w:w="53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Security Holders</w:t>
            </w:r>
          </w:p>
        </w:tc>
        <w:tc>
          <w:tcPr>
            <w:tcW w:w="12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289,550</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313.93</w:t>
            </w:r>
          </w:p>
        </w:tc>
        <w:tc>
          <w:tcPr>
            <w:tcW w:w="1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the registrant’s definitive Proxy Statement for the 2026 Annual Meeting to be held on May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the registrant’s definitive Proxy Statement for the 2026 Annual Meeting to be held on May 27,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filed as a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20" w:type="dxa"/>
            <w:vAlign w:val="bottom"/>
            <w:gridSpan w:val="10"/>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140" w:type="dxa"/>
            <w:vAlign w:val="bottom"/>
            <w:gridSpan w:val="5"/>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27, 2025, December 28, 2024, and December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2023</w:t>
            </w:r>
          </w:p>
        </w:tc>
        <w:tc>
          <w:tcPr>
            <w:tcW w:w="28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3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27, 2025 and December 28, 2024</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2280" w:type="dxa"/>
            <w:vAlign w:val="bottom"/>
            <w:tcBorders>
              <w:right w:val="single" w:sz="8" w:color="0000EE"/>
            </w:tcBorders>
            <w:gridSpan w:val="2"/>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27, 2025, December 28, 2024, and December 30,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562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27, 2025, December 28, 2024, and December 30,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562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2. Financial Statement Schedules.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10-K:</w:t>
      </w:r>
    </w:p>
    <w:p>
      <w:pPr>
        <w:spacing w:after="0" w:line="248" w:lineRule="exact"/>
        <w:rPr>
          <w:sz w:val="20"/>
          <w:szCs w:val="20"/>
          <w:color w:val="auto"/>
        </w:rPr>
      </w:pPr>
    </w:p>
    <w:p>
      <w:pPr>
        <w:ind w:left="18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148" w:lineRule="exact"/>
        <w:rPr>
          <w:sz w:val="20"/>
          <w:szCs w:val="20"/>
          <w:color w:val="auto"/>
        </w:rPr>
      </w:pPr>
    </w:p>
    <w:p>
      <w:pPr>
        <w:ind w:left="1260" w:right="400" w:hanging="668"/>
        <w:spacing w:after="0" w:line="266"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410">
        <w:r>
          <w:rPr>
            <w:rFonts w:ascii="Times New Roman" w:cs="Times New Roman" w:eastAsia="Times New Roman" w:hAnsi="Times New Roman"/>
            <w:sz w:val="18"/>
            <w:szCs w:val="18"/>
            <w:u w:val="single" w:color="auto"/>
            <w:color w:val="0000FF"/>
          </w:rPr>
          <w:t>Agreement and Plan of Merger, dated May 8, 2019, with Dogfish Head Holding Company, Canoe Acquisition Corp., and solely with</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respect to the indemnification obligations set forth in the Merger Agreement, Samuel A. Calagione III and Mariah D. Calagione</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(incorporated by reference to Exhibit 2.1 to the Company’s Form 8-K filed on May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793750</wp:posOffset>
            </wp:positionH>
            <wp:positionV relativeFrom="paragraph">
              <wp:posOffset>-313055</wp:posOffset>
            </wp:positionV>
            <wp:extent cx="61175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61175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-175895</wp:posOffset>
            </wp:positionV>
            <wp:extent cx="58756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58756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-38735</wp:posOffset>
            </wp:positionV>
            <wp:extent cx="424561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424561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260" w:right="60" w:hanging="668"/>
        <w:spacing w:after="0" w:line="266"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414">
        <w:r>
          <w:rPr>
            <w:rFonts w:ascii="Times New Roman" w:cs="Times New Roman" w:eastAsia="Times New Roman" w:hAnsi="Times New Roman"/>
            <w:sz w:val="18"/>
            <w:szCs w:val="18"/>
            <w:u w:val="single" w:color="auto"/>
            <w:color w:val="0000FF"/>
          </w:rPr>
          <w:t>Membership Unit Purchase Agreement, dated May 8, 2019, by and among The Boston Beer Company, Inc., Dogfish East of the</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Mississippi LP, and solely with respect to indemnification obligations set forth therein, Samuel A. Calagione III and Mariah D. Calagione</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(incorporated by reference to Exhibit 2.2 to the Company’s Form 8-K filed on May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793750</wp:posOffset>
            </wp:positionH>
            <wp:positionV relativeFrom="paragraph">
              <wp:posOffset>-313055</wp:posOffset>
            </wp:positionV>
            <wp:extent cx="588264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5882640"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-175895</wp:posOffset>
            </wp:positionV>
            <wp:extent cx="63334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63334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-38735</wp:posOffset>
            </wp:positionV>
            <wp:extent cx="42456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424561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260" w:right="60" w:hanging="668"/>
        <w:spacing w:after="0" w:line="28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418">
        <w:r>
          <w:rPr>
            <w:rFonts w:ascii="Times New Roman" w:cs="Times New Roman" w:eastAsia="Times New Roman" w:hAnsi="Times New Roman"/>
            <w:sz w:val="18"/>
            <w:szCs w:val="18"/>
            <w:u w:val="single" w:color="auto"/>
            <w:color w:val="0000FF"/>
          </w:rPr>
          <w:t>Membership Unit Purchase Agreement, dated as of May 8, 2019, by and among The Boston Beer Company, Inc. and DFH Investors LLC</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(incorporated by reference to Exhibit 2.3 to the Company’s Form 8-K filed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-185420</wp:posOffset>
            </wp:positionV>
            <wp:extent cx="63303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633031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-48260</wp:posOffset>
            </wp:positionV>
            <wp:extent cx="424561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4245610" cy="8890"/>
                    </a:xfrm>
                    <a:prstGeom prst="rect">
                      <a:avLst/>
                    </a:prstGeom>
                    <a:noFill/>
                  </pic:spPr>
                </pic:pic>
              </a:graphicData>
            </a:graphic>
          </wp:anchor>
        </w:drawing>
      </w:r>
    </w:p>
    <w:p>
      <w:pPr>
        <w:spacing w:after="0" w:line="47" w:lineRule="exact"/>
        <w:rPr>
          <w:sz w:val="20"/>
          <w:szCs w:val="20"/>
          <w:color w:val="auto"/>
        </w:rPr>
      </w:pPr>
    </w:p>
    <w:p>
      <w:pPr>
        <w:ind w:left="580"/>
        <w:spacing w:after="0"/>
        <w:tabs>
          <w:tab w:leader="none" w:pos="12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21">
        <w:r>
          <w:rPr>
            <w:rFonts w:ascii="Times New Roman" w:cs="Times New Roman" w:eastAsia="Times New Roman" w:hAnsi="Times New Roman"/>
            <w:sz w:val="17"/>
            <w:szCs w:val="17"/>
            <w:u w:val="single" w:color="auto"/>
            <w:color w:val="0000FF"/>
          </w:rPr>
          <w:t>Amended and Restated By-Laws of the Company, dated June 2, 1998 (incorporated by reference to Exhibit 3.5 to the Company’s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622554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6225540" cy="8890"/>
                    </a:xfrm>
                    <a:prstGeom prst="rect">
                      <a:avLst/>
                    </a:prstGeom>
                    <a:noFill/>
                  </pic:spPr>
                </pic:pic>
              </a:graphicData>
            </a:graphic>
          </wp:anchor>
        </w:drawing>
      </w:r>
    </w:p>
    <w:p>
      <w:pPr>
        <w:spacing w:after="0" w:line="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421">
        <w:r>
          <w:rPr>
            <w:rFonts w:ascii="Times New Roman" w:cs="Times New Roman" w:eastAsia="Times New Roman" w:hAnsi="Times New Roman"/>
            <w:sz w:val="18"/>
            <w:szCs w:val="18"/>
            <w:u w:val="single" w:color="auto"/>
            <w:color w:val="0000FF"/>
          </w:rPr>
          <w:t>10-Q filed on August 10, 1998).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-19050</wp:posOffset>
            </wp:positionV>
            <wp:extent cx="14693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92" w:lineRule="exact"/>
        <w:rPr>
          <w:sz w:val="20"/>
          <w:szCs w:val="20"/>
          <w:color w:val="auto"/>
        </w:rPr>
      </w:pPr>
    </w:p>
    <w:p>
      <w:pPr>
        <w:ind w:left="1260" w:right="200" w:hanging="668"/>
        <w:spacing w:after="0" w:line="28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421">
        <w:r>
          <w:rPr>
            <w:rFonts w:ascii="Times New Roman" w:cs="Times New Roman" w:eastAsia="Times New Roman" w:hAnsi="Times New Roman"/>
            <w:sz w:val="18"/>
            <w:szCs w:val="18"/>
            <w:u w:val="single" w:color="auto"/>
            <w:color w:val="0000FF"/>
          </w:rPr>
          <w:t>Restated Articles of Organization of the Company, dated November 17, 1995, as amended August 4, 1998 (incorporated by reference to</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Exhibit 3.6 to the Company’s Form 10-Q filed on August 10, 1998).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-185420</wp:posOffset>
            </wp:positionV>
            <wp:extent cx="62503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-48260</wp:posOffset>
            </wp:positionV>
            <wp:extent cx="31229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47"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Form of Class A Common Stock Certificate (incorporated by reference to Exhibit 4.1 to the Company’s Registration Statement No. 33-</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96164). (P)</w:t>
      </w:r>
    </w:p>
    <w:p>
      <w:pPr>
        <w:spacing w:after="0" w:line="112" w:lineRule="exact"/>
        <w:rPr>
          <w:sz w:val="20"/>
          <w:szCs w:val="20"/>
          <w:color w:val="auto"/>
        </w:rPr>
      </w:pPr>
    </w:p>
    <w:p>
      <w:pPr>
        <w:ind w:left="1260" w:right="420" w:hanging="668"/>
        <w:spacing w:after="0" w:line="28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426">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(incorporated by</w:t>
        </w:r>
      </w:hyperlink>
      <w:r>
        <w:rPr>
          <w:rFonts w:ascii="Times New Roman" w:cs="Times New Roman" w:eastAsia="Times New Roman" w:hAnsi="Times New Roman"/>
          <w:sz w:val="18"/>
          <w:szCs w:val="18"/>
          <w:u w:val="single" w:color="auto"/>
          <w:color w:val="0000FF"/>
        </w:rPr>
        <w:t xml:space="preserve"> </w:t>
      </w:r>
      <w:hyperlink r:id="rId426">
        <w:r>
          <w:rPr>
            <w:rFonts w:ascii="Times New Roman" w:cs="Times New Roman" w:eastAsia="Times New Roman" w:hAnsi="Times New Roman"/>
            <w:sz w:val="18"/>
            <w:szCs w:val="18"/>
            <w:u w:val="single" w:color="auto"/>
            <w:color w:val="0000FF"/>
          </w:rPr>
          <w:t>reference to Exhibit 4.1 to the Company’s Form 10-K filed on February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-185420</wp:posOffset>
            </wp:positionV>
            <wp:extent cx="610171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610171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-48260</wp:posOffset>
            </wp:positionV>
            <wp:extent cx="37471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3747135" cy="8890"/>
                    </a:xfrm>
                    <a:prstGeom prst="rect">
                      <a:avLst/>
                    </a:prstGeom>
                    <a:noFill/>
                  </pic:spPr>
                </pic:pic>
              </a:graphicData>
            </a:graphic>
          </wp:anchor>
        </w:drawing>
      </w:r>
    </w:p>
    <w:p>
      <w:pPr>
        <w:spacing w:after="0" w:line="47" w:lineRule="exact"/>
        <w:rPr>
          <w:sz w:val="20"/>
          <w:szCs w:val="20"/>
          <w:color w:val="auto"/>
        </w:rPr>
      </w:pPr>
    </w:p>
    <w:p>
      <w:pPr>
        <w:ind w:left="1260" w:right="740" w:hanging="713"/>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Stockholder Rights Agreement, dated as of December 1995, among The Boston Beer Company, Inc. and the initial Stockholders (incorporated by reference to the Company’s Form 10-K, filed on April 1, 1996). (P)</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tcBorders>
              <w:bottom w:val="single" w:sz="8" w:color="0000FF"/>
            </w:tcBorders>
            <w:gridSpan w:val="34"/>
          </w:tcPr>
          <w:p>
            <w:pPr>
              <w:ind w:left="20"/>
              <w:spacing w:after="0"/>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Production Agreement between Samuel Adams Brewery Company, Ltd. and Brown-Forman Distillery Company, a division of Brown-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ind w:left="20"/>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Forman Corporation, effective as of April 11, 2005 (incorporated by reference to the Company’s 10-Q filed on May 5, 2005).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9940" w:type="dxa"/>
            <w:vAlign w:val="bottom"/>
            <w:tcBorders>
              <w:bottom w:val="single" w:sz="8" w:color="0000FF"/>
            </w:tcBorders>
            <w:gridSpan w:val="40"/>
          </w:tcPr>
          <w:p>
            <w:pPr>
              <w:ind w:left="20"/>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Brewing Services Agreement between CBC Latrobe Acquisition, LLC and Boston Beer Corporation dated March 28, 2007 (incorporated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ind w:left="20"/>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by reference to the Company’s Quarterly Report on Form 10-Q filed on May 10, 2007).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auto"/>
              </w:rPr>
              <w:t>Office Lease Agreement between Boston Design Center LLC and Boston Beer Corporation dated March 24, 2006 (“Office Lease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auto"/>
              </w:rPr>
              <w:t>Agreement”), as amended on September 29, 2006, October 31, 2007, March 25, 2008, August 27, 2012, February 22, 2013, and June 3,</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000" w:type="dxa"/>
            <w:vAlign w:val="bottom"/>
            <w:gridSpan w:val="41"/>
          </w:tcPr>
          <w:p>
            <w:pPr>
              <w:ind w:left="20"/>
              <w:spacing w:after="0" w:line="194" w:lineRule="exact"/>
              <w:rPr>
                <w:rFonts w:ascii="Times New Roman" w:cs="Times New Roman" w:eastAsia="Times New Roman" w:hAnsi="Times New Roman"/>
                <w:sz w:val="18"/>
                <w:szCs w:val="18"/>
                <w:color w:val="auto"/>
                <w:w w:val="99"/>
              </w:rPr>
            </w:pPr>
            <w:hyperlink r:id="rId432">
              <w:r>
                <w:rPr>
                  <w:rFonts w:ascii="Times New Roman" w:cs="Times New Roman" w:eastAsia="Times New Roman" w:hAnsi="Times New Roman"/>
                  <w:sz w:val="18"/>
                  <w:szCs w:val="18"/>
                  <w:color w:val="auto"/>
                  <w:w w:val="99"/>
                </w:rPr>
                <w:t xml:space="preserve">2015 (incorporated by reference to the Company’s Quarterly Report on Form </w:t>
              </w:r>
              <w:r>
                <w:rPr>
                  <w:rFonts w:ascii="Times New Roman" w:cs="Times New Roman" w:eastAsia="Times New Roman" w:hAnsi="Times New Roman"/>
                  <w:sz w:val="18"/>
                  <w:szCs w:val="18"/>
                  <w:color w:val="0000FF"/>
                  <w:w w:val="99"/>
                </w:rPr>
                <w:t>10-Q</w:t>
              </w:r>
              <w:r>
                <w:rPr>
                  <w:rFonts w:ascii="Times New Roman" w:cs="Times New Roman" w:eastAsia="Times New Roman" w:hAnsi="Times New Roman"/>
                  <w:sz w:val="18"/>
                  <w:szCs w:val="18"/>
                  <w:color w:val="auto"/>
                  <w:w w:val="99"/>
                </w:rPr>
                <w:t xml:space="preserve"> filed on May 11, 2006 and Annual Report on Form </w:t>
              </w:r>
              <w:r>
                <w:rPr>
                  <w:rFonts w:ascii="Times New Roman" w:cs="Times New Roman" w:eastAsia="Times New Roman" w:hAnsi="Times New Roman"/>
                  <w:sz w:val="18"/>
                  <w:szCs w:val="18"/>
                  <w:color w:val="0000FF"/>
                  <w:w w:val="99"/>
                </w:rPr>
                <w:t>10-</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6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 xml:space="preserve">K </w:t>
              </w:r>
              <w:r>
                <w:rPr>
                  <w:rFonts w:ascii="Times New Roman" w:cs="Times New Roman" w:eastAsia="Times New Roman" w:hAnsi="Times New Roman"/>
                  <w:sz w:val="18"/>
                  <w:szCs w:val="18"/>
                  <w:color w:val="000000"/>
                </w:rPr>
                <w:t>filed on February 18, 2016).</w:t>
              </w:r>
            </w:hyperlink>
          </w:p>
        </w:tc>
        <w:tc>
          <w:tcPr>
            <w:tcW w:w="380" w:type="dxa"/>
            <w:vAlign w:val="bottom"/>
            <w:tcBorders>
              <w:top w:val="single" w:sz="8" w:color="0000FF"/>
            </w:tcBorders>
          </w:tcPr>
          <w:p>
            <w:pPr>
              <w:spacing w:after="0"/>
              <w:rPr>
                <w:sz w:val="17"/>
                <w:szCs w:val="17"/>
                <w:color w:val="auto"/>
              </w:rPr>
            </w:pPr>
          </w:p>
        </w:tc>
        <w:tc>
          <w:tcPr>
            <w:tcW w:w="3760" w:type="dxa"/>
            <w:vAlign w:val="bottom"/>
            <w:gridSpan w:val="14"/>
          </w:tcPr>
          <w:p>
            <w:pPr>
              <w:spacing w:after="0"/>
              <w:rPr>
                <w:sz w:val="17"/>
                <w:szCs w:val="17"/>
                <w:color w:val="auto"/>
              </w:rPr>
            </w:pPr>
          </w:p>
        </w:tc>
        <w:tc>
          <w:tcPr>
            <w:tcW w:w="240" w:type="dxa"/>
            <w:vAlign w:val="bottom"/>
            <w:tcBorders>
              <w:top w:val="single" w:sz="8" w:color="0000FF"/>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+10.5</w:t>
            </w:r>
          </w:p>
        </w:tc>
        <w:tc>
          <w:tcPr>
            <w:tcW w:w="100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auto"/>
              </w:rPr>
              <w:t>Seventh Amendment to Lease Agreement dated June 1, 2019. Certain information in this exhibit is confidential and has been excluded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auto"/>
              </w:rPr>
              <w:t>pursuant to applicable rules because it (i) is not material and (ii) would likely cause competitive harm if publicly disclosed (incorporated</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000" w:type="dxa"/>
            <w:vAlign w:val="bottom"/>
            <w:gridSpan w:val="41"/>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the Company's Annual Report on Form </w:t>
            </w:r>
            <w:hyperlink r:id="rId433">
              <w:r>
                <w:rPr>
                  <w:rFonts w:ascii="Times New Roman" w:cs="Times New Roman" w:eastAsia="Times New Roman" w:hAnsi="Times New Roman"/>
                  <w:sz w:val="18"/>
                  <w:szCs w:val="18"/>
                  <w:color w:val="0000FF"/>
                </w:rPr>
                <w:t>10-K</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17,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**10.6</w:t>
            </w:r>
          </w:p>
        </w:tc>
        <w:tc>
          <w:tcPr>
            <w:tcW w:w="100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auto"/>
              </w:rPr>
              <w:t>The Boston Beer Company, Inc. Equity Plan for Non-Employee Directors, adopted on February 9, 2023 (incorporated by reference to</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000" w:type="dxa"/>
            <w:vAlign w:val="bottom"/>
            <w:gridSpan w:val="41"/>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r:id="rId434">
              <w:r>
                <w:rPr>
                  <w:rFonts w:ascii="Times New Roman" w:cs="Times New Roman" w:eastAsia="Times New Roman" w:hAnsi="Times New Roman"/>
                  <w:sz w:val="18"/>
                  <w:szCs w:val="18"/>
                  <w:color w:val="0000FF"/>
                </w:rPr>
                <w:t>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Company’s Current Report on Form 8-K filed on February 10, 2023.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**10.7</w:t>
            </w:r>
          </w:p>
        </w:tc>
        <w:tc>
          <w:tcPr>
            <w:tcW w:w="9920" w:type="dxa"/>
            <w:vAlign w:val="bottom"/>
            <w:tcBorders>
              <w:bottom w:val="single" w:sz="8" w:color="0000FF"/>
            </w:tcBorders>
            <w:gridSpan w:val="39"/>
          </w:tcPr>
          <w:p>
            <w:pPr>
              <w:ind w:left="20"/>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The Boston Beer Company, Inc. Employee Equity Incentive Plan, as amended on February 23, 1996, December 20, 1997, December 19,</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6"/>
          </w:tcPr>
          <w:p>
            <w:pPr>
              <w:ind w:left="20"/>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2005, December 19, 2006, December 21, 2007, October 30, 2009, October 8, 2013, October 8, 2014, and December 9, 2015, December</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ind w:left="20"/>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20, 2017, and December 20, 2018 (incorporated by reference to the Company’s Current Report on Form 8-K filed on December 21,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 w:type="dxa"/>
            <w:vAlign w:val="bottom"/>
            <w:tcBorders>
              <w:top w:val="single" w:sz="8" w:color="0000FF"/>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4"/>
              </w:rPr>
            </w:pPr>
            <w:hyperlink r:id="rId435">
              <w:r>
                <w:rPr>
                  <w:rFonts w:ascii="Times New Roman" w:cs="Times New Roman" w:eastAsia="Times New Roman" w:hAnsi="Times New Roman"/>
                  <w:sz w:val="18"/>
                  <w:szCs w:val="18"/>
                  <w:color w:val="0000FF"/>
                  <w:w w:val="94"/>
                </w:rPr>
                <w:t>2018).</w:t>
              </w:r>
            </w:hyperlink>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FF"/>
            </w:tcBorders>
            <w:gridSpan w:val="37"/>
          </w:tcPr>
          <w:p>
            <w:pPr>
              <w:ind w:left="20"/>
              <w:spacing w:after="0"/>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Employment Agreement of Samuel A. Calagione III, dated July 3, 2019 (incorporated by reference to Exhibit 10.3 to the Company’s 10-</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82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8"/>
              </w:rPr>
            </w:pPr>
            <w:hyperlink r:id="rId436">
              <w:r>
                <w:rPr>
                  <w:rFonts w:ascii="Times New Roman" w:cs="Times New Roman" w:eastAsia="Times New Roman" w:hAnsi="Times New Roman"/>
                  <w:sz w:val="18"/>
                  <w:szCs w:val="18"/>
                  <w:color w:val="0000FF"/>
                  <w:w w:val="98"/>
                </w:rPr>
                <w:t>Q filed on July 25, 2019)</w:t>
              </w:r>
            </w:hyperlink>
          </w:p>
        </w:tc>
        <w:tc>
          <w:tcPr>
            <w:tcW w:w="20" w:type="dxa"/>
            <w:vAlign w:val="bottom"/>
            <w:tcBorders>
              <w:bottom w:val="single" w:sz="8" w:color="0000EE"/>
            </w:tcBorders>
          </w:tcPr>
          <w:p>
            <w:pPr>
              <w:spacing w:after="0"/>
              <w:rPr>
                <w:sz w:val="17"/>
                <w:szCs w:val="17"/>
                <w:color w:val="auto"/>
              </w:rPr>
            </w:pPr>
          </w:p>
        </w:tc>
        <w:tc>
          <w:tcPr>
            <w:tcW w:w="816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10.11</w:t>
            </w:r>
          </w:p>
        </w:tc>
        <w:tc>
          <w:tcPr>
            <w:tcW w:w="10000" w:type="dxa"/>
            <w:vAlign w:val="bottom"/>
            <w:tcBorders>
              <w:bottom w:val="single" w:sz="8" w:color="0000FF"/>
            </w:tcBorders>
            <w:gridSpan w:val="41"/>
          </w:tcPr>
          <w:p>
            <w:pPr>
              <w:ind w:left="20"/>
              <w:spacing w:after="0"/>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Registration Rights Agreement with the Former Dogfish Head Stockholders, dated July 3, 2019 (incorporated by reference to Exhibit 10.1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ind w:left="20"/>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to the Company’s 10-Q filed on July 25, 2019).</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**10.12</w:t>
            </w:r>
          </w:p>
        </w:tc>
        <w:tc>
          <w:tcPr>
            <w:tcW w:w="9380" w:type="dxa"/>
            <w:vAlign w:val="bottom"/>
            <w:tcBorders>
              <w:bottom w:val="single" w:sz="8" w:color="0000FF"/>
            </w:tcBorders>
            <w:gridSpan w:val="29"/>
          </w:tcPr>
          <w:p>
            <w:pPr>
              <w:ind w:left="20"/>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Indemnification Agreement with the Dogfish Head Founders, dated July 3, 2019 (incorporated by reference to Exhibit 10.2 to the</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98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8"/>
              </w:rPr>
            </w:pPr>
            <w:hyperlink r:id="rId438">
              <w:r>
                <w:rPr>
                  <w:rFonts w:ascii="Times New Roman" w:cs="Times New Roman" w:eastAsia="Times New Roman" w:hAnsi="Times New Roman"/>
                  <w:sz w:val="18"/>
                  <w:szCs w:val="18"/>
                  <w:color w:val="0000FF"/>
                  <w:w w:val="98"/>
                </w:rPr>
                <w:t>Company’s 10-Q filed on July 25, 2019).</w:t>
              </w:r>
            </w:hyperlink>
          </w:p>
        </w:tc>
        <w:tc>
          <w:tcPr>
            <w:tcW w:w="20" w:type="dxa"/>
            <w:vAlign w:val="bottom"/>
            <w:tcBorders>
              <w:bottom w:val="single" w:sz="8" w:color="0000EE"/>
            </w:tcBorders>
          </w:tcPr>
          <w:p>
            <w:pPr>
              <w:spacing w:after="0"/>
              <w:rPr>
                <w:sz w:val="17"/>
                <w:szCs w:val="17"/>
                <w:color w:val="auto"/>
              </w:rPr>
            </w:pPr>
          </w:p>
        </w:tc>
        <w:tc>
          <w:tcPr>
            <w:tcW w:w="70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9640" w:type="dxa"/>
            <w:vAlign w:val="bottom"/>
            <w:tcBorders>
              <w:bottom w:val="single" w:sz="8" w:color="0000FF"/>
            </w:tcBorders>
            <w:gridSpan w:val="33"/>
          </w:tcPr>
          <w:p>
            <w:pPr>
              <w:ind w:left="20"/>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Third Amended and Restated Credit Agreement by and among The Boston Beer Company, Inc., Boston Beer Corporation, American</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90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Craft Brewery LLC, and Bank of America, N.A., dated December 16, 2022 (incorporated by reference to the Company’s Current Report</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12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439">
              <w:r>
                <w:rPr>
                  <w:rFonts w:ascii="Times New Roman" w:cs="Times New Roman" w:eastAsia="Times New Roman" w:hAnsi="Times New Roman"/>
                  <w:sz w:val="18"/>
                  <w:szCs w:val="18"/>
                  <w:color w:val="0000FF"/>
                  <w:w w:val="99"/>
                </w:rPr>
                <w:t>on Form 8-K filed on December 22, 2022).</w:t>
              </w:r>
            </w:hyperlink>
          </w:p>
        </w:tc>
        <w:tc>
          <w:tcPr>
            <w:tcW w:w="20" w:type="dxa"/>
            <w:vAlign w:val="bottom"/>
            <w:tcBorders>
              <w:bottom w:val="single" w:sz="8" w:color="0000EE"/>
            </w:tcBorders>
          </w:tcPr>
          <w:p>
            <w:pPr>
              <w:spacing w:after="0"/>
              <w:rPr>
                <w:sz w:val="17"/>
                <w:szCs w:val="17"/>
                <w:color w:val="auto"/>
              </w:rPr>
            </w:pPr>
          </w:p>
        </w:tc>
        <w:tc>
          <w:tcPr>
            <w:tcW w:w="68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00" w:type="dxa"/>
            <w:vAlign w:val="bottom"/>
            <w:tcBorders>
              <w:bottom w:val="single" w:sz="8" w:color="0000FF"/>
            </w:tcBorders>
            <w:gridSpan w:val="41"/>
          </w:tcPr>
          <w:p>
            <w:pPr>
              <w:ind w:left="20"/>
              <w:spacing w:after="0"/>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Offer Letter to Diego Reynoso, Chief Financial Officer, dated July 21, 2023 (incorporated by reference to exhibit 10.1 to a Current Report</w:t>
              </w:r>
            </w:hyperlink>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10000" w:type="dxa"/>
            <w:vAlign w:val="bottom"/>
            <w:gridSpan w:val="41"/>
            <w:vMerge w:val="restart"/>
          </w:tcPr>
          <w:p>
            <w:pPr>
              <w:ind w:left="20"/>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on Form 8-K filed by the Company on July 24, 2023)</w:t>
              </w:r>
            </w:hyperlink>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0000" w:type="dxa"/>
            <w:vAlign w:val="bottom"/>
            <w:gridSpan w:val="4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80" w:type="dxa"/>
            <w:vAlign w:val="bottom"/>
            <w:tcBorders>
              <w:right w:val="single" w:sz="8" w:color="0000EE"/>
            </w:tcBorders>
            <w:gridSpan w:val="1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9520" w:type="dxa"/>
            <w:vAlign w:val="bottom"/>
            <w:tcBorders>
              <w:bottom w:val="single" w:sz="8" w:color="0000FF"/>
            </w:tcBorders>
            <w:gridSpan w:val="31"/>
          </w:tcPr>
          <w:p>
            <w:pPr>
              <w:ind w:left="20"/>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Offer Letter to Michael Spillane, Chief Executive Officer dated February 23, 2024 (incorporated by reference to Exhibit 10.1 of the</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5000" w:type="dxa"/>
            <w:vAlign w:val="bottom"/>
            <w:gridSpan w:val="17"/>
            <w:vMerge w:val="restart"/>
          </w:tcPr>
          <w:p>
            <w:pPr>
              <w:ind w:left="20"/>
              <w:spacing w:after="0" w:line="196"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Company's Current Report on Form 8-K filed on February 24, 2024.)</w:t>
              </w:r>
            </w:hyperlink>
          </w:p>
        </w:tc>
        <w:tc>
          <w:tcPr>
            <w:tcW w:w="20" w:type="dxa"/>
            <w:vAlign w:val="bottom"/>
            <w:vMerge w:val="restart"/>
          </w:tcPr>
          <w:p>
            <w:pPr>
              <w:spacing w:after="0"/>
              <w:rPr>
                <w:sz w:val="11"/>
                <w:szCs w:val="11"/>
                <w:color w:val="auto"/>
              </w:rPr>
            </w:pPr>
          </w:p>
        </w:tc>
        <w:tc>
          <w:tcPr>
            <w:tcW w:w="4980" w:type="dxa"/>
            <w:vAlign w:val="bottom"/>
            <w:gridSpan w:val="2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40" w:type="dxa"/>
            <w:vAlign w:val="bottom"/>
          </w:tcPr>
          <w:p>
            <w:pPr>
              <w:spacing w:after="0"/>
              <w:rPr>
                <w:sz w:val="5"/>
                <w:szCs w:val="5"/>
                <w:color w:val="auto"/>
              </w:rPr>
            </w:pPr>
          </w:p>
        </w:tc>
        <w:tc>
          <w:tcPr>
            <w:tcW w:w="5000" w:type="dxa"/>
            <w:vAlign w:val="bottom"/>
            <w:tcBorders>
              <w:bottom w:val="single" w:sz="8" w:color="0000FF"/>
            </w:tcBorders>
            <w:gridSpan w:val="17"/>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98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9420" w:type="dxa"/>
            <w:vAlign w:val="bottom"/>
            <w:tcBorders>
              <w:bottom w:val="single" w:sz="8" w:color="0000FF"/>
            </w:tcBorders>
            <w:gridSpan w:val="30"/>
          </w:tcPr>
          <w:p>
            <w:pPr>
              <w:ind w:left="20"/>
              <w:spacing w:after="0"/>
              <w:rPr>
                <w:sz w:val="20"/>
                <w:szCs w:val="20"/>
                <w:color w:val="auto"/>
              </w:rPr>
            </w:pPr>
            <w:r>
              <w:rPr>
                <w:rFonts w:ascii="Times New Roman" w:cs="Times New Roman" w:eastAsia="Times New Roman" w:hAnsi="Times New Roman"/>
                <w:sz w:val="18"/>
                <w:szCs w:val="18"/>
                <w:color w:val="0000FF"/>
              </w:rPr>
              <w:t>Offer Letter to Michael R. Crowley, Chief Sales Officer, dated August 15, 2023 (incorporated by reference to Exhibit 10.18 to the</w:t>
            </w:r>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4940" w:type="dxa"/>
            <w:vAlign w:val="bottom"/>
            <w:gridSpan w:val="16"/>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rPr>
              <w:t>Company's Annual Report on Form 10-K dated February 25, 2025).</w:t>
            </w:r>
          </w:p>
        </w:tc>
        <w:tc>
          <w:tcPr>
            <w:tcW w:w="5060" w:type="dxa"/>
            <w:vAlign w:val="bottom"/>
            <w:gridSpan w:val="2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40" w:type="dxa"/>
            <w:vAlign w:val="bottom"/>
          </w:tcPr>
          <w:p>
            <w:pPr>
              <w:spacing w:after="0"/>
              <w:rPr>
                <w:sz w:val="5"/>
                <w:szCs w:val="5"/>
                <w:color w:val="auto"/>
              </w:rPr>
            </w:pPr>
          </w:p>
        </w:tc>
        <w:tc>
          <w:tcPr>
            <w:tcW w:w="4940" w:type="dxa"/>
            <w:vAlign w:val="bottom"/>
            <w:tcBorders>
              <w:bottom w:val="single" w:sz="8" w:color="0000EE"/>
            </w:tcBorders>
            <w:gridSpan w:val="16"/>
            <w:vMerge w:val="continue"/>
          </w:tcPr>
          <w:p>
            <w:pPr>
              <w:spacing w:after="0"/>
              <w:rPr>
                <w:sz w:val="5"/>
                <w:szCs w:val="5"/>
                <w:color w:val="auto"/>
              </w:rPr>
            </w:pPr>
          </w:p>
        </w:tc>
        <w:tc>
          <w:tcPr>
            <w:tcW w:w="506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6680" w:type="dxa"/>
            <w:vAlign w:val="bottom"/>
            <w:tcBorders>
              <w:bottom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w w:val="99"/>
              </w:rPr>
              <w:t>Offer Letter to Tara L. Heath, Chief Legal Officer &amp; General Counsel, dated August 8, 2022</w:t>
            </w:r>
          </w:p>
        </w:tc>
        <w:tc>
          <w:tcPr>
            <w:tcW w:w="20" w:type="dxa"/>
            <w:vAlign w:val="bottom"/>
            <w:tcBorders>
              <w:bottom w:val="single" w:sz="8" w:color="0000EE"/>
            </w:tcBorders>
          </w:tcPr>
          <w:p>
            <w:pPr>
              <w:spacing w:after="0"/>
              <w:rPr>
                <w:sz w:val="24"/>
                <w:szCs w:val="24"/>
                <w:color w:val="auto"/>
              </w:rPr>
            </w:pPr>
          </w:p>
        </w:tc>
        <w:tc>
          <w:tcPr>
            <w:tcW w:w="3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9940" w:type="dxa"/>
            <w:vAlign w:val="bottom"/>
            <w:tcBorders>
              <w:bottom w:val="single" w:sz="8" w:color="0000FF"/>
            </w:tcBorders>
            <w:gridSpan w:val="40"/>
          </w:tcPr>
          <w:p>
            <w:pPr>
              <w:ind w:left="20"/>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Transition Agreement governing Mr. Spillane's ongoing relationship with the Company, dated August 1, 2025 (incorporated by reference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10000" w:type="dxa"/>
            <w:vAlign w:val="bottom"/>
            <w:gridSpan w:val="41"/>
            <w:vMerge w:val="restart"/>
          </w:tcPr>
          <w:p>
            <w:pPr>
              <w:ind w:left="20"/>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as Exhibit 10.1 of the Company's Current Report on Form 8-K filed on August 1, 2025.)</w:t>
              </w:r>
            </w:hyperlink>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0000" w:type="dxa"/>
            <w:vAlign w:val="bottom"/>
            <w:gridSpan w:val="4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20" w:type="dxa"/>
            <w:vAlign w:val="bottom"/>
            <w:gridSpan w:val="1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10.19</w:t>
            </w:r>
          </w:p>
        </w:tc>
        <w:tc>
          <w:tcPr>
            <w:tcW w:w="9540" w:type="dxa"/>
            <w:vAlign w:val="bottom"/>
            <w:tcBorders>
              <w:bottom w:val="single" w:sz="8" w:color="0000FF"/>
            </w:tcBorders>
            <w:gridSpan w:val="32"/>
          </w:tcPr>
          <w:p>
            <w:pPr>
              <w:ind w:left="20"/>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Offer Letter to Philip A. Hodges, Chief Operating Officer, dated October 20, 2025 (incorporated by reference as Exhibit 10.1 of the</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5100" w:type="dxa"/>
            <w:vAlign w:val="bottom"/>
            <w:gridSpan w:val="19"/>
            <w:vMerge w:val="restart"/>
          </w:tcPr>
          <w:p>
            <w:pPr>
              <w:ind w:left="20"/>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Company's Current Report on Form 8-K/A filed on October 22, 2025)</w:t>
              </w:r>
            </w:hyperlink>
          </w:p>
        </w:tc>
        <w:tc>
          <w:tcPr>
            <w:tcW w:w="490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40" w:type="dxa"/>
            <w:vAlign w:val="bottom"/>
          </w:tcPr>
          <w:p>
            <w:pPr>
              <w:spacing w:after="0"/>
              <w:rPr>
                <w:sz w:val="5"/>
                <w:szCs w:val="5"/>
                <w:color w:val="auto"/>
              </w:rPr>
            </w:pPr>
          </w:p>
        </w:tc>
        <w:tc>
          <w:tcPr>
            <w:tcW w:w="5100" w:type="dxa"/>
            <w:vAlign w:val="bottom"/>
            <w:tcBorders>
              <w:bottom w:val="single" w:sz="8" w:color="0000EE"/>
            </w:tcBorders>
            <w:gridSpan w:val="19"/>
            <w:vMerge w:val="continue"/>
          </w:tcPr>
          <w:p>
            <w:pPr>
              <w:spacing w:after="0"/>
              <w:rPr>
                <w:sz w:val="5"/>
                <w:szCs w:val="5"/>
                <w:color w:val="auto"/>
              </w:rPr>
            </w:pPr>
          </w:p>
        </w:tc>
        <w:tc>
          <w:tcPr>
            <w:tcW w:w="490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*19.1</w:t>
            </w:r>
          </w:p>
        </w:tc>
        <w:tc>
          <w:tcPr>
            <w:tcW w:w="100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0000FF"/>
              </w:rPr>
              <w:t>Insider Trading Policy of The Boston Beer Company, Inc., adopted on March 1, 2015 and amended on February 9, 2023.</w:t>
            </w:r>
          </w:p>
        </w:tc>
        <w:tc>
          <w:tcPr>
            <w:tcW w:w="0" w:type="dxa"/>
            <w:vAlign w:val="bottom"/>
          </w:tcPr>
          <w:p>
            <w:pPr>
              <w:spacing w:after="0"/>
              <w:rPr>
                <w:sz w:val="1"/>
                <w:szCs w:val="1"/>
                <w:color w:val="auto"/>
              </w:rPr>
            </w:pPr>
          </w:p>
        </w:tc>
      </w:tr>
      <w:tr>
        <w:trPr>
          <w:trHeight w:val="318"/>
        </w:trPr>
        <w:tc>
          <w:tcPr>
            <w:tcW w:w="12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*21.1</w:t>
            </w:r>
          </w:p>
        </w:tc>
        <w:tc>
          <w:tcPr>
            <w:tcW w:w="8720" w:type="dxa"/>
            <w:vAlign w:val="bottom"/>
            <w:tcBorders>
              <w:top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rPr>
              <w:t>List of subsidiaries of The Boston Beer Company, Inc. effective as of December 27, 2025.</w:t>
            </w:r>
          </w:p>
        </w:tc>
        <w:tc>
          <w:tcPr>
            <w:tcW w:w="12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240" w:type="dxa"/>
            <w:vAlign w:val="bottom"/>
          </w:tcPr>
          <w:p>
            <w:pPr>
              <w:spacing w:after="0"/>
              <w:rPr>
                <w:sz w:val="24"/>
                <w:szCs w:val="24"/>
                <w:color w:val="auto"/>
              </w:rPr>
            </w:pPr>
          </w:p>
        </w:tc>
        <w:tc>
          <w:tcPr>
            <w:tcW w:w="4940" w:type="dxa"/>
            <w:vAlign w:val="bottom"/>
            <w:tcBorders>
              <w:top w:val="single" w:sz="8" w:color="0000FF"/>
            </w:tcBorders>
            <w:gridSpan w:val="16"/>
          </w:tcPr>
          <w:p>
            <w:pPr>
              <w:ind w:left="430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5" w:name="page76"/>
    <w:bookmarkEnd w:id="75"/>
    <w:tbl>
      <w:tblPr>
        <w:tblLayout w:type="fixed"/>
        <w:tblInd w:w="32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*23.1</w:t>
            </w:r>
          </w:p>
        </w:tc>
        <w:tc>
          <w:tcPr>
            <w:tcW w:w="64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Consent of Deloitte &amp; Touche LLP, an Independent Registered Public Accounting Firm.</w:t>
            </w:r>
          </w:p>
        </w:tc>
        <w:tc>
          <w:tcPr>
            <w:tcW w:w="20" w:type="dxa"/>
            <w:vAlign w:val="bottom"/>
            <w:tcBorders>
              <w:bottom w:val="single" w:sz="8" w:color="0000EE"/>
            </w:tcBorders>
          </w:tcPr>
          <w:p>
            <w:pPr>
              <w:spacing w:after="0"/>
              <w:rPr>
                <w:sz w:val="17"/>
                <w:szCs w:val="17"/>
                <w:color w:val="auto"/>
              </w:rPr>
            </w:pPr>
          </w:p>
        </w:tc>
        <w:tc>
          <w:tcPr>
            <w:tcW w:w="35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*31.1</w:t>
            </w:r>
          </w:p>
        </w:tc>
        <w:tc>
          <w:tcPr>
            <w:tcW w:w="95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 Rule 13a-14(a) under the Securities Exchange Act of 1934, as</w:t>
            </w:r>
          </w:p>
        </w:tc>
        <w:tc>
          <w:tcPr>
            <w:tcW w:w="4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94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99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 to</w:t>
            </w:r>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6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*32.1</w:t>
            </w:r>
          </w:p>
        </w:tc>
        <w:tc>
          <w:tcPr>
            <w:tcW w:w="988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 18 U.S.C. Section 1350, as adopted pursuant to Section 906 of the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6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*32.2</w:t>
            </w:r>
          </w:p>
        </w:tc>
        <w:tc>
          <w:tcPr>
            <w:tcW w:w="99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 Sarbanes-Oxley</w:t>
            </w:r>
          </w:p>
        </w:tc>
        <w:tc>
          <w:tcPr>
            <w:tcW w:w="40" w:type="dxa"/>
            <w:vAlign w:val="bottom"/>
            <w:tcBorders>
              <w:bottom w:val="single" w:sz="8" w:color="0000FF"/>
            </w:tcBorders>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020" w:type="dxa"/>
            <w:vAlign w:val="bottom"/>
            <w:gridSpan w:val="10"/>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*97.1</w:t>
            </w:r>
          </w:p>
        </w:tc>
        <w:tc>
          <w:tcPr>
            <w:tcW w:w="99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The Boston Beer Company, Inc. Clawback Policy amended effective as of October 2, 2023.</w:t>
            </w:r>
          </w:p>
        </w:tc>
        <w:tc>
          <w:tcPr>
            <w:tcW w:w="40" w:type="dxa"/>
            <w:vAlign w:val="bottom"/>
          </w:tcPr>
          <w:p>
            <w:pPr>
              <w:spacing w:after="0"/>
              <w:rPr>
                <w:sz w:val="24"/>
                <w:szCs w:val="24"/>
                <w:color w:val="auto"/>
              </w:rPr>
            </w:pPr>
          </w:p>
        </w:tc>
      </w:tr>
      <w:tr>
        <w:trPr>
          <w:trHeight w:val="358"/>
        </w:trPr>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*101.INS</w:t>
            </w:r>
          </w:p>
        </w:tc>
        <w:tc>
          <w:tcPr>
            <w:tcW w:w="662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33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 w:type="dxa"/>
            <w:vAlign w:val="bottom"/>
          </w:tcPr>
          <w:p>
            <w:pPr>
              <w:spacing w:after="0"/>
              <w:rPr>
                <w:sz w:val="24"/>
                <w:szCs w:val="24"/>
                <w:color w:val="auto"/>
              </w:rPr>
            </w:pPr>
          </w:p>
        </w:tc>
      </w:tr>
      <w:tr>
        <w:trPr>
          <w:trHeight w:val="33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*101.CAL</w:t>
            </w:r>
          </w:p>
        </w:tc>
        <w:tc>
          <w:tcPr>
            <w:tcW w:w="99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40" w:type="dxa"/>
            <w:vAlign w:val="bottom"/>
          </w:tcPr>
          <w:p>
            <w:pPr>
              <w:spacing w:after="0"/>
              <w:rPr>
                <w:sz w:val="24"/>
                <w:szCs w:val="24"/>
                <w:color w:val="auto"/>
              </w:rPr>
            </w:pPr>
          </w:p>
        </w:tc>
      </w:tr>
      <w:tr>
        <w:trPr>
          <w:trHeight w:val="33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*101.LAB</w:t>
            </w:r>
          </w:p>
        </w:tc>
        <w:tc>
          <w:tcPr>
            <w:tcW w:w="99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40" w:type="dxa"/>
            <w:vAlign w:val="bottom"/>
          </w:tcPr>
          <w:p>
            <w:pPr>
              <w:spacing w:after="0"/>
              <w:rPr>
                <w:sz w:val="24"/>
                <w:szCs w:val="24"/>
                <w:color w:val="auto"/>
              </w:rPr>
            </w:pPr>
          </w:p>
        </w:tc>
      </w:tr>
      <w:tr>
        <w:trPr>
          <w:trHeight w:val="338"/>
        </w:trPr>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*101.PRE</w:t>
            </w:r>
          </w:p>
        </w:tc>
        <w:tc>
          <w:tcPr>
            <w:tcW w:w="99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40" w:type="dxa"/>
            <w:vAlign w:val="bottom"/>
          </w:tcPr>
          <w:p>
            <w:pPr>
              <w:spacing w:after="0"/>
              <w:rPr>
                <w:sz w:val="24"/>
                <w:szCs w:val="24"/>
                <w:color w:val="auto"/>
              </w:rPr>
            </w:pPr>
          </w:p>
        </w:tc>
      </w:tr>
      <w:tr>
        <w:trPr>
          <w:trHeight w:val="338"/>
        </w:trPr>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*101DEF</w:t>
            </w:r>
          </w:p>
        </w:tc>
        <w:tc>
          <w:tcPr>
            <w:tcW w:w="99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40" w:type="dxa"/>
            <w:vAlign w:val="bottom"/>
          </w:tcPr>
          <w:p>
            <w:pPr>
              <w:spacing w:after="0"/>
              <w:rPr>
                <w:sz w:val="24"/>
                <w:szCs w:val="24"/>
                <w:color w:val="auto"/>
              </w:rPr>
            </w:pPr>
          </w:p>
        </w:tc>
      </w:tr>
    </w:tbl>
    <w:p>
      <w:pPr>
        <w:spacing w:after="0" w:line="103" w:lineRule="exact"/>
        <w:rPr>
          <w:sz w:val="20"/>
          <w:szCs w:val="20"/>
          <w:color w:val="auto"/>
        </w:rPr>
      </w:pPr>
    </w:p>
    <w:p>
      <w:pPr>
        <w:ind w:right="3500" w:firstLine="604"/>
        <w:spacing w:after="0" w:line="386" w:lineRule="auto"/>
        <w:tabs>
          <w:tab w:leader="none" w:pos="124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 * Filed with this report.</w:t>
      </w:r>
    </w:p>
    <w:p>
      <w:pPr>
        <w:spacing w:after="0" w:line="1" w:lineRule="exact"/>
        <w:rPr>
          <w:sz w:val="20"/>
          <w:szCs w:val="20"/>
          <w:color w:val="auto"/>
        </w:rPr>
      </w:pPr>
    </w:p>
    <w:p>
      <w:pPr>
        <w:ind w:right="280" w:firstLine="8"/>
        <w:spacing w:after="0" w:line="250" w:lineRule="auto"/>
        <w:tabs>
          <w:tab w:leader="none" w:pos="1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pursuant to an application for an order declaring confidential treatment filed with and approved by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 on this 24th day of February 2026.</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 James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 James Koch</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 (principal executive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following persons on behalf of the registrant and in the capacities and on the dates indicated have signed this report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8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9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 C. James Koch</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32"/>
        </w:trPr>
        <w:tc>
          <w:tcPr>
            <w:tcW w:w="4120" w:type="dxa"/>
            <w:vAlign w:val="bottom"/>
            <w:tcBorders>
              <w:bottom w:val="single" w:sz="8" w:color="auto"/>
            </w:tcBorders>
          </w:tcPr>
          <w:p>
            <w:pPr>
              <w:spacing w:after="0"/>
              <w:rPr>
                <w:sz w:val="2"/>
                <w:szCs w:val="2"/>
                <w:color w:val="auto"/>
              </w:rPr>
            </w:pPr>
          </w:p>
        </w:tc>
        <w:tc>
          <w:tcPr>
            <w:tcW w:w="4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 James Koch</w:t>
            </w:r>
          </w:p>
        </w:tc>
        <w:tc>
          <w:tcPr>
            <w:tcW w:w="482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120" w:type="dxa"/>
            <w:vAlign w:val="bottom"/>
            <w:vMerge w:val="continue"/>
          </w:tcPr>
          <w:p>
            <w:pPr>
              <w:spacing w:after="0"/>
              <w:rPr>
                <w:sz w:val="23"/>
                <w:szCs w:val="23"/>
                <w:color w:val="auto"/>
              </w:rPr>
            </w:pPr>
          </w:p>
        </w:tc>
        <w:tc>
          <w:tcPr>
            <w:tcW w:w="48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Diego Reynoso</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Diego Reynoso</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 Matthew D. Murphy</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VP Finance and Chief Accounting Officer (principal</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32"/>
        </w:trPr>
        <w:tc>
          <w:tcPr>
            <w:tcW w:w="4120" w:type="dxa"/>
            <w:vAlign w:val="bottom"/>
            <w:tcBorders>
              <w:bottom w:val="single" w:sz="8" w:color="auto"/>
            </w:tcBorders>
          </w:tcPr>
          <w:p>
            <w:pPr>
              <w:spacing w:after="0"/>
              <w:rPr>
                <w:sz w:val="2"/>
                <w:szCs w:val="2"/>
                <w:color w:val="auto"/>
              </w:rPr>
            </w:pPr>
          </w:p>
        </w:tc>
        <w:tc>
          <w:tcPr>
            <w:tcW w:w="4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Matthew D. Murphy</w:t>
            </w:r>
          </w:p>
        </w:tc>
        <w:tc>
          <w:tcPr>
            <w:tcW w:w="482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120" w:type="dxa"/>
            <w:vAlign w:val="bottom"/>
            <w:vMerge w:val="continue"/>
          </w:tcPr>
          <w:p>
            <w:pPr>
              <w:spacing w:after="0"/>
              <w:rPr>
                <w:sz w:val="23"/>
                <w:szCs w:val="23"/>
                <w:color w:val="auto"/>
              </w:rPr>
            </w:pPr>
          </w:p>
        </w:tc>
        <w:tc>
          <w:tcPr>
            <w:tcW w:w="48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A. Calagione III</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Brewer and 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Samuel A. Calagione III</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A. Fisher</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Cynthia A. Fisher</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 Jordan</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Joseph H. Jordan</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Meghan V. Joyce</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Meghan V. Joyce</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Julio N. Nemeth</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Julio N. Nemeth</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Spillane</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Michael Spillane</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I. Stone</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I. Stone</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L. Swanson</w:t>
            </w: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2026</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Cynthia L. Swanson</w:t>
            </w:r>
          </w:p>
        </w:tc>
        <w:tc>
          <w:tcPr>
            <w:tcW w:w="4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4120" w:type="dxa"/>
            <w:vAlign w:val="bottom"/>
          </w:tcPr>
          <w:p>
            <w:pPr>
              <w:spacing w:after="0"/>
              <w:rPr>
                <w:sz w:val="24"/>
                <w:szCs w:val="24"/>
                <w:color w:val="auto"/>
              </w:rPr>
            </w:pPr>
          </w:p>
        </w:tc>
        <w:tc>
          <w:tcPr>
            <w:tcW w:w="4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77</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406" w:gutter="0" w:footer="0" w:header="0"/>
        </w:sectPr>
      </w:pPr>
    </w:p>
    <w:bookmarkStart w:id="77" w:name="page78"/>
    <w:bookmarkEnd w:id="77"/>
    <w:p>
      <w:pPr>
        <w:ind w:left="7880"/>
        <w:spacing w:after="0"/>
        <w:rPr>
          <w:sz w:val="20"/>
          <w:szCs w:val="20"/>
          <w:color w:val="auto"/>
        </w:rPr>
      </w:pPr>
      <w:r>
        <w:rPr>
          <w:rFonts w:ascii="Arial" w:cs="Arial" w:eastAsia="Arial" w:hAnsi="Arial"/>
          <w:sz w:val="20"/>
          <w:szCs w:val="20"/>
          <w:b w:val="1"/>
          <w:bCs w:val="1"/>
          <w:color w:val="auto"/>
        </w:rPr>
        <w:t>EXHIBIT 10.17</w:t>
      </w: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August 8, 2022</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Tara Heath</w:t>
      </w:r>
    </w:p>
    <w:p>
      <w:pPr>
        <w:ind w:left="380"/>
        <w:spacing w:after="0" w:line="225" w:lineRule="auto"/>
        <w:rPr>
          <w:sz w:val="20"/>
          <w:szCs w:val="20"/>
          <w:color w:val="auto"/>
        </w:rPr>
      </w:pPr>
      <w:r>
        <w:rPr>
          <w:rFonts w:ascii="Arial" w:cs="Arial" w:eastAsia="Arial" w:hAnsi="Arial"/>
          <w:sz w:val="20"/>
          <w:szCs w:val="20"/>
          <w:color w:val="auto"/>
        </w:rPr>
        <w:t>VP of Legal and Deputy General Counsel</w:t>
      </w:r>
    </w:p>
    <w:p>
      <w:pPr>
        <w:ind w:left="380"/>
        <w:spacing w:after="0" w:line="225" w:lineRule="auto"/>
        <w:rPr>
          <w:sz w:val="20"/>
          <w:szCs w:val="20"/>
          <w:color w:val="auto"/>
        </w:rPr>
      </w:pPr>
      <w:r>
        <w:rPr>
          <w:rFonts w:ascii="Arial" w:cs="Arial" w:eastAsia="Arial" w:hAnsi="Arial"/>
          <w:sz w:val="20"/>
          <w:szCs w:val="20"/>
          <w:color w:val="auto"/>
        </w:rPr>
        <w:t>Tara,</w:t>
      </w:r>
    </w:p>
    <w:p>
      <w:pPr>
        <w:spacing w:after="0" w:line="1" w:lineRule="exact"/>
        <w:rPr>
          <w:sz w:val="20"/>
          <w:szCs w:val="20"/>
          <w:color w:val="auto"/>
        </w:rPr>
      </w:pPr>
    </w:p>
    <w:p>
      <w:pPr>
        <w:ind w:left="380" w:right="20"/>
        <w:spacing w:after="0" w:line="239" w:lineRule="auto"/>
        <w:rPr>
          <w:sz w:val="20"/>
          <w:szCs w:val="20"/>
          <w:color w:val="auto"/>
        </w:rPr>
      </w:pPr>
      <w:r>
        <w:rPr>
          <w:rFonts w:ascii="Arial" w:cs="Arial" w:eastAsia="Arial" w:hAnsi="Arial"/>
          <w:sz w:val="20"/>
          <w:szCs w:val="20"/>
          <w:color w:val="auto"/>
        </w:rPr>
        <w:t>In recognition of your past and continued contribution to The Boston Beer Company, we are pleased to provide you with a change to your title, reporting relationship, and compensation opportunity.</w:t>
      </w:r>
    </w:p>
    <w:p>
      <w:pPr>
        <w:spacing w:after="0" w:line="170" w:lineRule="exact"/>
        <w:rPr>
          <w:sz w:val="20"/>
          <w:szCs w:val="20"/>
          <w:color w:val="auto"/>
        </w:rPr>
      </w:pPr>
    </w:p>
    <w:p>
      <w:pPr>
        <w:ind w:left="380" w:right="760"/>
        <w:spacing w:after="0" w:line="259" w:lineRule="auto"/>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Reporting to the Chief Executive Officer, your title will be updated to Chief Legal Officer,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Counsel. This is an exempt position not eligible for overtime.</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August 22, 2022</w:t>
      </w:r>
    </w:p>
    <w:p>
      <w:pPr>
        <w:spacing w:after="0" w:line="229" w:lineRule="exact"/>
        <w:rPr>
          <w:sz w:val="20"/>
          <w:szCs w:val="20"/>
          <w:color w:val="auto"/>
        </w:rPr>
      </w:pPr>
    </w:p>
    <w:p>
      <w:pPr>
        <w:ind w:left="380"/>
        <w:spacing w:after="0" w:line="259" w:lineRule="auto"/>
        <w:rPr>
          <w:sz w:val="20"/>
          <w:szCs w:val="20"/>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Your annual salary will increase to $ 340,000.00 paid bi-weekly per our normal payroll schedule, less all</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federal, state and local taxes and other authorized payroll withholdings.</w:t>
      </w:r>
    </w:p>
    <w:p>
      <w:pPr>
        <w:spacing w:after="0" w:line="152" w:lineRule="exact"/>
        <w:rPr>
          <w:sz w:val="20"/>
          <w:szCs w:val="20"/>
          <w:color w:val="auto"/>
        </w:rPr>
      </w:pPr>
    </w:p>
    <w:p>
      <w:pPr>
        <w:ind w:left="380" w:right="20"/>
        <w:spacing w:after="0" w:line="224" w:lineRule="auto"/>
        <w:rPr>
          <w:sz w:val="20"/>
          <w:szCs w:val="20"/>
          <w:color w:val="auto"/>
        </w:rPr>
      </w:pPr>
      <w:r>
        <w:rPr>
          <w:rFonts w:ascii="Arial" w:cs="Arial" w:eastAsia="Arial" w:hAnsi="Arial"/>
          <w:sz w:val="20"/>
          <w:szCs w:val="20"/>
          <w:b w:val="1"/>
          <w:bCs w:val="1"/>
          <w:color w:val="auto"/>
        </w:rPr>
        <w:t xml:space="preserve">Bonus Opportunity: </w:t>
      </w:r>
      <w:r>
        <w:rPr>
          <w:rFonts w:ascii="Arial" w:cs="Arial" w:eastAsia="Arial" w:hAnsi="Arial"/>
          <w:sz w:val="20"/>
          <w:szCs w:val="20"/>
          <w:color w:val="auto"/>
        </w:rPr>
        <w:t>Your bonus opportunity will increase to 50% of actual base pay received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year and funding applied to the XLT bonus scale of 0% - 250%. Actual attainment could be higher or lower based on company and/or individual performance. To be eligible for a bonus payment you must be employed on the last business day of the bonus year, typically December 31</w:t>
      </w:r>
      <w:r>
        <w:rPr>
          <w:rFonts w:ascii="Arial" w:cs="Arial" w:eastAsia="Arial" w:hAnsi="Arial"/>
          <w:sz w:val="26"/>
          <w:szCs w:val="26"/>
          <w:color w:val="auto"/>
          <w:vertAlign w:val="superscript"/>
        </w:rPr>
        <w:t>st</w:t>
      </w:r>
      <w:r>
        <w:rPr>
          <w:rFonts w:ascii="Arial" w:cs="Arial" w:eastAsia="Arial" w:hAnsi="Arial"/>
          <w:sz w:val="20"/>
          <w:szCs w:val="20"/>
          <w:color w:val="auto"/>
        </w:rPr>
        <w:t>, or the last business day of the calendar year. Your bonus will be retroactive to January 1, 2022 and will not be pro-rated.</w:t>
      </w:r>
    </w:p>
    <w:p>
      <w:pPr>
        <w:spacing w:after="0" w:line="172" w:lineRule="exact"/>
        <w:rPr>
          <w:sz w:val="20"/>
          <w:szCs w:val="20"/>
          <w:color w:val="auto"/>
        </w:rPr>
      </w:pPr>
    </w:p>
    <w:p>
      <w:pPr>
        <w:ind w:left="380" w:right="160"/>
        <w:spacing w:after="0" w:line="233" w:lineRule="auto"/>
        <w:rPr>
          <w:sz w:val="20"/>
          <w:szCs w:val="20"/>
          <w:color w:val="auto"/>
        </w:rPr>
      </w:pPr>
      <w:r>
        <w:rPr>
          <w:rFonts w:ascii="Arial" w:cs="Arial" w:eastAsia="Arial" w:hAnsi="Arial"/>
          <w:sz w:val="20"/>
          <w:szCs w:val="20"/>
          <w:b w:val="1"/>
          <w:bCs w:val="1"/>
          <w:color w:val="auto"/>
        </w:rPr>
        <w:t xml:space="preserve">Long-Term Incentives: </w:t>
      </w:r>
      <w:r>
        <w:rPr>
          <w:rFonts w:ascii="Arial" w:cs="Arial" w:eastAsia="Arial" w:hAnsi="Arial"/>
          <w:sz w:val="20"/>
          <w:szCs w:val="20"/>
          <w:color w:val="auto"/>
        </w:rPr>
        <w:t>In this role you will continue be eligible to receive equity through Boston Beer</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Long Term Equity (LTE) program. While equity is not guaranteed, the target annual value of your award will increase to $250,000.00. The value of your equity award each year could be higher or lower based on Company and/or individual performance, and will be subject to the approval of the Compensation Committee of the Company’s Board of Directors. All equity awards are governed by our Restated Employee Equity Incentive Plan (EEIP) Plan document.</w:t>
      </w:r>
    </w:p>
    <w:p>
      <w:pPr>
        <w:spacing w:after="0" w:line="172" w:lineRule="exact"/>
        <w:rPr>
          <w:sz w:val="20"/>
          <w:szCs w:val="20"/>
          <w:color w:val="auto"/>
        </w:rPr>
      </w:pPr>
    </w:p>
    <w:p>
      <w:pPr>
        <w:ind w:left="380" w:right="460"/>
        <w:spacing w:after="0" w:line="259" w:lineRule="auto"/>
        <w:rPr>
          <w:sz w:val="20"/>
          <w:szCs w:val="20"/>
          <w:color w:val="auto"/>
        </w:rPr>
      </w:pPr>
      <w:r>
        <w:rPr>
          <w:rFonts w:ascii="Arial" w:cs="Arial" w:eastAsia="Arial" w:hAnsi="Arial"/>
          <w:sz w:val="20"/>
          <w:szCs w:val="20"/>
          <w:b w:val="1"/>
          <w:bCs w:val="1"/>
          <w:color w:val="auto"/>
        </w:rPr>
        <w:t xml:space="preserve">Benefits &amp; Other Allowances: </w:t>
      </w:r>
      <w:r>
        <w:rPr>
          <w:rFonts w:ascii="Arial" w:cs="Arial" w:eastAsia="Arial" w:hAnsi="Arial"/>
          <w:sz w:val="20"/>
          <w:szCs w:val="20"/>
          <w:color w:val="auto"/>
        </w:rPr>
        <w:t>You will continue to receive the same benefits as available in your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role.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 xml:space="preserve">At Will Employment: </w:t>
      </w:r>
      <w:r>
        <w:rPr>
          <w:rFonts w:ascii="Arial" w:cs="Arial" w:eastAsia="Arial" w:hAnsi="Arial"/>
          <w:sz w:val="20"/>
          <w:szCs w:val="20"/>
          <w:color w:val="auto"/>
        </w:rPr>
        <w:t>By accepting our offer of a compensation change it</w:t>
      </w:r>
      <w:r>
        <w:rPr>
          <w:rFonts w:ascii="Arial" w:cs="Arial" w:eastAsia="Arial" w:hAnsi="Arial"/>
          <w:sz w:val="20"/>
          <w:szCs w:val="20"/>
          <w:b w:val="1"/>
          <w:bCs w:val="1"/>
          <w:color w:val="auto"/>
        </w:rPr>
        <w:t xml:space="preserve"> </w:t>
      </w:r>
      <w:r>
        <w:rPr>
          <w:rFonts w:ascii="Arial" w:cs="Arial" w:eastAsia="Arial" w:hAnsi="Arial"/>
          <w:sz w:val="21"/>
          <w:szCs w:val="21"/>
          <w:color w:val="auto"/>
        </w:rPr>
        <w:t>does not alter the at-will nature of</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your employment.</w:t>
      </w:r>
    </w:p>
    <w:p>
      <w:pPr>
        <w:spacing w:after="0" w:line="204" w:lineRule="exact"/>
        <w:rPr>
          <w:sz w:val="20"/>
          <w:szCs w:val="20"/>
          <w:color w:val="auto"/>
        </w:rPr>
      </w:pPr>
    </w:p>
    <w:p>
      <w:pPr>
        <w:ind w:left="380" w:right="320"/>
        <w:spacing w:after="0" w:line="257" w:lineRule="auto"/>
        <w:rPr>
          <w:sz w:val="20"/>
          <w:szCs w:val="20"/>
          <w:color w:val="auto"/>
        </w:rPr>
      </w:pPr>
      <w:r>
        <w:rPr>
          <w:rFonts w:ascii="Arial" w:cs="Arial" w:eastAsia="Arial" w:hAnsi="Arial"/>
          <w:sz w:val="20"/>
          <w:szCs w:val="20"/>
          <w:color w:val="auto"/>
        </w:rPr>
        <w:t>Please indicate your acceptance of this offer by e-signing and accepting the offer via DocuSign. Should you have any questions, please do not hesitate to contact me.</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Cheers!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David Burwick</w:t>
      </w:r>
    </w:p>
    <w:p>
      <w:pPr>
        <w:spacing w:after="0" w:line="61"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08/09/2022</w:t>
      </w:r>
    </w:p>
    <w:p>
      <w:pPr>
        <w:spacing w:after="0" w:line="268" w:lineRule="exact"/>
        <w:rPr>
          <w:sz w:val="20"/>
          <w:szCs w:val="20"/>
          <w:color w:val="auto"/>
        </w:rPr>
      </w:pPr>
    </w:p>
    <w:p>
      <w:pPr>
        <w:ind w:left="380"/>
        <w:spacing w:after="0"/>
        <w:tabs>
          <w:tab w:leader="none" w:pos="1680" w:val="left"/>
        </w:tabs>
        <w:rPr>
          <w:sz w:val="20"/>
          <w:szCs w:val="20"/>
          <w:color w:val="auto"/>
        </w:rPr>
      </w:pPr>
      <w:r>
        <w:rPr>
          <w:rFonts w:ascii="Arial" w:cs="Arial" w:eastAsia="Arial" w:hAnsi="Arial"/>
          <w:sz w:val="20"/>
          <w:szCs w:val="20"/>
          <w:color w:val="auto"/>
        </w:rPr>
        <w:t>Tara Heath</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223520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669" w:right="3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u w:val="single" w:color="auto"/>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420" w:right="120" w:hanging="1413"/>
        <w:spacing w:after="0" w:line="180" w:lineRule="auto"/>
        <w:tabs>
          <w:tab w:leader="none" w:pos="1420" w:val="left"/>
        </w:tabs>
        <w:numPr>
          <w:ilvl w:val="0"/>
          <w:numId w:val="11"/>
        </w:numPr>
        <w:rPr>
          <w:rFonts w:ascii="Arial" w:cs="Arial" w:eastAsia="Arial" w:hAnsi="Arial"/>
          <w:sz w:val="70"/>
          <w:szCs w:val="70"/>
          <w:b w:val="1"/>
          <w:bCs w:val="1"/>
          <w:color w:val="0F2C52"/>
        </w:rPr>
      </w:pPr>
      <w:r>
        <w:rPr>
          <w:rFonts w:ascii="Times New Roman" w:cs="Times New Roman" w:eastAsia="Times New Roman" w:hAnsi="Times New Roman"/>
          <w:sz w:val="19"/>
          <w:szCs w:val="19"/>
          <w:color w:val="auto"/>
        </w:rPr>
        <w:t>This Insider Trading Policy (the “Policy”) describes the standards of The Boston Beer Company, Inc. (the “Company”, “we” or “us”) related to the trading of our stock (NYSE: SAM) by our directors, officers, and coworkers.</w:t>
      </w:r>
    </w:p>
    <w:p>
      <w:pPr>
        <w:spacing w:after="0" w:line="136" w:lineRule="exact"/>
        <w:rPr>
          <w:rFonts w:ascii="Arial" w:cs="Arial" w:eastAsia="Arial" w:hAnsi="Arial"/>
          <w:sz w:val="70"/>
          <w:szCs w:val="70"/>
          <w:b w:val="1"/>
          <w:bCs w:val="1"/>
          <w:color w:val="0F2C52"/>
        </w:rPr>
      </w:pPr>
    </w:p>
    <w:p>
      <w:pPr>
        <w:jc w:val="both"/>
        <w:ind w:left="1400" w:right="120"/>
        <w:spacing w:after="0" w:line="180" w:lineRule="auto"/>
        <w:rPr>
          <w:rFonts w:ascii="Arial" w:cs="Arial" w:eastAsia="Arial" w:hAnsi="Arial"/>
          <w:sz w:val="70"/>
          <w:szCs w:val="70"/>
          <w:b w:val="1"/>
          <w:bCs w:val="1"/>
          <w:color w:val="0F2C52"/>
        </w:rPr>
      </w:pPr>
      <w:r>
        <w:rPr>
          <w:rFonts w:ascii="Times New Roman" w:cs="Times New Roman" w:eastAsia="Times New Roman" w:hAnsi="Times New Roman"/>
          <w:sz w:val="22"/>
          <w:szCs w:val="22"/>
          <w:color w:val="auto"/>
        </w:rPr>
        <w:t>The penalties for violations of insider trading laws can be severe. We have adopted this Policy to avoid any such violations or even the appearance of improper conduct. Given the severity of the potential penalties, compliance with this Policy is mandatory, and therefore violations may, in addition to criminal and/or civil prosecution, be subject to Company-imposed discipline. The Company reserves the right to amend this Policy at any time.</w:t>
      </w:r>
      <w:r>
        <w:rPr>
          <w:rFonts w:ascii="Times New Roman" w:cs="Times New Roman" w:eastAsia="Times New Roman" w:hAnsi="Times New Roman"/>
          <w:sz w:val="57"/>
          <w:szCs w:val="57"/>
          <w:b w:val="1"/>
          <w:bCs w:val="1"/>
          <w:color w:val="0F2C52"/>
          <w:vertAlign w:val="superscript"/>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-1693545</wp:posOffset>
            </wp:positionV>
            <wp:extent cx="8890" cy="1688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889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60" w:right="100" w:hanging="2053"/>
        <w:spacing w:after="0" w:line="189" w:lineRule="auto"/>
        <w:tabs>
          <w:tab w:leader="none" w:pos="1739" w:val="left"/>
        </w:tabs>
        <w:numPr>
          <w:ilvl w:val="0"/>
          <w:numId w:val="12"/>
        </w:numPr>
        <w:rPr>
          <w:rFonts w:ascii="Arial" w:cs="Arial" w:eastAsia="Arial" w:hAnsi="Arial"/>
          <w:sz w:val="77"/>
          <w:szCs w:val="77"/>
          <w:b w:val="1"/>
          <w:bCs w:val="1"/>
          <w:color w:val="0F2C52"/>
        </w:rPr>
      </w:pPr>
      <w:r>
        <w:rPr>
          <w:rFonts w:ascii="Times New Roman" w:cs="Times New Roman" w:eastAsia="Times New Roman" w:hAnsi="Times New Roman"/>
          <w:sz w:val="16"/>
          <w:szCs w:val="16"/>
          <w:color w:val="0F2C52"/>
        </w:rPr>
        <w:t xml:space="preserve">a. </w:t>
      </w:r>
      <w:r>
        <w:rPr>
          <w:rFonts w:ascii="Times New Roman" w:cs="Times New Roman" w:eastAsia="Times New Roman" w:hAnsi="Times New Roman"/>
          <w:sz w:val="18"/>
          <w:szCs w:val="18"/>
          <w:color w:val="000000"/>
        </w:rPr>
        <w:t>“Material Non-Public Information” or “MNPI” means data relating to the Company that has not been</w:t>
      </w:r>
      <w:r>
        <w:rPr>
          <w:rFonts w:ascii="Times New Roman" w:cs="Times New Roman" w:eastAsia="Times New Roman" w:hAnsi="Times New Roman"/>
          <w:sz w:val="16"/>
          <w:szCs w:val="16"/>
          <w:color w:val="0F2C52"/>
        </w:rPr>
        <w:t xml:space="preserve"> </w:t>
      </w:r>
      <w:r>
        <w:rPr>
          <w:rFonts w:ascii="Times New Roman" w:cs="Times New Roman" w:eastAsia="Times New Roman" w:hAnsi="Times New Roman"/>
          <w:sz w:val="18"/>
          <w:szCs w:val="18"/>
          <w:color w:val="000000"/>
        </w:rPr>
        <w:t>made public but could have a material impact on our stock price. Some examples of MNPI include: (i) drafts of Company earnings reports before release to the public; (ii) sales data and depletions reports on the overall performance of the Company before release to the public; (iii) other full-Company information such as projections, forecasts, shipments, demand, profits, losses, or EPS before release to the public; and (iv) significant pending events that have not yet been disclosed to the public such as mergers, acquisitions, write-downs, changes in credit ratings, or cybersecurity breaches.</w:t>
      </w:r>
      <w:r>
        <w:rPr>
          <w:rFonts w:ascii="Times New Roman" w:cs="Times New Roman" w:eastAsia="Times New Roman" w:hAnsi="Times New Roman"/>
          <w:sz w:val="43"/>
          <w:szCs w:val="43"/>
          <w:b w:val="1"/>
          <w:bCs w:val="1"/>
          <w:color w:val="0F2C52"/>
          <w:vertAlign w:val="superscript"/>
        </w:rPr>
        <w:t>KeyDefinitions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-1428750</wp:posOffset>
            </wp:positionV>
            <wp:extent cx="8890" cy="2434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8890" cy="2434590"/>
                    </a:xfrm>
                    <a:prstGeom prst="rect">
                      <a:avLst/>
                    </a:prstGeom>
                    <a:noFill/>
                  </pic:spPr>
                </pic:pic>
              </a:graphicData>
            </a:graphic>
          </wp:anchor>
        </w:drawing>
      </w:r>
    </w:p>
    <w:p>
      <w:pPr>
        <w:spacing w:after="0" w:line="320" w:lineRule="exact"/>
        <w:rPr>
          <w:sz w:val="20"/>
          <w:szCs w:val="20"/>
          <w:color w:val="auto"/>
        </w:rPr>
      </w:pPr>
    </w:p>
    <w:p>
      <w:pPr>
        <w:jc w:val="both"/>
        <w:ind w:left="2060" w:right="100" w:hanging="330"/>
        <w:spacing w:after="0" w:line="238" w:lineRule="auto"/>
        <w:tabs>
          <w:tab w:leader="none" w:pos="2060" w:val="left"/>
        </w:tabs>
        <w:numPr>
          <w:ilvl w:val="0"/>
          <w:numId w:val="13"/>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The “Compliance Officer” means the individual coworker at the Company responsible for oversight, communication, interpretation, and training for this Policy, as well as the maintenance of a list of Company Insiders and an annual calendar of Open Trading Windows and Blackout Periods. As of the publication of this Policy, the Compliance Officer is Associate General Counsel &amp; Corporate Secretary Michael G. Andrews. In his absence, Chief</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-139065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4" w:right="339" w:bottom="1440" w:gutter="0" w:footer="0" w:header="0"/>
        </w:sectPr>
      </w:pPr>
    </w:p>
    <w:bookmarkStart w:id="79" w:name="page80"/>
    <w:bookmarkEnd w:id="79"/>
    <w:p>
      <w:pPr>
        <w:ind w:left="2060"/>
        <w:spacing w:after="0" w:line="258" w:lineRule="auto"/>
        <w:rPr>
          <w:sz w:val="20"/>
          <w:szCs w:val="20"/>
          <w:color w:val="auto"/>
        </w:rPr>
      </w:pPr>
      <w:r>
        <w:rPr>
          <w:rFonts w:ascii="Times New Roman" w:cs="Times New Roman" w:eastAsia="Times New Roman" w:hAnsi="Times New Roman"/>
          <w:sz w:val="22"/>
          <w:szCs w:val="22"/>
          <w:color w:val="auto"/>
        </w:rPr>
        <w:t>Legal Officer &amp; General Counsel Tara L. Heath will assume the responsibilities of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-327025</wp:posOffset>
            </wp:positionV>
            <wp:extent cx="8890" cy="32061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8890" cy="3206115"/>
                    </a:xfrm>
                    <a:prstGeom prst="rect">
                      <a:avLst/>
                    </a:prstGeom>
                    <a:noFill/>
                  </pic:spPr>
                </pic:pic>
              </a:graphicData>
            </a:graphic>
          </wp:anchor>
        </w:drawing>
      </w:r>
    </w:p>
    <w:p>
      <w:pPr>
        <w:spacing w:after="0" w:line="165" w:lineRule="exact"/>
        <w:rPr>
          <w:sz w:val="20"/>
          <w:szCs w:val="20"/>
          <w:color w:val="auto"/>
        </w:rPr>
      </w:pPr>
    </w:p>
    <w:p>
      <w:pPr>
        <w:jc w:val="both"/>
        <w:ind w:left="2060" w:hanging="330"/>
        <w:spacing w:after="0" w:line="239" w:lineRule="auto"/>
        <w:tabs>
          <w:tab w:leader="none" w:pos="2060" w:val="left"/>
        </w:tabs>
        <w:numPr>
          <w:ilvl w:val="0"/>
          <w:numId w:val="14"/>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“Insiders” means all Company directors and officers, plus any coworkers who are regularly in possession of MNPI. The Compliance Officer will identify coworkers who are deemed to be Insiders, notify those Insiders as such, send regular reminders to them regarding compliance, and maintain an up-to-date list of Company Insiders.</w:t>
      </w:r>
    </w:p>
    <w:p>
      <w:pPr>
        <w:spacing w:after="0" w:line="112" w:lineRule="exact"/>
        <w:rPr>
          <w:rFonts w:ascii="Times New Roman" w:cs="Times New Roman" w:eastAsia="Times New Roman" w:hAnsi="Times New Roman"/>
          <w:sz w:val="18"/>
          <w:szCs w:val="18"/>
          <w:color w:val="0F2C52"/>
        </w:rPr>
      </w:pPr>
    </w:p>
    <w:p>
      <w:pPr>
        <w:jc w:val="both"/>
        <w:ind w:left="2060" w:hanging="330"/>
        <w:spacing w:after="0" w:line="239" w:lineRule="auto"/>
        <w:tabs>
          <w:tab w:leader="none" w:pos="2060" w:val="left"/>
        </w:tabs>
        <w:numPr>
          <w:ilvl w:val="0"/>
          <w:numId w:val="14"/>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“Open Trading Windows” means periods of time when Insiders are permitted to trade Company stock if they are not in possession of MNPI. The Compliance Officer shall maintain and distribute an annual Open Trading Windows calendar. “Blackout Periods” mean periods of time outside of the Open Trading Windows when Insiders are prohibited from trading Company stock.</w:t>
      </w:r>
    </w:p>
    <w:p>
      <w:pPr>
        <w:spacing w:after="0" w:line="342" w:lineRule="exact"/>
        <w:rPr>
          <w:rFonts w:ascii="Times New Roman" w:cs="Times New Roman" w:eastAsia="Times New Roman" w:hAnsi="Times New Roman"/>
          <w:sz w:val="18"/>
          <w:szCs w:val="18"/>
          <w:color w:val="0F2C52"/>
        </w:rPr>
      </w:pPr>
    </w:p>
    <w:p>
      <w:pPr>
        <w:ind w:left="2060" w:hanging="330"/>
        <w:spacing w:after="0" w:line="258" w:lineRule="auto"/>
        <w:tabs>
          <w:tab w:leader="none" w:pos="2060" w:val="left"/>
        </w:tabs>
        <w:numPr>
          <w:ilvl w:val="0"/>
          <w:numId w:val="14"/>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A “trade” means the sale, purchase, net withhold, and/or gift of Company stock, and/or the exercise of Company stock options.</w:t>
      </w:r>
    </w:p>
    <w:p>
      <w:pPr>
        <w:spacing w:after="0" w:line="333" w:lineRule="exact"/>
        <w:rPr>
          <w:rFonts w:ascii="Times New Roman" w:cs="Times New Roman" w:eastAsia="Times New Roman" w:hAnsi="Times New Roman"/>
          <w:sz w:val="18"/>
          <w:szCs w:val="18"/>
          <w:color w:val="0F2C52"/>
        </w:rPr>
      </w:pPr>
    </w:p>
    <w:p>
      <w:pPr>
        <w:jc w:val="both"/>
        <w:ind w:left="2060" w:hanging="330"/>
        <w:spacing w:after="0" w:line="239" w:lineRule="auto"/>
        <w:tabs>
          <w:tab w:leader="none" w:pos="2060" w:val="left"/>
        </w:tabs>
        <w:numPr>
          <w:ilvl w:val="0"/>
          <w:numId w:val="14"/>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“Cooling-Off Period” means: (i) for Insiders, 90 days after adoption or modification of an Approved 10b5-1 Plan or, if later, two business days after the Company files its Form 10-Q or Form 10-K covering the fiscal quarter in which the Approved 10b5-1 Plan was adopted, and (ii) for all coworkers other than Insiders, 30 days after the adoption or modification of an Approved 10b5-1 Plan.</w:t>
      </w:r>
    </w:p>
    <w:tbl>
      <w:tblPr>
        <w:tblLayout w:type="fixed"/>
        <w:tblInd w:w="0" w:type="dxa"/>
        <w:tblCellMar>
          <w:top w:w="0" w:type="dxa"/>
          <w:left w:w="0" w:type="dxa"/>
          <w:bottom w:w="0" w:type="dxa"/>
          <w:right w:w="0" w:type="dxa"/>
        </w:tblCellMar>
      </w:tblPr>
      <w:tr>
        <w:trPr>
          <w:trHeight w:val="680"/>
        </w:trPr>
        <w:tc>
          <w:tcPr>
            <w:tcW w:w="1020" w:type="dxa"/>
            <w:vAlign w:val="bottom"/>
          </w:tcPr>
          <w:p>
            <w:pPr>
              <w:jc w:val="right"/>
              <w:ind w:right="28"/>
              <w:spacing w:after="0" w:line="681" w:lineRule="exact"/>
              <w:rPr>
                <w:sz w:val="20"/>
                <w:szCs w:val="20"/>
                <w:color w:val="auto"/>
              </w:rPr>
            </w:pPr>
            <w:r>
              <w:rPr>
                <w:rFonts w:ascii="Arial" w:cs="Arial" w:eastAsia="Arial" w:hAnsi="Arial"/>
                <w:sz w:val="78"/>
                <w:szCs w:val="78"/>
                <w:b w:val="1"/>
                <w:bCs w:val="1"/>
                <w:color w:val="0F2C52"/>
              </w:rPr>
              <w:t>3</w:t>
            </w: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9"/>
                <w:szCs w:val="29"/>
                <w:b w:val="1"/>
                <w:bCs w:val="1"/>
                <w:color w:val="0F2C52"/>
              </w:rPr>
              <w:t>Trading Restrictions Applicable to Everyone</w:t>
            </w:r>
          </w:p>
        </w:tc>
        <w:tc>
          <w:tcPr>
            <w:tcW w:w="0" w:type="dxa"/>
            <w:vAlign w:val="bottom"/>
          </w:tcPr>
          <w:p>
            <w:pPr>
              <w:spacing w:after="0"/>
              <w:rPr>
                <w:sz w:val="1"/>
                <w:szCs w:val="1"/>
                <w:color w:val="auto"/>
              </w:rPr>
            </w:pPr>
          </w:p>
        </w:tc>
      </w:tr>
      <w:tr>
        <w:trPr>
          <w:trHeight w:val="88"/>
        </w:trPr>
        <w:tc>
          <w:tcPr>
            <w:tcW w:w="1020" w:type="dxa"/>
            <w:vAlign w:val="bottom"/>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1020" w:type="dxa"/>
            <w:vAlign w:val="bottom"/>
          </w:tcPr>
          <w:p>
            <w:pPr>
              <w:spacing w:after="0"/>
              <w:rPr>
                <w:sz w:val="24"/>
                <w:szCs w:val="24"/>
                <w:color w:val="auto"/>
              </w:rPr>
            </w:pPr>
          </w:p>
        </w:tc>
        <w:tc>
          <w:tcPr>
            <w:tcW w:w="100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8"/>
              </w:rPr>
              <w:t>The following section is applicable to all directors, officers, and coworkers, collectively referred to within this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0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as “everyone.”</w:t>
            </w:r>
          </w:p>
        </w:tc>
        <w:tc>
          <w:tcPr>
            <w:tcW w:w="0" w:type="dxa"/>
            <w:vAlign w:val="bottom"/>
          </w:tcPr>
          <w:p>
            <w:pPr>
              <w:spacing w:after="0"/>
              <w:rPr>
                <w:sz w:val="1"/>
                <w:szCs w:val="1"/>
                <w:color w:val="auto"/>
              </w:rPr>
            </w:pPr>
          </w:p>
        </w:tc>
      </w:tr>
      <w:tr>
        <w:trPr>
          <w:trHeight w:val="420"/>
        </w:trPr>
        <w:tc>
          <w:tcPr>
            <w:tcW w:w="1020" w:type="dxa"/>
            <w:vAlign w:val="bottom"/>
          </w:tcPr>
          <w:p>
            <w:pPr>
              <w:spacing w:after="0"/>
              <w:rPr>
                <w:sz w:val="24"/>
                <w:szCs w:val="24"/>
                <w:color w:val="auto"/>
              </w:rPr>
            </w:pPr>
          </w:p>
        </w:tc>
        <w:tc>
          <w:tcPr>
            <w:tcW w:w="100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 xml:space="preserve">A. Prohibition on Insider Trading. </w:t>
            </w:r>
            <w:r>
              <w:rPr>
                <w:rFonts w:ascii="Times New Roman" w:cs="Times New Roman" w:eastAsia="Times New Roman" w:hAnsi="Times New Roman"/>
                <w:sz w:val="22"/>
                <w:szCs w:val="22"/>
                <w:color w:val="auto"/>
              </w:rPr>
              <w:t>Everyone with MNPI is prohibited from trading in Company stock or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0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9"/>
              </w:rPr>
              <w:t>taking any other action to take advantage of that information. Insiders are advised that this prohibition applies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0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during Open Trading Windows.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-1258570</wp:posOffset>
            </wp:positionV>
            <wp:extent cx="8890" cy="22885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8890" cy="2288540"/>
                    </a:xfrm>
                    <a:prstGeom prst="rect">
                      <a:avLst/>
                    </a:prstGeom>
                    <a:noFill/>
                  </pic:spPr>
                </pic:pic>
              </a:graphicData>
            </a:graphic>
          </wp:anchor>
        </w:drawing>
      </w:r>
    </w:p>
    <w:p>
      <w:pPr>
        <w:spacing w:after="0" w:line="143" w:lineRule="exact"/>
        <w:rPr>
          <w:sz w:val="20"/>
          <w:szCs w:val="20"/>
          <w:color w:val="auto"/>
        </w:rPr>
      </w:pPr>
    </w:p>
    <w:p>
      <w:pPr>
        <w:ind w:left="2600" w:hanging="318"/>
        <w:spacing w:after="0" w:line="258" w:lineRule="auto"/>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you are unsure whether information you possess constitutes MNPI, please consult the Compliance Officer.</w:t>
      </w:r>
    </w:p>
    <w:p>
      <w:pPr>
        <w:spacing w:after="0" w:line="158" w:lineRule="exact"/>
        <w:rPr>
          <w:rFonts w:ascii="Times New Roman" w:cs="Times New Roman" w:eastAsia="Times New Roman" w:hAnsi="Times New Roman"/>
          <w:sz w:val="18"/>
          <w:szCs w:val="18"/>
          <w:color w:val="auto"/>
        </w:rPr>
      </w:pPr>
    </w:p>
    <w:p>
      <w:pPr>
        <w:jc w:val="both"/>
        <w:ind w:left="2600" w:hanging="318"/>
        <w:spacing w:after="0" w:line="244" w:lineRule="auto"/>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 is everyone’s responsibility to ensure that their “Related Persons” and “Related Entities” comply with this prohibition. A “Related Person” is: (a) a member of their family living in their household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-139065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08" w:right="439" w:bottom="1440" w:gutter="0" w:footer="0" w:header="0"/>
        </w:sectPr>
      </w:pPr>
    </w:p>
    <w:bookmarkStart w:id="80" w:name="page81"/>
    <w:bookmarkEnd w:id="80"/>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911860</wp:posOffset>
            </wp:positionV>
            <wp:extent cx="8890" cy="56832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8890" cy="5683250"/>
                    </a:xfrm>
                    <a:prstGeom prst="rect">
                      <a:avLst/>
                    </a:prstGeom>
                    <a:noFill/>
                  </pic:spPr>
                </pic:pic>
              </a:graphicData>
            </a:graphic>
          </wp:anchor>
        </w:drawing>
      </w:r>
    </w:p>
    <w:p>
      <w:pPr>
        <w:jc w:val="both"/>
        <w:ind w:left="1580"/>
        <w:spacing w:after="0" w:line="244" w:lineRule="auto"/>
        <w:rPr>
          <w:sz w:val="20"/>
          <w:szCs w:val="20"/>
          <w:color w:val="auto"/>
        </w:rPr>
      </w:pPr>
      <w:r>
        <w:rPr>
          <w:rFonts w:ascii="Times New Roman" w:cs="Times New Roman" w:eastAsia="Times New Roman" w:hAnsi="Times New Roman"/>
          <w:sz w:val="22"/>
          <w:szCs w:val="22"/>
          <w:color w:val="auto"/>
        </w:rPr>
        <w:t>(including minors who are away at school); and/or (b) any unrelated person who shares their household. A “Related Entity” is any entity (such as a corporation, trust, etc.) over which they exercise control.</w:t>
      </w:r>
    </w:p>
    <w:p>
      <w:pPr>
        <w:spacing w:after="0" w:line="173" w:lineRule="exact"/>
        <w:rPr>
          <w:sz w:val="20"/>
          <w:szCs w:val="20"/>
          <w:color w:val="auto"/>
        </w:rPr>
      </w:pPr>
    </w:p>
    <w:p>
      <w:pPr>
        <w:ind w:left="1580" w:hanging="318"/>
        <w:spacing w:after="0" w:line="258" w:lineRule="auto"/>
        <w:tabs>
          <w:tab w:leader="none" w:pos="15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Policy also applies to MNPI relating to other companies, including our customers, suppliers, and/or competitors, obtained in the course of employment.</w:t>
      </w:r>
    </w:p>
    <w:p>
      <w:pPr>
        <w:spacing w:after="0" w:line="158" w:lineRule="exact"/>
        <w:rPr>
          <w:rFonts w:ascii="Times New Roman" w:cs="Times New Roman" w:eastAsia="Times New Roman" w:hAnsi="Times New Roman"/>
          <w:sz w:val="18"/>
          <w:szCs w:val="18"/>
          <w:color w:val="auto"/>
        </w:rPr>
      </w:pPr>
    </w:p>
    <w:p>
      <w:pPr>
        <w:jc w:val="both"/>
        <w:ind w:left="1580" w:hanging="318"/>
        <w:spacing w:after="0" w:line="244" w:lineRule="auto"/>
        <w:tabs>
          <w:tab w:leader="none" w:pos="15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Exceptions: The following trades of Company stock are excepted from this prohibition: (a) purchasing Company stock through the Company’s Employee Equity Incentive Plan; and (b) exercising then holding stock options granted through a Company stock plan.</w:t>
      </w:r>
    </w:p>
    <w:p>
      <w:pPr>
        <w:spacing w:after="0" w:line="155" w:lineRule="exact"/>
        <w:rPr>
          <w:rFonts w:ascii="Times New Roman" w:cs="Times New Roman" w:eastAsia="Times New Roman" w:hAnsi="Times New Roman"/>
          <w:sz w:val="18"/>
          <w:szCs w:val="18"/>
          <w:color w:val="auto"/>
        </w:rPr>
      </w:pPr>
    </w:p>
    <w:p>
      <w:pPr>
        <w:ind w:left="400" w:firstLine="7"/>
        <w:spacing w:after="0" w:line="262" w:lineRule="auto"/>
        <w:tabs>
          <w:tab w:leader="none" w:pos="74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Prohibition on Tipping. </w:t>
      </w:r>
      <w:r>
        <w:rPr>
          <w:rFonts w:ascii="Times New Roman" w:cs="Times New Roman" w:eastAsia="Times New Roman" w:hAnsi="Times New Roman"/>
          <w:sz w:val="22"/>
          <w:szCs w:val="22"/>
          <w:color w:val="auto"/>
        </w:rPr>
        <w:t>Everyone is also prohibited from sharing MNPI with others or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recommending to others to purchase, sell, or hold Company stock while in possession of MNPI.</w:t>
      </w:r>
    </w:p>
    <w:p>
      <w:pPr>
        <w:spacing w:after="0" w:line="149" w:lineRule="exact"/>
        <w:rPr>
          <w:rFonts w:ascii="Times New Roman" w:cs="Times New Roman" w:eastAsia="Times New Roman" w:hAnsi="Times New Roman"/>
          <w:sz w:val="22"/>
          <w:szCs w:val="22"/>
          <w:b w:val="1"/>
          <w:bCs w:val="1"/>
          <w:color w:val="auto"/>
        </w:rPr>
      </w:pPr>
    </w:p>
    <w:p>
      <w:pPr>
        <w:jc w:val="both"/>
        <w:ind w:left="400" w:firstLine="7"/>
        <w:spacing w:after="0" w:line="246" w:lineRule="auto"/>
        <w:tabs>
          <w:tab w:leader="none" w:pos="745"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Discouraged Transactions. </w:t>
      </w:r>
      <w:r>
        <w:rPr>
          <w:rFonts w:ascii="Times New Roman" w:cs="Times New Roman" w:eastAsia="Times New Roman" w:hAnsi="Times New Roman"/>
          <w:sz w:val="22"/>
          <w:szCs w:val="22"/>
          <w:color w:val="auto"/>
        </w:rPr>
        <w:t>Because we believe short-term and speculative transactions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stock can give the appearance of impropriety, it is our policy that everyone is strongly discouraged from engaging in any of the following activities:</w:t>
      </w:r>
    </w:p>
    <w:p>
      <w:pPr>
        <w:spacing w:after="0" w:line="167" w:lineRule="exact"/>
        <w:rPr>
          <w:rFonts w:ascii="Times New Roman" w:cs="Times New Roman" w:eastAsia="Times New Roman" w:hAnsi="Times New Roman"/>
          <w:sz w:val="22"/>
          <w:szCs w:val="22"/>
          <w:b w:val="1"/>
          <w:bCs w:val="1"/>
          <w:color w:val="auto"/>
        </w:rPr>
      </w:pPr>
    </w:p>
    <w:p>
      <w:pPr>
        <w:jc w:val="both"/>
        <w:ind w:left="1260" w:hanging="319"/>
        <w:spacing w:after="0" w:line="241"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Short-term trading of Company stock. </w:t>
      </w:r>
      <w:r>
        <w:rPr>
          <w:rFonts w:ascii="Times New Roman" w:cs="Times New Roman" w:eastAsia="Times New Roman" w:hAnsi="Times New Roman"/>
          <w:sz w:val="22"/>
          <w:szCs w:val="22"/>
          <w:color w:val="auto"/>
        </w:rPr>
        <w:t>Everyone who purchases Company stock is discouraged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selling that stock for at least six months after the purchase. However, the Policy does not restrict: (a) the exercise of stock options and the immediate sale of the stock; or (b) the sale of shares to pay withholding taxes on the vesting of grants of restricted stock.</w:t>
      </w:r>
    </w:p>
    <w:p>
      <w:pPr>
        <w:spacing w:after="0" w:line="171" w:lineRule="exact"/>
        <w:rPr>
          <w:rFonts w:ascii="Times New Roman" w:cs="Times New Roman" w:eastAsia="Times New Roman" w:hAnsi="Times New Roman"/>
          <w:sz w:val="18"/>
          <w:szCs w:val="18"/>
          <w:color w:val="auto"/>
        </w:rPr>
      </w:pPr>
    </w:p>
    <w:p>
      <w:pPr>
        <w:ind w:left="1260" w:hanging="319"/>
        <w:spacing w:after="0" w:line="262"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Short sales of Company stock. </w:t>
      </w:r>
      <w:r>
        <w:rPr>
          <w:rFonts w:ascii="Times New Roman" w:cs="Times New Roman" w:eastAsia="Times New Roman" w:hAnsi="Times New Roman"/>
          <w:sz w:val="22"/>
          <w:szCs w:val="22"/>
          <w:color w:val="auto"/>
        </w:rPr>
        <w:t>A “short sale” is the sale of stock that is not owned by the seller,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seller has borrowed.</w:t>
      </w:r>
    </w:p>
    <w:p>
      <w:pPr>
        <w:spacing w:after="0" w:line="149" w:lineRule="exact"/>
        <w:rPr>
          <w:rFonts w:ascii="Times New Roman" w:cs="Times New Roman" w:eastAsia="Times New Roman" w:hAnsi="Times New Roman"/>
          <w:sz w:val="18"/>
          <w:szCs w:val="18"/>
          <w:color w:val="auto"/>
        </w:rPr>
      </w:pPr>
    </w:p>
    <w:p>
      <w:pPr>
        <w:jc w:val="both"/>
        <w:ind w:left="1260" w:hanging="319"/>
        <w:spacing w:after="0" w:line="238"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Buying or selling put or call options on Company stock. </w:t>
      </w:r>
      <w:r>
        <w:rPr>
          <w:rFonts w:ascii="Times New Roman" w:cs="Times New Roman" w:eastAsia="Times New Roman" w:hAnsi="Times New Roman"/>
          <w:sz w:val="22"/>
          <w:szCs w:val="22"/>
          <w:color w:val="auto"/>
        </w:rPr>
        <w:t>A “put” is an option contract giving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 the right, but not the obligation, to sell a specified number of shares of an underlying stock at a set price on or before the option’s expiration date. A “call” is an option contract giving the holder the right, but not the obligation, to purchase a specified number of shares of an underlying stock at a specified strike price on or before the option's expiration date.</w:t>
      </w:r>
    </w:p>
    <w:p>
      <w:pPr>
        <w:spacing w:after="0" w:line="176" w:lineRule="exact"/>
        <w:rPr>
          <w:rFonts w:ascii="Times New Roman" w:cs="Times New Roman" w:eastAsia="Times New Roman" w:hAnsi="Times New Roman"/>
          <w:sz w:val="18"/>
          <w:szCs w:val="18"/>
          <w:color w:val="auto"/>
        </w:rPr>
      </w:pPr>
    </w:p>
    <w:p>
      <w:pPr>
        <w:ind w:left="1260" w:hanging="319"/>
        <w:spacing w:after="0" w:line="262"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Purchases of Company stock on margin</w:t>
      </w:r>
      <w:r>
        <w:rPr>
          <w:rFonts w:ascii="Times New Roman" w:cs="Times New Roman" w:eastAsia="Times New Roman" w:hAnsi="Times New Roman"/>
          <w:sz w:val="22"/>
          <w:szCs w:val="22"/>
          <w:color w:val="auto"/>
        </w:rPr>
        <w:t>. Purchasing “on margin” means borrowing money from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 to purchase stock.</w:t>
      </w:r>
    </w:p>
    <w:p>
      <w:pPr>
        <w:spacing w:after="0" w:line="15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22"/>
          <w:szCs w:val="22"/>
          <w:color w:val="auto"/>
        </w:rPr>
        <w:t>Any profits made or losses avoided pursuant to these types of transactions could, with twenty-twenty hindsight, be portrayed as having been based on MPNI.</w:t>
      </w:r>
    </w:p>
    <w:p>
      <w:pPr>
        <w:spacing w:after="0" w:line="189" w:lineRule="exact"/>
        <w:rPr>
          <w:sz w:val="20"/>
          <w:szCs w:val="20"/>
          <w:color w:val="auto"/>
        </w:rPr>
      </w:pPr>
    </w:p>
    <w:p>
      <w:pPr>
        <w:jc w:val="center"/>
        <w:ind w:right="1020"/>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-139065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452120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242"/>
        </w:trPr>
        <w:tc>
          <w:tcPr>
            <w:tcW w:w="1320" w:type="dxa"/>
            <w:vAlign w:val="bottom"/>
            <w:tcBorders>
              <w:right w:val="single" w:sz="8" w:color="C00000"/>
            </w:tcBorders>
          </w:tcPr>
          <w:p>
            <w:pPr>
              <w:jc w:val="right"/>
              <w:ind w:right="180"/>
              <w:spacing w:after="0"/>
              <w:rPr>
                <w:sz w:val="20"/>
                <w:szCs w:val="20"/>
                <w:color w:val="auto"/>
              </w:rPr>
            </w:pPr>
            <w:r>
              <w:rPr>
                <w:rFonts w:ascii="Arial" w:cs="Arial" w:eastAsia="Arial" w:hAnsi="Arial"/>
                <w:sz w:val="108"/>
                <w:szCs w:val="108"/>
                <w:b w:val="1"/>
                <w:bCs w:val="1"/>
                <w:color w:val="0F2C52"/>
                <w:w w:val="96"/>
              </w:rPr>
              <w:t>4</w:t>
            </w:r>
          </w:p>
        </w:tc>
        <w:tc>
          <w:tcPr>
            <w:tcW w:w="9720" w:type="dxa"/>
            <w:vAlign w:val="bottom"/>
            <w:vMerge w:val="restart"/>
          </w:tcPr>
          <w:p>
            <w:pPr>
              <w:jc w:val="right"/>
              <w:ind w:right="4194"/>
              <w:spacing w:after="0"/>
              <w:rPr>
                <w:sz w:val="20"/>
                <w:szCs w:val="20"/>
                <w:color w:val="auto"/>
              </w:rPr>
            </w:pPr>
            <w:r>
              <w:rPr>
                <w:rFonts w:ascii="Times New Roman" w:cs="Times New Roman" w:eastAsia="Times New Roman" w:hAnsi="Times New Roman"/>
                <w:sz w:val="29"/>
                <w:szCs w:val="29"/>
                <w:b w:val="1"/>
                <w:bCs w:val="1"/>
                <w:color w:val="0F2C52"/>
              </w:rPr>
              <w:t>Trading Restrictions Applicable to Insiders</w:t>
            </w:r>
          </w:p>
        </w:tc>
        <w:tc>
          <w:tcPr>
            <w:tcW w:w="0" w:type="dxa"/>
            <w:vAlign w:val="bottom"/>
          </w:tcPr>
          <w:p>
            <w:pPr>
              <w:spacing w:after="0"/>
              <w:rPr>
                <w:sz w:val="1"/>
                <w:szCs w:val="1"/>
                <w:color w:val="auto"/>
              </w:rPr>
            </w:pPr>
          </w:p>
        </w:tc>
      </w:tr>
      <w:tr>
        <w:trPr>
          <w:trHeight w:val="133"/>
        </w:trPr>
        <w:tc>
          <w:tcPr>
            <w:tcW w:w="1320" w:type="dxa"/>
            <w:vAlign w:val="bottom"/>
            <w:tcBorders>
              <w:right w:val="single" w:sz="8" w:color="C00000"/>
            </w:tcBorders>
          </w:tcPr>
          <w:p>
            <w:pPr>
              <w:spacing w:after="0"/>
              <w:rPr>
                <w:sz w:val="11"/>
                <w:szCs w:val="11"/>
                <w:color w:val="auto"/>
              </w:rPr>
            </w:pPr>
          </w:p>
        </w:tc>
        <w:tc>
          <w:tcPr>
            <w:tcW w:w="9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1320" w:type="dxa"/>
            <w:vAlign w:val="bottom"/>
            <w:tcBorders>
              <w:right w:val="single" w:sz="8" w:color="C00000"/>
            </w:tcBorders>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The following section is applicable to Insiders. For the avoidance of doubt, this includes all directors, officers,</w:t>
            </w:r>
          </w:p>
        </w:tc>
        <w:tc>
          <w:tcPr>
            <w:tcW w:w="0" w:type="dxa"/>
            <w:vAlign w:val="bottom"/>
          </w:tcPr>
          <w:p>
            <w:pPr>
              <w:spacing w:after="0"/>
              <w:rPr>
                <w:sz w:val="1"/>
                <w:szCs w:val="1"/>
                <w:color w:val="auto"/>
              </w:rPr>
            </w:pPr>
          </w:p>
        </w:tc>
      </w:tr>
      <w:tr>
        <w:trPr>
          <w:trHeight w:val="282"/>
        </w:trPr>
        <w:tc>
          <w:tcPr>
            <w:tcW w:w="1320" w:type="dxa"/>
            <w:vAlign w:val="bottom"/>
            <w:tcBorders>
              <w:right w:val="single" w:sz="8" w:color="C00000"/>
            </w:tcBorders>
          </w:tcPr>
          <w:p>
            <w:pPr>
              <w:spacing w:after="0"/>
              <w:rPr>
                <w:sz w:val="24"/>
                <w:szCs w:val="24"/>
                <w:color w:val="auto"/>
              </w:rPr>
            </w:pPr>
          </w:p>
        </w:tc>
        <w:tc>
          <w:tcPr>
            <w:tcW w:w="9720" w:type="dxa"/>
            <w:vAlign w:val="bottom"/>
          </w:tcPr>
          <w:p>
            <w:pPr>
              <w:jc w:val="right"/>
              <w:ind w:right="1614"/>
              <w:spacing w:after="0"/>
              <w:rPr>
                <w:sz w:val="20"/>
                <w:szCs w:val="20"/>
                <w:color w:val="auto"/>
              </w:rPr>
            </w:pPr>
            <w:r>
              <w:rPr>
                <w:rFonts w:ascii="Times New Roman" w:cs="Times New Roman" w:eastAsia="Times New Roman" w:hAnsi="Times New Roman"/>
                <w:sz w:val="22"/>
                <w:szCs w:val="22"/>
                <w:color w:val="auto"/>
                <w:w w:val="99"/>
              </w:rPr>
              <w:t>and those other coworkers who have been identified by the Compliance Officer as Insiders.</w:t>
            </w:r>
          </w:p>
        </w:tc>
        <w:tc>
          <w:tcPr>
            <w:tcW w:w="0" w:type="dxa"/>
            <w:vAlign w:val="bottom"/>
          </w:tcPr>
          <w:p>
            <w:pPr>
              <w:spacing w:after="0"/>
              <w:rPr>
                <w:sz w:val="1"/>
                <w:szCs w:val="1"/>
                <w:color w:val="auto"/>
              </w:rPr>
            </w:pPr>
          </w:p>
        </w:tc>
      </w:tr>
      <w:tr>
        <w:trPr>
          <w:trHeight w:val="420"/>
        </w:trPr>
        <w:tc>
          <w:tcPr>
            <w:tcW w:w="1320" w:type="dxa"/>
            <w:vAlign w:val="bottom"/>
            <w:tcBorders>
              <w:right w:val="single" w:sz="8" w:color="C00000"/>
            </w:tcBorders>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21"/>
                <w:szCs w:val="21"/>
                <w:b w:val="1"/>
                <w:bCs w:val="1"/>
                <w:color w:val="auto"/>
              </w:rPr>
              <w:t>Prohibition on Trading During a Blackout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Insiders are prohibited from trading in Company</w:t>
            </w:r>
          </w:p>
        </w:tc>
        <w:tc>
          <w:tcPr>
            <w:tcW w:w="0" w:type="dxa"/>
            <w:vAlign w:val="bottom"/>
          </w:tcPr>
          <w:p>
            <w:pPr>
              <w:spacing w:after="0"/>
              <w:rPr>
                <w:sz w:val="1"/>
                <w:szCs w:val="1"/>
                <w:color w:val="auto"/>
              </w:rPr>
            </w:pPr>
          </w:p>
        </w:tc>
      </w:tr>
      <w:tr>
        <w:trPr>
          <w:trHeight w:val="282"/>
        </w:trPr>
        <w:tc>
          <w:tcPr>
            <w:tcW w:w="1320" w:type="dxa"/>
            <w:vAlign w:val="bottom"/>
            <w:tcBorders>
              <w:right w:val="single" w:sz="8" w:color="C00000"/>
            </w:tcBorders>
          </w:tcPr>
          <w:p>
            <w:pPr>
              <w:spacing w:after="0"/>
              <w:rPr>
                <w:sz w:val="24"/>
                <w:szCs w:val="24"/>
                <w:color w:val="auto"/>
              </w:rPr>
            </w:pPr>
          </w:p>
        </w:tc>
        <w:tc>
          <w:tcPr>
            <w:tcW w:w="9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stock during Blackout Periods, except via an Approved 10b5-1 Plan as outlined in Section 5 below.</w:t>
            </w:r>
          </w:p>
        </w:tc>
        <w:tc>
          <w:tcPr>
            <w:tcW w:w="0" w:type="dxa"/>
            <w:vAlign w:val="bottom"/>
          </w:tcPr>
          <w:p>
            <w:pPr>
              <w:spacing w:after="0"/>
              <w:rPr>
                <w:sz w:val="1"/>
                <w:szCs w:val="1"/>
                <w:color w:val="auto"/>
              </w:rPr>
            </w:pPr>
          </w:p>
        </w:tc>
      </w:tr>
      <w:tr>
        <w:trPr>
          <w:trHeight w:val="406"/>
        </w:trPr>
        <w:tc>
          <w:tcPr>
            <w:tcW w:w="1320" w:type="dxa"/>
            <w:vAlign w:val="bottom"/>
            <w:tcBorders>
              <w:right w:val="single" w:sz="8" w:color="C00000"/>
            </w:tcBorders>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21"/>
                <w:szCs w:val="21"/>
                <w:b w:val="1"/>
                <w:bCs w:val="1"/>
                <w:color w:val="auto"/>
              </w:rPr>
              <w:t>Prohibition on Hedging and Pledging.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Insiders are prohibited from hedging or pledging Company stock.</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“Hedging” means investing to reduce the risk of adverse price movements in a stock. A hedge typically</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consists of taking an offsetting position in a stock, such as a futures contract. “Pledging” means offering</w:t>
            </w:r>
          </w:p>
        </w:tc>
        <w:tc>
          <w:tcPr>
            <w:tcW w:w="0" w:type="dxa"/>
            <w:vAlign w:val="bottom"/>
          </w:tcPr>
          <w:p>
            <w:pPr>
              <w:spacing w:after="0"/>
              <w:rPr>
                <w:sz w:val="1"/>
                <w:szCs w:val="1"/>
                <w:color w:val="auto"/>
              </w:rPr>
            </w:pPr>
          </w:p>
        </w:tc>
      </w:tr>
      <w:tr>
        <w:trPr>
          <w:trHeight w:val="282"/>
        </w:trPr>
        <w:tc>
          <w:tcPr>
            <w:tcW w:w="1320" w:type="dxa"/>
            <w:vAlign w:val="bottom"/>
            <w:tcBorders>
              <w:right w:val="single" w:sz="8" w:color="C00000"/>
            </w:tcBorders>
          </w:tcPr>
          <w:p>
            <w:pPr>
              <w:spacing w:after="0"/>
              <w:rPr>
                <w:sz w:val="24"/>
                <w:szCs w:val="24"/>
                <w:color w:val="auto"/>
              </w:rPr>
            </w:pPr>
          </w:p>
        </w:tc>
        <w:tc>
          <w:tcPr>
            <w:tcW w:w="9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stocks to a lender as collateral for a loan and includes holding Company stock in a margin account.</w:t>
            </w:r>
          </w:p>
        </w:tc>
        <w:tc>
          <w:tcPr>
            <w:tcW w:w="0" w:type="dxa"/>
            <w:vAlign w:val="bottom"/>
          </w:tcPr>
          <w:p>
            <w:pPr>
              <w:spacing w:after="0"/>
              <w:rPr>
                <w:sz w:val="1"/>
                <w:szCs w:val="1"/>
                <w:color w:val="auto"/>
              </w:rPr>
            </w:pPr>
          </w:p>
        </w:tc>
      </w:tr>
      <w:tr>
        <w:trPr>
          <w:trHeight w:val="420"/>
        </w:trPr>
        <w:tc>
          <w:tcPr>
            <w:tcW w:w="1320" w:type="dxa"/>
            <w:vAlign w:val="bottom"/>
            <w:tcBorders>
              <w:right w:val="single" w:sz="8" w:color="C00000"/>
            </w:tcBorders>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21"/>
                <w:szCs w:val="21"/>
                <w:b w:val="1"/>
                <w:bCs w:val="1"/>
                <w:color w:val="auto"/>
              </w:rPr>
              <w:t>Permissible Trading During Open Trading Windows.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At the outset of each fiscal year, the Compliance</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Officer will establish a calendar of Open Trading Windows, during which time Insiders are permitted to</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trade Company stock if they are not in possession of MNPI at the time of the transaction. The Open</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Trading  Windows  will  commence  on  the  third  business  day  following  the  Company’s  public</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announcement of its quarterly or annual financial results, and last for a period of ten (10) trading days.</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There will generally be four (4) Open Trading Windows each fiscal year. Periods of time that fall outside</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of these Open Trading Windows are Blackout Periods. From time to time, MNPI regarding the Company</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may be pending and not publicly disclosed during Open Trading Windows. While such MNPI is pending,</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the Compliance Officer may impose “Special Blackout Periods,” during which time certain Insiders may</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be prohibited from trading in Company stock. If the Compliance Officer imposes a Special Blackout</w:t>
            </w:r>
          </w:p>
        </w:tc>
        <w:tc>
          <w:tcPr>
            <w:tcW w:w="0" w:type="dxa"/>
            <w:vAlign w:val="bottom"/>
          </w:tcPr>
          <w:p>
            <w:pPr>
              <w:spacing w:after="0"/>
              <w:rPr>
                <w:sz w:val="1"/>
                <w:szCs w:val="1"/>
                <w:color w:val="auto"/>
              </w:rPr>
            </w:pPr>
          </w:p>
        </w:tc>
      </w:tr>
      <w:tr>
        <w:trPr>
          <w:trHeight w:val="282"/>
        </w:trPr>
        <w:tc>
          <w:tcPr>
            <w:tcW w:w="1320" w:type="dxa"/>
            <w:vAlign w:val="bottom"/>
            <w:tcBorders>
              <w:right w:val="single" w:sz="8" w:color="C00000"/>
            </w:tcBorders>
          </w:tcPr>
          <w:p>
            <w:pPr>
              <w:spacing w:after="0"/>
              <w:rPr>
                <w:sz w:val="24"/>
                <w:szCs w:val="24"/>
                <w:color w:val="auto"/>
              </w:rPr>
            </w:pPr>
          </w:p>
        </w:tc>
        <w:tc>
          <w:tcPr>
            <w:tcW w:w="9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Period, they will notify the affected Insiders.</w:t>
            </w:r>
          </w:p>
        </w:tc>
        <w:tc>
          <w:tcPr>
            <w:tcW w:w="0" w:type="dxa"/>
            <w:vAlign w:val="bottom"/>
          </w:tcPr>
          <w:p>
            <w:pPr>
              <w:spacing w:after="0"/>
              <w:rPr>
                <w:sz w:val="1"/>
                <w:szCs w:val="1"/>
                <w:color w:val="auto"/>
              </w:rPr>
            </w:pPr>
          </w:p>
        </w:tc>
      </w:tr>
      <w:tr>
        <w:trPr>
          <w:trHeight w:val="420"/>
        </w:trPr>
        <w:tc>
          <w:tcPr>
            <w:tcW w:w="1320" w:type="dxa"/>
            <w:vAlign w:val="bottom"/>
            <w:tcBorders>
              <w:right w:val="single" w:sz="8" w:color="C00000"/>
            </w:tcBorders>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21"/>
                <w:szCs w:val="21"/>
                <w:b w:val="1"/>
                <w:bCs w:val="1"/>
                <w:color w:val="auto"/>
              </w:rPr>
              <w:t>Pre-Clearance of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Because they may possess MNPI on a regular basis, even during Open</w:t>
            </w:r>
          </w:p>
        </w:tc>
        <w:tc>
          <w:tcPr>
            <w:tcW w:w="0" w:type="dxa"/>
            <w:vAlign w:val="bottom"/>
          </w:tcPr>
          <w:p>
            <w:pPr>
              <w:spacing w:after="0"/>
              <w:rPr>
                <w:sz w:val="1"/>
                <w:szCs w:val="1"/>
                <w:color w:val="auto"/>
              </w:rPr>
            </w:pPr>
          </w:p>
        </w:tc>
      </w:tr>
      <w:tr>
        <w:trPr>
          <w:trHeight w:val="243"/>
        </w:trPr>
        <w:tc>
          <w:tcPr>
            <w:tcW w:w="1320" w:type="dxa"/>
            <w:vAlign w:val="bottom"/>
            <w:tcBorders>
              <w:right w:val="single" w:sz="8" w:color="C00000"/>
            </w:tcBorders>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Trading Windows, Directors and Officers of the Company are strongly encouraged, but not required, to</w:t>
            </w:r>
          </w:p>
        </w:tc>
        <w:tc>
          <w:tcPr>
            <w:tcW w:w="0" w:type="dxa"/>
            <w:vAlign w:val="bottom"/>
          </w:tcPr>
          <w:p>
            <w:pPr>
              <w:spacing w:after="0"/>
              <w:rPr>
                <w:sz w:val="1"/>
                <w:szCs w:val="1"/>
                <w:color w:val="auto"/>
              </w:rPr>
            </w:pPr>
          </w:p>
        </w:tc>
      </w:tr>
      <w:tr>
        <w:trPr>
          <w:trHeight w:val="282"/>
        </w:trPr>
        <w:tc>
          <w:tcPr>
            <w:tcW w:w="1320" w:type="dxa"/>
            <w:vAlign w:val="bottom"/>
            <w:tcBorders>
              <w:right w:val="single" w:sz="8" w:color="C00000"/>
            </w:tcBorders>
          </w:tcPr>
          <w:p>
            <w:pPr>
              <w:spacing w:after="0"/>
              <w:rPr>
                <w:sz w:val="24"/>
                <w:szCs w:val="24"/>
                <w:color w:val="auto"/>
              </w:rPr>
            </w:pPr>
          </w:p>
        </w:tc>
        <w:tc>
          <w:tcPr>
            <w:tcW w:w="9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pre-clear transactions of Company stock with the Compliance Officer.</w:t>
            </w:r>
          </w:p>
        </w:tc>
        <w:tc>
          <w:tcPr>
            <w:tcW w:w="0" w:type="dxa"/>
            <w:vAlign w:val="bottom"/>
          </w:tcPr>
          <w:p>
            <w:pPr>
              <w:spacing w:after="0"/>
              <w:rPr>
                <w:sz w:val="1"/>
                <w:szCs w:val="1"/>
                <w:color w:val="auto"/>
              </w:rPr>
            </w:pPr>
          </w:p>
        </w:tc>
      </w:tr>
      <w:tr>
        <w:trPr>
          <w:trHeight w:val="2323"/>
        </w:trPr>
        <w:tc>
          <w:tcPr>
            <w:tcW w:w="1320" w:type="dxa"/>
            <w:vAlign w:val="bottom"/>
            <w:tcBorders>
              <w:right w:val="single" w:sz="8" w:color="C00000"/>
            </w:tcBorders>
          </w:tcPr>
          <w:p>
            <w:pPr>
              <w:spacing w:after="0"/>
              <w:rPr>
                <w:sz w:val="24"/>
                <w:szCs w:val="24"/>
                <w:color w:val="auto"/>
              </w:rPr>
            </w:pPr>
          </w:p>
        </w:tc>
        <w:tc>
          <w:tcPr>
            <w:tcW w:w="9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-139065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058"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462"/>
        </w:trPr>
        <w:tc>
          <w:tcPr>
            <w:tcW w:w="1000" w:type="dxa"/>
            <w:vAlign w:val="bottom"/>
            <w:vMerge w:val="restart"/>
          </w:tcPr>
          <w:p>
            <w:pPr>
              <w:jc w:val="right"/>
              <w:spacing w:after="0"/>
              <w:rPr>
                <w:sz w:val="20"/>
                <w:szCs w:val="20"/>
                <w:color w:val="auto"/>
              </w:rPr>
            </w:pPr>
            <w:r>
              <w:rPr>
                <w:rFonts w:ascii="Arial" w:cs="Arial" w:eastAsia="Arial" w:hAnsi="Arial"/>
                <w:sz w:val="108"/>
                <w:szCs w:val="108"/>
                <w:b w:val="1"/>
                <w:bCs w:val="1"/>
                <w:color w:val="0F2C52"/>
                <w:w w:val="96"/>
              </w:rPr>
              <w:t>5</w:t>
            </w:r>
          </w:p>
        </w:tc>
        <w:tc>
          <w:tcPr>
            <w:tcW w:w="10040" w:type="dxa"/>
            <w:vAlign w:val="bottom"/>
            <w:gridSpan w:val="2"/>
          </w:tcPr>
          <w:p>
            <w:pPr>
              <w:ind w:left="400"/>
              <w:spacing w:after="0"/>
              <w:rPr>
                <w:sz w:val="20"/>
                <w:szCs w:val="20"/>
                <w:color w:val="auto"/>
              </w:rPr>
            </w:pPr>
            <w:r>
              <w:rPr>
                <w:rFonts w:ascii="Times New Roman" w:cs="Times New Roman" w:eastAsia="Times New Roman" w:hAnsi="Times New Roman"/>
                <w:sz w:val="29"/>
                <w:szCs w:val="29"/>
                <w:b w:val="1"/>
                <w:bCs w:val="1"/>
                <w:color w:val="0F2C52"/>
              </w:rPr>
              <w:t>Approved 10b5-1 Plans</w:t>
            </w:r>
          </w:p>
        </w:tc>
        <w:tc>
          <w:tcPr>
            <w:tcW w:w="0" w:type="dxa"/>
            <w:vAlign w:val="bottom"/>
          </w:tcPr>
          <w:p>
            <w:pPr>
              <w:spacing w:after="0"/>
              <w:rPr>
                <w:sz w:val="1"/>
                <w:szCs w:val="1"/>
                <w:color w:val="auto"/>
              </w:rPr>
            </w:pPr>
          </w:p>
        </w:tc>
      </w:tr>
      <w:tr>
        <w:trPr>
          <w:trHeight w:val="398"/>
        </w:trPr>
        <w:tc>
          <w:tcPr>
            <w:tcW w:w="1000" w:type="dxa"/>
            <w:vAlign w:val="bottom"/>
            <w:vMerge w:val="continue"/>
          </w:tcPr>
          <w:p>
            <w:pPr>
              <w:spacing w:after="0"/>
              <w:rPr>
                <w:sz w:val="24"/>
                <w:szCs w:val="24"/>
                <w:color w:val="auto"/>
              </w:rPr>
            </w:pPr>
          </w:p>
        </w:tc>
        <w:tc>
          <w:tcPr>
            <w:tcW w:w="100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8"/>
              </w:rPr>
              <w:t>Blackout Period trading restrictions for Insiders do not apply to trades made pursuant to a pre-approved written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0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plan, contract, instruction, or arrangement under Rule 10b5-1 of the Securities Exchange Act of 1934 (an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0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"Approved 10b5-1 Plan"). Everyone may utilize an Approved 10b5-1 Plan, but all such plans must comply</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0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with the requirements set forth below.</w:t>
            </w:r>
          </w:p>
        </w:tc>
        <w:tc>
          <w:tcPr>
            <w:tcW w:w="0" w:type="dxa"/>
            <w:vAlign w:val="bottom"/>
          </w:tcPr>
          <w:p>
            <w:pPr>
              <w:spacing w:after="0"/>
              <w:rPr>
                <w:sz w:val="1"/>
                <w:szCs w:val="1"/>
                <w:color w:val="auto"/>
              </w:rPr>
            </w:pPr>
          </w:p>
        </w:tc>
      </w:tr>
      <w:tr>
        <w:trPr>
          <w:trHeight w:val="379"/>
        </w:trPr>
        <w:tc>
          <w:tcPr>
            <w:tcW w:w="1000" w:type="dxa"/>
            <w:vAlign w:val="bottom"/>
          </w:tcPr>
          <w:p>
            <w:pPr>
              <w:spacing w:after="0"/>
              <w:rPr>
                <w:sz w:val="24"/>
                <w:szCs w:val="24"/>
                <w:color w:val="auto"/>
              </w:rPr>
            </w:pPr>
          </w:p>
        </w:tc>
        <w:tc>
          <w:tcPr>
            <w:tcW w:w="100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21"/>
                <w:szCs w:val="21"/>
                <w:b w:val="1"/>
                <w:bCs w:val="1"/>
                <w:color w:val="auto"/>
              </w:rPr>
              <w:t>Plan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In order to permit trading of Company stock during a Blackout Period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Approved</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04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10b5-1 Plans, and any amendments thereto must:</w:t>
            </w:r>
          </w:p>
        </w:tc>
        <w:tc>
          <w:tcPr>
            <w:tcW w:w="0" w:type="dxa"/>
            <w:vAlign w:val="bottom"/>
          </w:tcPr>
          <w:p>
            <w:pPr>
              <w:spacing w:after="0"/>
              <w:rPr>
                <w:sz w:val="1"/>
                <w:szCs w:val="1"/>
                <w:color w:val="auto"/>
              </w:rPr>
            </w:pPr>
          </w:p>
        </w:tc>
      </w:tr>
      <w:tr>
        <w:trPr>
          <w:trHeight w:val="420"/>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have been executed and entered into by the coworker in good faith, and continue to be operated in</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good faith for the term of the Plan;</w:t>
            </w:r>
          </w:p>
        </w:tc>
        <w:tc>
          <w:tcPr>
            <w:tcW w:w="0" w:type="dxa"/>
            <w:vAlign w:val="bottom"/>
          </w:tcPr>
          <w:p>
            <w:pPr>
              <w:spacing w:after="0"/>
              <w:rPr>
                <w:sz w:val="1"/>
                <w:szCs w:val="1"/>
                <w:color w:val="auto"/>
              </w:rPr>
            </w:pPr>
          </w:p>
        </w:tc>
      </w:tr>
      <w:tr>
        <w:trPr>
          <w:trHeight w:val="420"/>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ii.</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include an appropriate Cooling-Off Period and, for Insiders, a certification that: (A) the Insider is not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9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9"/>
              </w:rPr>
              <w:t>in possession of MNPI at the time of entering into the Plan and (B) the Insider is adopting the Plan in</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good faith and not as part of a plan or scheme to evade the prohibitions of Rule 10b-5;</w:t>
            </w:r>
          </w:p>
        </w:tc>
        <w:tc>
          <w:tcPr>
            <w:tcW w:w="0" w:type="dxa"/>
            <w:vAlign w:val="bottom"/>
          </w:tcPr>
          <w:p>
            <w:pPr>
              <w:spacing w:after="0"/>
              <w:rPr>
                <w:sz w:val="1"/>
                <w:szCs w:val="1"/>
                <w:color w:val="auto"/>
              </w:rPr>
            </w:pPr>
          </w:p>
        </w:tc>
      </w:tr>
      <w:tr>
        <w:trPr>
          <w:trHeight w:val="420"/>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iii.</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have been reviewed, approved, and executed by the Compliance Officer prior to the coworker entering</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into the Plan or an amendment to the Plan;</w:t>
            </w:r>
          </w:p>
        </w:tc>
        <w:tc>
          <w:tcPr>
            <w:tcW w:w="0" w:type="dxa"/>
            <w:vAlign w:val="bottom"/>
          </w:tcPr>
          <w:p>
            <w:pPr>
              <w:spacing w:after="0"/>
              <w:rPr>
                <w:sz w:val="1"/>
                <w:szCs w:val="1"/>
                <w:color w:val="auto"/>
              </w:rPr>
            </w:pPr>
          </w:p>
        </w:tc>
      </w:tr>
      <w:tr>
        <w:trPr>
          <w:trHeight w:val="406"/>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iv.</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have been entered into during an Open Trading Window when the coworker is not in possession of</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MNPI;</w:t>
            </w:r>
          </w:p>
        </w:tc>
        <w:tc>
          <w:tcPr>
            <w:tcW w:w="0" w:type="dxa"/>
            <w:vAlign w:val="bottom"/>
          </w:tcPr>
          <w:p>
            <w:pPr>
              <w:spacing w:after="0"/>
              <w:rPr>
                <w:sz w:val="1"/>
                <w:szCs w:val="1"/>
                <w:color w:val="auto"/>
              </w:rPr>
            </w:pPr>
          </w:p>
        </w:tc>
      </w:tr>
      <w:tr>
        <w:trPr>
          <w:trHeight w:val="420"/>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provide a third party broker explicit directions regarding the number of Company shares to be</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9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purchased or sold, the prices and/or dates of transactions, and/or other formulas describing such</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transactions;</w:t>
            </w:r>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vi.</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contemplate trades no further than two (2) years from the date of approval;</w:t>
            </w:r>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10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21"/>
                <w:szCs w:val="21"/>
                <w:color w:val="auto"/>
              </w:rPr>
              <w:t>not direct the sale of disproportionately large amounts of shares at the beginning of the plan term;</w:t>
            </w:r>
          </w:p>
        </w:tc>
        <w:tc>
          <w:tcPr>
            <w:tcW w:w="0" w:type="dxa"/>
            <w:vAlign w:val="bottom"/>
          </w:tcPr>
          <w:p>
            <w:pPr>
              <w:spacing w:after="0"/>
              <w:rPr>
                <w:sz w:val="1"/>
                <w:szCs w:val="1"/>
                <w:color w:val="auto"/>
              </w:rPr>
            </w:pPr>
          </w:p>
        </w:tc>
      </w:tr>
      <w:tr>
        <w:trPr>
          <w:trHeight w:val="420"/>
        </w:trPr>
        <w:tc>
          <w:tcPr>
            <w:tcW w:w="1000" w:type="dxa"/>
            <w:vAlign w:val="bottom"/>
          </w:tcPr>
          <w:p>
            <w:pPr>
              <w:spacing w:after="0"/>
              <w:rPr>
                <w:sz w:val="24"/>
                <w:szCs w:val="24"/>
                <w:color w:val="auto"/>
              </w:rPr>
            </w:pPr>
          </w:p>
        </w:tc>
        <w:tc>
          <w:tcPr>
            <w:tcW w:w="10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21"/>
                <w:szCs w:val="21"/>
                <w:color w:val="auto"/>
              </w:rPr>
              <w:t>use the Company’s selected broker, unless permission is granted by the Compliance Officer to use a</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different broker; and</w:t>
            </w:r>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ix.</w:t>
            </w:r>
          </w:p>
        </w:tc>
        <w:tc>
          <w:tcPr>
            <w:tcW w:w="8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use a Company-approved Rule 10b5-1 plan 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-5236210</wp:posOffset>
            </wp:positionV>
            <wp:extent cx="8890" cy="637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8890" cy="6377940"/>
                    </a:xfrm>
                    <a:prstGeom prst="rect">
                      <a:avLst/>
                    </a:prstGeom>
                    <a:noFill/>
                  </pic:spPr>
                </pic:pic>
              </a:graphicData>
            </a:graphic>
          </wp:anchor>
        </w:drawing>
      </w:r>
    </w:p>
    <w:p>
      <w:pPr>
        <w:spacing w:after="0" w:line="157" w:lineRule="exact"/>
        <w:rPr>
          <w:sz w:val="20"/>
          <w:szCs w:val="20"/>
          <w:color w:val="auto"/>
        </w:rPr>
      </w:pPr>
    </w:p>
    <w:p>
      <w:pPr>
        <w:jc w:val="both"/>
        <w:ind w:left="1420"/>
        <w:spacing w:after="0" w:line="236" w:lineRule="auto"/>
        <w:rPr>
          <w:sz w:val="20"/>
          <w:szCs w:val="20"/>
          <w:color w:val="auto"/>
        </w:rPr>
      </w:pPr>
      <w:r>
        <w:rPr>
          <w:rFonts w:ascii="Times New Roman" w:cs="Times New Roman" w:eastAsia="Times New Roman" w:hAnsi="Times New Roman"/>
          <w:sz w:val="22"/>
          <w:szCs w:val="22"/>
          <w:color w:val="auto"/>
        </w:rPr>
        <w:t>For clarity, 10b5-1 Plans entered into prior to February 27, 2023 will not be required to be amended to comply with the extended Cooling-Off Period requirements outlined above, however, if such a Plan is modified on or after February 27, 2023, to change the amount, price, or timing of trades, it will need to comply with the appropriate cooling-off period requirements.</w:t>
      </w:r>
    </w:p>
    <w:p>
      <w:pPr>
        <w:spacing w:after="0" w:line="1" w:lineRule="exact"/>
        <w:rPr>
          <w:sz w:val="20"/>
          <w:szCs w:val="20"/>
          <w:color w:val="auto"/>
        </w:rPr>
      </w:pPr>
    </w:p>
    <w:p>
      <w:pPr>
        <w:ind w:left="1740" w:hanging="319"/>
        <w:spacing w:after="0" w:line="237" w:lineRule="auto"/>
        <w:tabs>
          <w:tab w:leader="none" w:pos="17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Additional Restrictions on Approved 10b-1 Plans</w:t>
      </w:r>
      <w:r>
        <w:rPr>
          <w:rFonts w:ascii="Times New Roman" w:cs="Times New Roman" w:eastAsia="Times New Roman" w:hAnsi="Times New Roman"/>
          <w:sz w:val="22"/>
          <w:szCs w:val="22"/>
          <w:color w:val="auto"/>
        </w:rPr>
        <w:t>. The following additional restrictions apply to the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Approved 10b5-1 Plans.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-139065</wp:posOffset>
            </wp:positionV>
            <wp:extent cx="71323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332" w:right="439" w:bottom="1440" w:gutter="0" w:footer="0" w:header="0"/>
        </w:sectPr>
      </w:pPr>
    </w:p>
    <w:bookmarkStart w:id="83" w:name="page84"/>
    <w:bookmarkEnd w:id="8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911860</wp:posOffset>
            </wp:positionV>
            <wp:extent cx="8890" cy="54432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8890" cy="5443220"/>
                    </a:xfrm>
                    <a:prstGeom prst="rect">
                      <a:avLst/>
                    </a:prstGeom>
                    <a:noFill/>
                  </pic:spPr>
                </pic:pic>
              </a:graphicData>
            </a:graphic>
          </wp:anchor>
        </w:drawing>
      </w:r>
    </w:p>
    <w:p>
      <w:pPr>
        <w:jc w:val="both"/>
        <w:ind w:left="1260" w:hanging="319"/>
        <w:spacing w:after="0" w:line="241"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Overlapping plans. </w:t>
      </w:r>
      <w:r>
        <w:rPr>
          <w:rFonts w:ascii="Times New Roman" w:cs="Times New Roman" w:eastAsia="Times New Roman" w:hAnsi="Times New Roman"/>
          <w:sz w:val="22"/>
          <w:szCs w:val="22"/>
          <w:color w:val="auto"/>
        </w:rPr>
        <w:t>Coworkers are prohibited from having overlapping Rule 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at any time, except in the case of special circumstances previously approved by the Compliance Officer, such as the sale of shares to pay withholding taxes on the vesting of grants of restricted stock.</w:t>
      </w:r>
    </w:p>
    <w:p>
      <w:pPr>
        <w:spacing w:after="0" w:line="347" w:lineRule="exact"/>
        <w:rPr>
          <w:rFonts w:ascii="Times New Roman" w:cs="Times New Roman" w:eastAsia="Times New Roman" w:hAnsi="Times New Roman"/>
          <w:sz w:val="18"/>
          <w:szCs w:val="18"/>
          <w:color w:val="auto"/>
        </w:rPr>
      </w:pPr>
    </w:p>
    <w:p>
      <w:pPr>
        <w:ind w:left="1260" w:hanging="319"/>
        <w:spacing w:after="0" w:line="26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Trades outside of the plan. </w:t>
      </w:r>
      <w:r>
        <w:rPr>
          <w:rFonts w:ascii="Times New Roman" w:cs="Times New Roman" w:eastAsia="Times New Roman" w:hAnsi="Times New Roman"/>
          <w:sz w:val="22"/>
          <w:szCs w:val="22"/>
          <w:color w:val="auto"/>
        </w:rPr>
        <w:t>Once an Approved 10b5-1 Plan is established, transactions outside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plan are discouraged and must be pre-approved by the Compliance Officer.</w:t>
      </w:r>
    </w:p>
    <w:p>
      <w:pPr>
        <w:spacing w:after="0" w:line="311" w:lineRule="exact"/>
        <w:rPr>
          <w:rFonts w:ascii="Times New Roman" w:cs="Times New Roman" w:eastAsia="Times New Roman" w:hAnsi="Times New Roman"/>
          <w:sz w:val="18"/>
          <w:szCs w:val="18"/>
          <w:color w:val="auto"/>
        </w:rPr>
      </w:pPr>
    </w:p>
    <w:p>
      <w:pPr>
        <w:jc w:val="both"/>
        <w:ind w:left="1260" w:hanging="319"/>
        <w:spacing w:after="0" w:line="241"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Single-Trade Plans. </w:t>
      </w:r>
      <w:r>
        <w:rPr>
          <w:rFonts w:ascii="Times New Roman" w:cs="Times New Roman" w:eastAsia="Times New Roman" w:hAnsi="Times New Roman"/>
          <w:sz w:val="22"/>
          <w:szCs w:val="22"/>
          <w:color w:val="auto"/>
        </w:rPr>
        <w:t>10b5-1 Plans that are designed to effectuate the purchase or sale of the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Company stock as a single transaction are discouraged and must be pre-approved by the Compliance Officer. In any case, a coworker may not enter into more than one single trade plan within any consecutive 12-month period.</w:t>
      </w:r>
    </w:p>
    <w:p>
      <w:pPr>
        <w:spacing w:after="0" w:line="171" w:lineRule="exact"/>
        <w:rPr>
          <w:rFonts w:ascii="Times New Roman" w:cs="Times New Roman" w:eastAsia="Times New Roman" w:hAnsi="Times New Roman"/>
          <w:sz w:val="18"/>
          <w:szCs w:val="18"/>
          <w:color w:val="auto"/>
        </w:rPr>
      </w:pPr>
    </w:p>
    <w:p>
      <w:pPr>
        <w:jc w:val="both"/>
        <w:ind w:left="1260" w:hanging="319"/>
        <w:spacing w:after="0" w:line="238"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Modifications, terminations, and suspensions</w:t>
      </w:r>
      <w:r>
        <w:rPr>
          <w:rFonts w:ascii="Times New Roman" w:cs="Times New Roman" w:eastAsia="Times New Roman" w:hAnsi="Times New Roman"/>
          <w:sz w:val="22"/>
          <w:szCs w:val="22"/>
          <w:color w:val="auto"/>
        </w:rPr>
        <w:t>. Once an Approved 10b5-1 Plan is established,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modifications, terminations, and/or suspensions are prohibited other than when the coworker does not possess MNPI and, for Insiders, during Open Trading Windows, and then only if pre-approved by the Compliance Officer. Any such modifications will be subject to a Cooling-Off Period after the modification before transactions can be reinstated.</w:t>
      </w:r>
    </w:p>
    <w:p>
      <w:pPr>
        <w:spacing w:after="0" w:line="352" w:lineRule="exact"/>
        <w:rPr>
          <w:rFonts w:ascii="Times New Roman" w:cs="Times New Roman" w:eastAsia="Times New Roman" w:hAnsi="Times New Roman"/>
          <w:sz w:val="18"/>
          <w:szCs w:val="18"/>
          <w:color w:val="auto"/>
        </w:rPr>
      </w:pPr>
    </w:p>
    <w:p>
      <w:pPr>
        <w:jc w:val="both"/>
        <w:ind w:left="1260" w:hanging="319"/>
        <w:spacing w:after="0" w:line="238"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Disclosure of Insider 10b5-1 Plans</w:t>
      </w:r>
      <w:r>
        <w:rPr>
          <w:rFonts w:ascii="Times New Roman" w:cs="Times New Roman" w:eastAsia="Times New Roman" w:hAnsi="Times New Roman"/>
          <w:sz w:val="22"/>
          <w:szCs w:val="22"/>
          <w:color w:val="auto"/>
        </w:rPr>
        <w:t>. Insiders are advised that the adoption, modification,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and/or suspension of an Approved Rule 10b5-1 Plan by a Director or Officer will be disclosed publicly through Form 10-K and Form 10-Q filings with the SEC. Accordingly, Insiders shall promptly provide the Compliance Officer with executed copies of all plans, modifications, terminations, and suspensions.</w:t>
      </w:r>
    </w:p>
    <w:p>
      <w:pPr>
        <w:spacing w:after="0" w:line="352" w:lineRule="exact"/>
        <w:rPr>
          <w:rFonts w:ascii="Times New Roman" w:cs="Times New Roman" w:eastAsia="Times New Roman" w:hAnsi="Times New Roman"/>
          <w:sz w:val="18"/>
          <w:szCs w:val="18"/>
          <w:color w:val="auto"/>
        </w:rPr>
      </w:pPr>
    </w:p>
    <w:p>
      <w:pPr>
        <w:jc w:val="both"/>
        <w:ind w:left="1260" w:hanging="319"/>
        <w:spacing w:after="0" w:line="236"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Disclosure of Insider Non-10b5-1 Plans</w:t>
      </w:r>
      <w:r>
        <w:rPr>
          <w:rFonts w:ascii="Times New Roman" w:cs="Times New Roman" w:eastAsia="Times New Roman" w:hAnsi="Times New Roman"/>
          <w:sz w:val="22"/>
          <w:szCs w:val="22"/>
          <w:color w:val="auto"/>
        </w:rPr>
        <w:t>. Insiders are advised that the adoption, modification,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a Non-10b5-1 Plan (as defined below) will be disclosed publicly through Form 10-K and Form 10-Q filings with the SEC. Accordingly, Insiders shall promptly provide the Compliance Officer with executed copies of all such plans, modifications, and terminations. A “Non-10b5-1 Plan” means a trading arrangement, other than a 10b5-1 Plan, where the Insider adopted a written agreement for trading of Company stock and the trading arrangement (A) specifies the amount of securities to be purchased or sold and the price at which</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-139065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452120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37"/>
        </w:trPr>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7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and the date on which the securities are to be subsequently purchased or sold, (B) includes a written</w:t>
            </w: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20" w:type="dxa"/>
            <w:vAlign w:val="bottom"/>
            <w:shd w:val="clear" w:color="auto" w:fill="C00000"/>
          </w:tcPr>
          <w:p>
            <w:pPr>
              <w:spacing w:after="0"/>
              <w:rPr>
                <w:sz w:val="18"/>
                <w:szCs w:val="18"/>
                <w:color w:val="auto"/>
              </w:rPr>
            </w:pPr>
          </w:p>
        </w:tc>
        <w:tc>
          <w:tcPr>
            <w:tcW w:w="9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formula or algorithm, or computer program, for determining the amount of securities to be purchased</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or sold and the price at which the securities are to be purchased or sold, or (C) does not permit the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Insider to exercise any subsequent influence over how, when or whether to effect purchases or sales,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provided, in addition, that any other person who, pursuant to the trading arrangement does exercise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such influence must not be aware of MNPI when doing so. All Non-10b5-1 Plans must be</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0" w:type="dxa"/>
            <w:vAlign w:val="bottom"/>
            <w:shd w:val="clear" w:color="auto" w:fill="C00000"/>
          </w:tcPr>
          <w:p>
            <w:pPr>
              <w:spacing w:after="0"/>
              <w:rPr>
                <w:sz w:val="23"/>
                <w:szCs w:val="23"/>
                <w:color w:val="auto"/>
              </w:rPr>
            </w:pPr>
          </w:p>
        </w:tc>
        <w:tc>
          <w:tcPr>
            <w:tcW w:w="9720" w:type="dxa"/>
            <w:vAlign w:val="bottom"/>
          </w:tcPr>
          <w:p>
            <w:pPr>
              <w:jc w:val="right"/>
              <w:ind w:right="5149"/>
              <w:spacing w:after="0"/>
              <w:rPr>
                <w:sz w:val="20"/>
                <w:szCs w:val="20"/>
                <w:color w:val="auto"/>
              </w:rPr>
            </w:pPr>
            <w:r>
              <w:rPr>
                <w:rFonts w:ascii="Times New Roman" w:cs="Times New Roman" w:eastAsia="Times New Roman" w:hAnsi="Times New Roman"/>
                <w:sz w:val="22"/>
                <w:szCs w:val="22"/>
                <w:color w:val="auto"/>
              </w:rPr>
              <w:t>preapproved by the Compliance Officer.</w:t>
            </w:r>
          </w:p>
        </w:tc>
        <w:tc>
          <w:tcPr>
            <w:tcW w:w="0" w:type="dxa"/>
            <w:vAlign w:val="bottom"/>
          </w:tcPr>
          <w:p>
            <w:pPr>
              <w:spacing w:after="0"/>
              <w:rPr>
                <w:sz w:val="1"/>
                <w:szCs w:val="1"/>
                <w:color w:val="auto"/>
              </w:rPr>
            </w:pPr>
          </w:p>
        </w:tc>
      </w:tr>
      <w:tr>
        <w:trPr>
          <w:trHeight w:val="499"/>
        </w:trPr>
        <w:tc>
          <w:tcPr>
            <w:tcW w:w="1300" w:type="dxa"/>
            <w:vAlign w:val="bottom"/>
            <w:vMerge w:val="restart"/>
          </w:tcPr>
          <w:p>
            <w:pPr>
              <w:jc w:val="right"/>
              <w:ind w:right="160"/>
              <w:spacing w:after="0"/>
              <w:rPr>
                <w:sz w:val="20"/>
                <w:szCs w:val="20"/>
                <w:color w:val="auto"/>
              </w:rPr>
            </w:pPr>
            <w:r>
              <w:rPr>
                <w:rFonts w:ascii="Arial" w:cs="Arial" w:eastAsia="Arial" w:hAnsi="Arial"/>
                <w:sz w:val="108"/>
                <w:szCs w:val="108"/>
                <w:b w:val="1"/>
                <w:bCs w:val="1"/>
                <w:color w:val="0F2C52"/>
                <w:w w:val="96"/>
              </w:rPr>
              <w:t>6</w:t>
            </w:r>
          </w:p>
        </w:tc>
        <w:tc>
          <w:tcPr>
            <w:tcW w:w="20" w:type="dxa"/>
            <w:vAlign w:val="bottom"/>
          </w:tcPr>
          <w:p>
            <w:pPr>
              <w:spacing w:after="0"/>
              <w:rPr>
                <w:sz w:val="24"/>
                <w:szCs w:val="24"/>
                <w:color w:val="auto"/>
              </w:rPr>
            </w:pPr>
          </w:p>
        </w:tc>
        <w:tc>
          <w:tcPr>
            <w:tcW w:w="9720" w:type="dxa"/>
            <w:vAlign w:val="bottom"/>
            <w:vMerge w:val="restart"/>
          </w:tcPr>
          <w:p>
            <w:pPr>
              <w:ind w:left="80"/>
              <w:spacing w:after="0"/>
              <w:rPr>
                <w:sz w:val="20"/>
                <w:szCs w:val="20"/>
                <w:color w:val="auto"/>
              </w:rPr>
            </w:pPr>
            <w:r>
              <w:rPr>
                <w:rFonts w:ascii="Times New Roman" w:cs="Times New Roman" w:eastAsia="Times New Roman" w:hAnsi="Times New Roman"/>
                <w:sz w:val="29"/>
                <w:szCs w:val="29"/>
                <w:b w:val="1"/>
                <w:bCs w:val="1"/>
                <w:color w:val="0F2C52"/>
              </w:rPr>
              <w:t>Affiliate Disclosure Obligations</w:t>
            </w:r>
          </w:p>
        </w:tc>
        <w:tc>
          <w:tcPr>
            <w:tcW w:w="0" w:type="dxa"/>
            <w:vAlign w:val="bottom"/>
          </w:tcPr>
          <w:p>
            <w:pPr>
              <w:spacing w:after="0"/>
              <w:rPr>
                <w:sz w:val="1"/>
                <w:szCs w:val="1"/>
                <w:color w:val="auto"/>
              </w:rPr>
            </w:pPr>
          </w:p>
        </w:tc>
      </w:tr>
      <w:tr>
        <w:trPr>
          <w:trHeight w:val="358"/>
        </w:trPr>
        <w:tc>
          <w:tcPr>
            <w:tcW w:w="1300" w:type="dxa"/>
            <w:vAlign w:val="bottom"/>
            <w:vMerge w:val="continue"/>
          </w:tcPr>
          <w:p>
            <w:pPr>
              <w:spacing w:after="0"/>
              <w:rPr>
                <w:sz w:val="24"/>
                <w:szCs w:val="24"/>
                <w:color w:val="auto"/>
              </w:rPr>
            </w:pPr>
          </w:p>
        </w:tc>
        <w:tc>
          <w:tcPr>
            <w:tcW w:w="20" w:type="dxa"/>
            <w:vAlign w:val="bottom"/>
            <w:shd w:val="clear" w:color="auto" w:fill="C00000"/>
          </w:tcPr>
          <w:p>
            <w:pPr>
              <w:spacing w:after="0"/>
              <w:rPr>
                <w:sz w:val="24"/>
                <w:szCs w:val="24"/>
                <w:color w:val="auto"/>
              </w:rPr>
            </w:pPr>
          </w:p>
        </w:tc>
        <w:tc>
          <w:tcPr>
            <w:tcW w:w="9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00" w:type="dxa"/>
            <w:vAlign w:val="bottom"/>
            <w:vMerge w:val="continue"/>
          </w:tcPr>
          <w:p>
            <w:pPr>
              <w:spacing w:after="0"/>
              <w:rPr>
                <w:sz w:val="24"/>
                <w:szCs w:val="24"/>
                <w:color w:val="auto"/>
              </w:rPr>
            </w:pPr>
          </w:p>
        </w:tc>
        <w:tc>
          <w:tcPr>
            <w:tcW w:w="20" w:type="dxa"/>
            <w:vAlign w:val="bottom"/>
            <w:shd w:val="clear" w:color="auto" w:fill="C00000"/>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16 of the Securities Exchange Act imposes reporting requirements and other obligations on directors</w:t>
            </w:r>
          </w:p>
        </w:tc>
        <w:tc>
          <w:tcPr>
            <w:tcW w:w="0" w:type="dxa"/>
            <w:vAlign w:val="bottom"/>
          </w:tcPr>
          <w:p>
            <w:pPr>
              <w:spacing w:after="0"/>
              <w:rPr>
                <w:sz w:val="1"/>
                <w:szCs w:val="1"/>
                <w:color w:val="auto"/>
              </w:rPr>
            </w:pPr>
          </w:p>
        </w:tc>
      </w:tr>
      <w:tr>
        <w:trPr>
          <w:trHeight w:val="243"/>
        </w:trPr>
        <w:tc>
          <w:tcPr>
            <w:tcW w:w="1300" w:type="dxa"/>
            <w:vAlign w:val="bottom"/>
            <w:vMerge w:val="continue"/>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and officers who trade in Company stock. All such trades must be disclosed to the SEC via Section 16 filings</w:t>
            </w:r>
          </w:p>
        </w:tc>
        <w:tc>
          <w:tcPr>
            <w:tcW w:w="0" w:type="dxa"/>
            <w:vAlign w:val="bottom"/>
          </w:tcPr>
          <w:p>
            <w:pPr>
              <w:spacing w:after="0"/>
              <w:rPr>
                <w:sz w:val="1"/>
                <w:szCs w:val="1"/>
                <w:color w:val="auto"/>
              </w:rPr>
            </w:pPr>
          </w:p>
        </w:tc>
      </w:tr>
      <w:tr>
        <w:trPr>
          <w:trHeight w:val="243"/>
        </w:trPr>
        <w:tc>
          <w:tcPr>
            <w:tcW w:w="1300" w:type="dxa"/>
            <w:vAlign w:val="bottom"/>
            <w:vMerge w:val="continue"/>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within two (2) business days of such transaction, including disclosing whether the trade was made pursuant to</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 Rule 10b5-1 Plan. It is the director’s or officer’s responsibility to immediately inform the Compliance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Officer of any trades involving Company stock. Such responsibility may be assigned to a broker. The</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0" w:type="dxa"/>
            <w:vAlign w:val="bottom"/>
            <w:shd w:val="clear" w:color="auto" w:fill="C00000"/>
          </w:tcPr>
          <w:p>
            <w:pPr>
              <w:spacing w:after="0"/>
              <w:rPr>
                <w:sz w:val="23"/>
                <w:szCs w:val="23"/>
                <w:color w:val="auto"/>
              </w:rPr>
            </w:pPr>
          </w:p>
        </w:tc>
        <w:tc>
          <w:tcPr>
            <w:tcW w:w="9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Company’s designated broker will generally notify the Compliance Officer of any such trades.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20" w:top="1398" w:right="4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07"/>
          <w:szCs w:val="107"/>
          <w:b w:val="1"/>
          <w:bCs w:val="1"/>
          <w:color w:val="0F2C52"/>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8"/>
          <w:szCs w:val="108"/>
          <w:b w:val="1"/>
          <w:bCs w:val="1"/>
          <w:color w:val="0F2C52"/>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F2C52"/>
        </w:rPr>
        <w:t>Certification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-195580</wp:posOffset>
            </wp:positionV>
            <wp:extent cx="8890" cy="2434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8890" cy="2434590"/>
                    </a:xfrm>
                    <a:prstGeom prst="rect">
                      <a:avLst/>
                    </a:prstGeom>
                    <a:noFill/>
                  </pic:spPr>
                </pic:pic>
              </a:graphicData>
            </a:graphic>
          </wp:anchor>
        </w:drawing>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acknowledge that I have read the terms of the Company’s Insider Trading Policy and agree to comply with the terms of such Policy, as it may be amended from time to time.</w:t>
      </w:r>
    </w:p>
    <w:p>
      <w:pPr>
        <w:spacing w:after="0" w:line="118" w:lineRule="exact"/>
        <w:rPr>
          <w:sz w:val="20"/>
          <w:szCs w:val="20"/>
          <w:color w:val="auto"/>
        </w:rPr>
      </w:pPr>
    </w:p>
    <w:p>
      <w:pPr>
        <w:spacing w:after="0"/>
        <w:tabs>
          <w:tab w:leader="none" w:pos="4420" w:val="left"/>
        </w:tabs>
        <w:rPr>
          <w:sz w:val="20"/>
          <w:szCs w:val="20"/>
          <w:color w:val="auto"/>
        </w:rPr>
      </w:pPr>
      <w:r>
        <w:rPr>
          <w:rFonts w:ascii="Times New Roman" w:cs="Times New Roman" w:eastAsia="Times New Roman" w:hAnsi="Times New Roman"/>
          <w:sz w:val="22"/>
          <w:szCs w:val="22"/>
          <w:color w:val="auto"/>
        </w:rPr>
        <w:t>__________________________</w:t>
      </w:r>
      <w:r>
        <w:rPr>
          <w:sz w:val="20"/>
          <w:szCs w:val="20"/>
          <w:color w:val="auto"/>
        </w:rPr>
        <w:tab/>
      </w: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ind w:left="20"/>
        <w:spacing w:after="0" w:line="230" w:lineRule="auto"/>
        <w:rPr>
          <w:sz w:val="20"/>
          <w:szCs w:val="20"/>
          <w:color w:val="auto"/>
        </w:rPr>
      </w:pPr>
      <w:r>
        <w:rPr>
          <w:rFonts w:ascii="Times New Roman" w:cs="Times New Roman" w:eastAsia="Times New Roman" w:hAnsi="Times New Roman"/>
          <w:sz w:val="22"/>
          <w:szCs w:val="22"/>
          <w:b w:val="1"/>
          <w:bCs w:val="1"/>
          <w:color w:val="0F2C52"/>
        </w:rPr>
        <w:t>Adoption Date</w:t>
      </w:r>
      <w:r>
        <w:rPr>
          <w:rFonts w:ascii="Times New Roman" w:cs="Times New Roman" w:eastAsia="Times New Roman" w:hAnsi="Times New Roman"/>
          <w:sz w:val="22"/>
          <w:szCs w:val="22"/>
          <w:color w:val="0F2C52"/>
        </w:rPr>
        <w:t>: March 1, 2015</w:t>
      </w:r>
    </w:p>
    <w:p>
      <w:pPr>
        <w:ind w:left="20"/>
        <w:spacing w:after="0" w:line="231" w:lineRule="auto"/>
        <w:rPr>
          <w:sz w:val="20"/>
          <w:szCs w:val="20"/>
          <w:color w:val="auto"/>
        </w:rPr>
      </w:pPr>
      <w:r>
        <w:rPr>
          <w:rFonts w:ascii="Times New Roman" w:cs="Times New Roman" w:eastAsia="Times New Roman" w:hAnsi="Times New Roman"/>
          <w:sz w:val="22"/>
          <w:szCs w:val="22"/>
          <w:b w:val="1"/>
          <w:bCs w:val="1"/>
          <w:color w:val="0F2C52"/>
        </w:rPr>
        <w:t>Last Amended</w:t>
      </w:r>
      <w:r>
        <w:rPr>
          <w:rFonts w:ascii="Times New Roman" w:cs="Times New Roman" w:eastAsia="Times New Roman" w:hAnsi="Times New Roman"/>
          <w:sz w:val="22"/>
          <w:szCs w:val="22"/>
          <w:color w:val="0F2C52"/>
        </w:rPr>
        <w:t>:</w:t>
      </w:r>
      <w:r>
        <w:rPr>
          <w:rFonts w:ascii="Times New Roman" w:cs="Times New Roman" w:eastAsia="Times New Roman" w:hAnsi="Times New Roman"/>
          <w:sz w:val="22"/>
          <w:szCs w:val="22"/>
          <w:b w:val="1"/>
          <w:bCs w:val="1"/>
          <w:color w:val="0F2C52"/>
        </w:rPr>
        <w:t xml:space="preserve"> </w:t>
      </w:r>
      <w:r>
        <w:rPr>
          <w:rFonts w:ascii="Times New Roman" w:cs="Times New Roman" w:eastAsia="Times New Roman" w:hAnsi="Times New Roman"/>
          <w:sz w:val="22"/>
          <w:szCs w:val="22"/>
          <w:color w:val="000000"/>
        </w:rPr>
        <w:t>February 9, 2023</w:t>
      </w:r>
    </w:p>
    <w:p>
      <w:pPr>
        <w:ind w:left="20"/>
        <w:spacing w:after="0" w:line="230" w:lineRule="auto"/>
        <w:rPr>
          <w:sz w:val="20"/>
          <w:szCs w:val="20"/>
          <w:color w:val="auto"/>
        </w:rPr>
      </w:pPr>
      <w:r>
        <w:rPr>
          <w:rFonts w:ascii="Times New Roman" w:cs="Times New Roman" w:eastAsia="Times New Roman" w:hAnsi="Times New Roman"/>
          <w:sz w:val="22"/>
          <w:szCs w:val="22"/>
          <w:b w:val="1"/>
          <w:bCs w:val="1"/>
          <w:color w:val="0F2C52"/>
        </w:rPr>
        <w:t>Business Owner</w:t>
      </w:r>
      <w:r>
        <w:rPr>
          <w:rFonts w:ascii="Times New Roman" w:cs="Times New Roman" w:eastAsia="Times New Roman" w:hAnsi="Times New Roman"/>
          <w:sz w:val="22"/>
          <w:szCs w:val="22"/>
          <w:color w:val="0F2C52"/>
        </w:rPr>
        <w:t>: Compliance Officer</w:t>
      </w:r>
    </w:p>
    <w:p>
      <w:pPr>
        <w:ind w:left="20"/>
        <w:spacing w:after="0" w:line="231" w:lineRule="auto"/>
        <w:rPr>
          <w:sz w:val="20"/>
          <w:szCs w:val="20"/>
          <w:color w:val="auto"/>
        </w:rPr>
      </w:pPr>
      <w:r>
        <w:rPr>
          <w:rFonts w:ascii="Times New Roman" w:cs="Times New Roman" w:eastAsia="Times New Roman" w:hAnsi="Times New Roman"/>
          <w:sz w:val="22"/>
          <w:szCs w:val="22"/>
          <w:b w:val="1"/>
          <w:bCs w:val="1"/>
          <w:color w:val="0F2C52"/>
        </w:rPr>
        <w:t>Department Responsible for Compliance</w:t>
      </w:r>
      <w:r>
        <w:rPr>
          <w:rFonts w:ascii="Times New Roman" w:cs="Times New Roman" w:eastAsia="Times New Roman" w:hAnsi="Times New Roman"/>
          <w:sz w:val="22"/>
          <w:szCs w:val="22"/>
          <w:color w:val="0F2C52"/>
        </w:rPr>
        <w:t>: Legal</w:t>
      </w:r>
    </w:p>
    <w:p>
      <w:pPr>
        <w:ind w:left="20"/>
        <w:spacing w:after="0"/>
        <w:rPr>
          <w:sz w:val="20"/>
          <w:szCs w:val="20"/>
          <w:color w:val="auto"/>
        </w:rPr>
      </w:pPr>
      <w:r>
        <w:rPr>
          <w:rFonts w:ascii="Times New Roman" w:cs="Times New Roman" w:eastAsia="Times New Roman" w:hAnsi="Times New Roman"/>
          <w:sz w:val="22"/>
          <w:szCs w:val="22"/>
          <w:b w:val="1"/>
          <w:bCs w:val="1"/>
          <w:color w:val="0F2C52"/>
        </w:rPr>
        <w:t>Next Required Review Date</w:t>
      </w:r>
      <w:r>
        <w:rPr>
          <w:rFonts w:ascii="Times New Roman" w:cs="Times New Roman" w:eastAsia="Times New Roman" w:hAnsi="Times New Roman"/>
          <w:sz w:val="22"/>
          <w:szCs w:val="22"/>
          <w:color w:val="0F2C52"/>
        </w:rPr>
        <w:t>:</w:t>
      </w:r>
      <w:r>
        <w:rPr>
          <w:rFonts w:ascii="Times New Roman" w:cs="Times New Roman" w:eastAsia="Times New Roman" w:hAnsi="Times New Roman"/>
          <w:sz w:val="22"/>
          <w:szCs w:val="22"/>
          <w:b w:val="1"/>
          <w:bCs w:val="1"/>
          <w:color w:val="0F2C52"/>
        </w:rPr>
        <w:t xml:space="preserve"> </w:t>
      </w:r>
      <w:r>
        <w:rPr>
          <w:rFonts w:ascii="Times New Roman" w:cs="Times New Roman" w:eastAsia="Times New Roman" w:hAnsi="Times New Roman"/>
          <w:sz w:val="22"/>
          <w:szCs w:val="22"/>
          <w:color w:val="000000"/>
        </w:rPr>
        <w:t>February 9, 2026</w:t>
      </w:r>
    </w:p>
    <w:p>
      <w:pPr>
        <w:spacing w:after="0" w:line="200" w:lineRule="exact"/>
        <w:rPr>
          <w:sz w:val="20"/>
          <w:szCs w:val="20"/>
          <w:color w:val="auto"/>
        </w:rPr>
      </w:pPr>
    </w:p>
    <w:p>
      <w:pPr>
        <w:sectPr>
          <w:pgSz w:w="11900" w:h="16838" w:orient="portrait"/>
          <w:cols w:equalWidth="0" w:num="2">
            <w:col w:w="680" w:space="720"/>
            <w:col w:w="9640"/>
          </w:cols>
          <w:pgMar w:left="420" w:top="1398" w:right="4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-139065</wp:posOffset>
            </wp:positionV>
            <wp:extent cx="7132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459740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398" w:right="439" w:bottom="1440" w:gutter="0" w:footer="0" w:header="0"/>
          <w:type w:val="continuous"/>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and Affiliates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27,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Craft Brewery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Fermentation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Angry Orchard Cider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BBCCC,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Ontario, Canada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Corporation Canada,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Canadian business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Brewing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Craft Brewery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Land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Marketing,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MTSpace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 Seltzer Beverage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Lazy River Cider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Marathon Brewing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Street Associates,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SABC Realty,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333-209588, 333-163315, 333-163314, 333-148374, 333-140250, 333-121057, 333-85112, 333-85110, 333-68531, 333-12221, and 333-01798 each on Form S-8 of our reports dated February 24, 2026, relating to the financial statements of The Boston Beer Company, Inc. and the effectiveness of The Boston Beer Company, Inc.’s internal control over financial reporting appearing in this Annual Report on Form 10-K for the year ended December 27,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James Koch,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Boston Beer Company,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65"/>
        <w:spacing w:after="0" w:line="266" w:lineRule="auto"/>
        <w:tabs>
          <w:tab w:leader="none" w:pos="75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65"/>
        <w:spacing w:after="0" w:line="266" w:lineRule="auto"/>
        <w:tabs>
          <w:tab w:leader="none" w:pos="75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65"/>
        <w:spacing w:after="0" w:line="282" w:lineRule="auto"/>
        <w:tabs>
          <w:tab w:leader="none" w:pos="75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 James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60325</wp:posOffset>
            </wp:positionV>
            <wp:extent cx="3566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 James Koch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Diego Reynoso,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Boston Beer Company,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65"/>
        <w:spacing w:after="0" w:line="266" w:lineRule="auto"/>
        <w:tabs>
          <w:tab w:leader="none" w:pos="75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65"/>
        <w:spacing w:after="0" w:line="266" w:lineRule="auto"/>
        <w:tabs>
          <w:tab w:leader="none" w:pos="75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65"/>
        <w:spacing w:after="0" w:line="282" w:lineRule="auto"/>
        <w:tabs>
          <w:tab w:leader="none" w:pos="75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60325</wp:posOffset>
            </wp:positionV>
            <wp:extent cx="35661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Diego Reynoso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Boston Beer Company, Inc. (the "Company") on Form 10-K for the period ended December 27, 2025 as filed with the Securities and Exchange Commission (the "Report"), I, C. James Koch, Chairman,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C. James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17145</wp:posOffset>
            </wp:positionV>
            <wp:extent cx="320611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 James Koch</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867410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Boston Beer Company, Inc. (the "Company") on Form 10-K for the period ended December 27, 2025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17145</wp:posOffset>
            </wp:positionV>
            <wp:extent cx="320611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Diego Reynoso</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867410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97.1</w:t>
      </w:r>
    </w:p>
    <w:p>
      <w:pPr>
        <w:spacing w:after="0" w:line="243" w:lineRule="exact"/>
        <w:rPr>
          <w:sz w:val="20"/>
          <w:szCs w:val="20"/>
          <w:color w:val="auto"/>
        </w:rPr>
      </w:pPr>
    </w:p>
    <w:p>
      <w:pPr>
        <w:jc w:val="center"/>
        <w:ind w:right="113"/>
        <w:spacing w:after="0"/>
        <w:rPr>
          <w:sz w:val="20"/>
          <w:szCs w:val="20"/>
          <w:color w:val="auto"/>
        </w:rPr>
      </w:pPr>
      <w:r>
        <w:rPr>
          <w:rFonts w:ascii="Arial" w:cs="Arial" w:eastAsia="Arial" w:hAnsi="Arial"/>
          <w:sz w:val="20"/>
          <w:szCs w:val="20"/>
          <w:b w:val="1"/>
          <w:bCs w:val="1"/>
          <w:color w:val="auto"/>
        </w:rPr>
        <w:t>The Boston Beer Company, Inc.</w:t>
      </w:r>
    </w:p>
    <w:p>
      <w:pPr>
        <w:spacing w:after="0" w:line="20" w:lineRule="exact"/>
        <w:rPr>
          <w:sz w:val="20"/>
          <w:szCs w:val="20"/>
          <w:color w:val="auto"/>
        </w:rPr>
      </w:pPr>
    </w:p>
    <w:p>
      <w:pPr>
        <w:jc w:val="center"/>
        <w:ind w:right="113"/>
        <w:spacing w:after="0"/>
        <w:rPr>
          <w:sz w:val="20"/>
          <w:szCs w:val="20"/>
          <w:color w:val="auto"/>
        </w:rPr>
      </w:pPr>
      <w:r>
        <w:rPr>
          <w:rFonts w:ascii="Arial" w:cs="Arial" w:eastAsia="Arial" w:hAnsi="Arial"/>
          <w:sz w:val="20"/>
          <w:szCs w:val="20"/>
          <w:b w:val="1"/>
          <w:bCs w:val="1"/>
          <w:u w:val="single" w:color="auto"/>
          <w:color w:val="auto"/>
        </w:rPr>
        <w:t>Clawback Policy</w:t>
      </w:r>
    </w:p>
    <w:p>
      <w:pPr>
        <w:spacing w:after="0" w:line="223" w:lineRule="exact"/>
        <w:rPr>
          <w:sz w:val="20"/>
          <w:szCs w:val="20"/>
          <w:color w:val="auto"/>
        </w:rPr>
      </w:pPr>
    </w:p>
    <w:p>
      <w:pPr>
        <w:ind w:left="407" w:hanging="407"/>
        <w:spacing w:after="0"/>
        <w:tabs>
          <w:tab w:leader="none" w:pos="407" w:val="left"/>
        </w:tabs>
        <w:numPr>
          <w:ilvl w:val="0"/>
          <w:numId w:val="26"/>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Introduction. </w:t>
      </w:r>
      <w:r>
        <w:rPr>
          <w:rFonts w:ascii="Arial" w:cs="Arial" w:eastAsia="Arial" w:hAnsi="Arial"/>
          <w:sz w:val="20"/>
          <w:szCs w:val="20"/>
          <w:color w:val="auto"/>
        </w:rPr>
        <w:t>The Board of Directors (the "Board") of The Boston Beer Company, Inc. (the “Company”) believes that it is</w:t>
      </w:r>
    </w:p>
    <w:p>
      <w:pPr>
        <w:spacing w:after="0" w:line="29" w:lineRule="exact"/>
        <w:rPr>
          <w:sz w:val="20"/>
          <w:szCs w:val="20"/>
          <w:color w:val="auto"/>
        </w:rPr>
      </w:pPr>
    </w:p>
    <w:p>
      <w:pPr>
        <w:jc w:val="both"/>
        <w:ind w:left="7" w:right="120"/>
        <w:spacing w:after="0" w:line="229" w:lineRule="auto"/>
        <w:rPr>
          <w:sz w:val="20"/>
          <w:szCs w:val="20"/>
          <w:color w:val="auto"/>
        </w:rPr>
      </w:pPr>
      <w:r>
        <w:rPr>
          <w:rFonts w:ascii="Arial" w:cs="Arial" w:eastAsia="Arial" w:hAnsi="Arial"/>
          <w:sz w:val="20"/>
          <w:szCs w:val="20"/>
          <w:color w:val="auto"/>
        </w:rPr>
        <w:t>in the best interests of the Company to maintain a culture that emphasizes integrity and accountability and that reinforces the Company's pay-for-performance compensation philosophy. The Board has therefore adopted this Clawback Policy (the "Policy"), which provides for the recoupment of certain executive compensation in the event of an accounting restatement resulting from material noncompliance with financial reporting requirements under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w:t>
      </w:r>
    </w:p>
    <w:p>
      <w:pPr>
        <w:spacing w:after="0" w:line="189" w:lineRule="exact"/>
        <w:rPr>
          <w:sz w:val="20"/>
          <w:szCs w:val="20"/>
          <w:color w:val="auto"/>
        </w:rPr>
      </w:pPr>
    </w:p>
    <w:p>
      <w:pPr>
        <w:ind w:left="7" w:right="120" w:hanging="7"/>
        <w:spacing w:after="0" w:line="287" w:lineRule="auto"/>
        <w:tabs>
          <w:tab w:leader="none" w:pos="407" w:val="left"/>
        </w:tabs>
        <w:numPr>
          <w:ilvl w:val="0"/>
          <w:numId w:val="27"/>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Administration. </w:t>
      </w:r>
      <w:r>
        <w:rPr>
          <w:rFonts w:ascii="Arial" w:cs="Arial" w:eastAsia="Arial" w:hAnsi="Arial"/>
          <w:sz w:val="20"/>
          <w:szCs w:val="20"/>
          <w:color w:val="auto"/>
        </w:rPr>
        <w:t>This Policy shall be administered by the Board’s Compensation Committee (the “Committee”). Any</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determinations made by the Committee shall be final and binding.</w:t>
      </w:r>
    </w:p>
    <w:p>
      <w:pPr>
        <w:spacing w:after="0" w:line="148" w:lineRule="exact"/>
        <w:rPr>
          <w:rFonts w:ascii="Calibri" w:cs="Calibri" w:eastAsia="Calibri" w:hAnsi="Calibri"/>
          <w:sz w:val="20"/>
          <w:szCs w:val="20"/>
          <w:b w:val="1"/>
          <w:bCs w:val="1"/>
          <w:color w:val="auto"/>
        </w:rPr>
      </w:pPr>
    </w:p>
    <w:p>
      <w:pPr>
        <w:ind w:left="407" w:hanging="407"/>
        <w:spacing w:after="0"/>
        <w:tabs>
          <w:tab w:leader="none" w:pos="407" w:val="left"/>
        </w:tabs>
        <w:numPr>
          <w:ilvl w:val="0"/>
          <w:numId w:val="27"/>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Covered Executives. </w:t>
      </w:r>
      <w:r>
        <w:rPr>
          <w:rFonts w:ascii="Arial" w:cs="Arial" w:eastAsia="Arial" w:hAnsi="Arial"/>
          <w:sz w:val="20"/>
          <w:szCs w:val="20"/>
          <w:color w:val="auto"/>
        </w:rPr>
        <w:t>This Policy applies to any person, who is or was an “Executive Officer,” as such term is defined in</w:t>
      </w:r>
    </w:p>
    <w:p>
      <w:pPr>
        <w:spacing w:after="0" w:line="29" w:lineRule="exact"/>
        <w:rPr>
          <w:sz w:val="20"/>
          <w:szCs w:val="20"/>
          <w:color w:val="auto"/>
        </w:rPr>
      </w:pPr>
    </w:p>
    <w:p>
      <w:pPr>
        <w:ind w:left="7" w:right="120"/>
        <w:spacing w:after="0" w:line="242" w:lineRule="auto"/>
        <w:rPr>
          <w:sz w:val="20"/>
          <w:szCs w:val="20"/>
          <w:color w:val="auto"/>
        </w:rPr>
      </w:pPr>
      <w:r>
        <w:rPr>
          <w:rFonts w:ascii="Arial" w:cs="Arial" w:eastAsia="Arial" w:hAnsi="Arial"/>
          <w:sz w:val="20"/>
          <w:szCs w:val="20"/>
          <w:color w:val="auto"/>
        </w:rPr>
        <w:t>Rule 10D-1 of the Securities Exchange Act of 1934, as amended (the “Exchange Act”), and Section 303A.14 of the New York Stock Exchange (“NYSE”) listing standards ("Covered Executives").</w:t>
      </w:r>
    </w:p>
    <w:p>
      <w:pPr>
        <w:spacing w:after="0" w:line="181" w:lineRule="exact"/>
        <w:rPr>
          <w:sz w:val="20"/>
          <w:szCs w:val="20"/>
          <w:color w:val="auto"/>
        </w:rPr>
      </w:pPr>
    </w:p>
    <w:p>
      <w:pPr>
        <w:ind w:left="407" w:hanging="407"/>
        <w:spacing w:after="0"/>
        <w:tabs>
          <w:tab w:leader="none" w:pos="407" w:val="left"/>
        </w:tabs>
        <w:numPr>
          <w:ilvl w:val="0"/>
          <w:numId w:val="28"/>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Recoupment; Accounting Restatement. </w:t>
      </w:r>
      <w:r>
        <w:rPr>
          <w:rFonts w:ascii="Arial" w:cs="Arial" w:eastAsia="Arial" w:hAnsi="Arial"/>
          <w:sz w:val="20"/>
          <w:szCs w:val="20"/>
          <w:color w:val="auto"/>
        </w:rPr>
        <w:t>In the event the Company is required to prepare a Restatement, the</w:t>
      </w:r>
    </w:p>
    <w:p>
      <w:pPr>
        <w:spacing w:after="0" w:line="29" w:lineRule="exact"/>
        <w:rPr>
          <w:sz w:val="20"/>
          <w:szCs w:val="20"/>
          <w:color w:val="auto"/>
        </w:rPr>
      </w:pPr>
    </w:p>
    <w:p>
      <w:pPr>
        <w:ind w:left="7" w:right="120"/>
        <w:spacing w:after="0" w:line="242" w:lineRule="auto"/>
        <w:rPr>
          <w:sz w:val="20"/>
          <w:szCs w:val="20"/>
          <w:color w:val="auto"/>
        </w:rPr>
      </w:pPr>
      <w:r>
        <w:rPr>
          <w:rFonts w:ascii="Arial" w:cs="Arial" w:eastAsia="Arial" w:hAnsi="Arial"/>
          <w:sz w:val="20"/>
          <w:szCs w:val="20"/>
          <w:color w:val="auto"/>
        </w:rPr>
        <w:t>Committee will require the reasonably prompt recovery of any excess Incentive Compensation received by any Covered Executive, without regard to whether or not the Covered Executive committed any misconduct that led to the Restatement.</w:t>
      </w:r>
    </w:p>
    <w:p>
      <w:pPr>
        <w:spacing w:after="0" w:line="195" w:lineRule="exact"/>
        <w:rPr>
          <w:sz w:val="20"/>
          <w:szCs w:val="20"/>
          <w:color w:val="auto"/>
        </w:rPr>
      </w:pPr>
    </w:p>
    <w:p>
      <w:pPr>
        <w:ind w:left="407" w:hanging="407"/>
        <w:spacing w:after="0"/>
        <w:tabs>
          <w:tab w:leader="none" w:pos="407" w:val="left"/>
        </w:tabs>
        <w:numPr>
          <w:ilvl w:val="0"/>
          <w:numId w:val="29"/>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Incentive Compensation. </w:t>
      </w:r>
      <w:r>
        <w:rPr>
          <w:rFonts w:ascii="Arial" w:cs="Arial" w:eastAsia="Arial" w:hAnsi="Arial"/>
          <w:sz w:val="20"/>
          <w:szCs w:val="20"/>
          <w:color w:val="auto"/>
        </w:rPr>
        <w:t>For purposes of this Policy, “Incentive Compensation” means any compensation that is</w:t>
      </w:r>
    </w:p>
    <w:p>
      <w:pPr>
        <w:spacing w:after="0" w:line="29" w:lineRule="exact"/>
        <w:rPr>
          <w:sz w:val="20"/>
          <w:szCs w:val="20"/>
          <w:color w:val="auto"/>
        </w:rPr>
      </w:pPr>
    </w:p>
    <w:p>
      <w:pPr>
        <w:jc w:val="both"/>
        <w:ind w:left="7" w:right="120"/>
        <w:spacing w:after="0" w:line="233" w:lineRule="auto"/>
        <w:rPr>
          <w:sz w:val="20"/>
          <w:szCs w:val="20"/>
          <w:color w:val="auto"/>
        </w:rPr>
      </w:pPr>
      <w:r>
        <w:rPr>
          <w:rFonts w:ascii="Arial" w:cs="Arial" w:eastAsia="Arial" w:hAnsi="Arial"/>
          <w:sz w:val="20"/>
          <w:szCs w:val="20"/>
          <w:color w:val="auto"/>
        </w:rPr>
        <w:t>granted, earned, or vested, based wholly or in part on the attainment of a financial reporting measure, including but not limited to cash bonuses, stock options, and restricted stock. Examples of “financial reporting measures” include but are not limited to depletions, earnings, EBIT, EBIDTA, EPS, revenue, revenue growth, resource efficiency, company stock price, total shareholder return, net income, and liquidity measures.</w:t>
      </w:r>
    </w:p>
    <w:p>
      <w:pPr>
        <w:spacing w:after="0" w:line="184" w:lineRule="exact"/>
        <w:rPr>
          <w:sz w:val="20"/>
          <w:szCs w:val="20"/>
          <w:color w:val="auto"/>
        </w:rPr>
      </w:pPr>
    </w:p>
    <w:p>
      <w:pPr>
        <w:ind w:left="407" w:hanging="407"/>
        <w:spacing w:after="0"/>
        <w:tabs>
          <w:tab w:leader="none" w:pos="407" w:val="left"/>
        </w:tabs>
        <w:numPr>
          <w:ilvl w:val="0"/>
          <w:numId w:val="30"/>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Excess Incentive Compensation: Amount Subject to Recovery. </w:t>
      </w:r>
      <w:r>
        <w:rPr>
          <w:rFonts w:ascii="Arial" w:cs="Arial" w:eastAsia="Arial" w:hAnsi="Arial"/>
          <w:sz w:val="20"/>
          <w:szCs w:val="20"/>
          <w:color w:val="auto"/>
        </w:rPr>
        <w:t>The amount to be recovered will be the excess of the</w:t>
      </w:r>
    </w:p>
    <w:p>
      <w:pPr>
        <w:spacing w:after="0" w:line="29" w:lineRule="exact"/>
        <w:rPr>
          <w:sz w:val="20"/>
          <w:szCs w:val="20"/>
          <w:color w:val="auto"/>
        </w:rPr>
      </w:pPr>
    </w:p>
    <w:p>
      <w:pPr>
        <w:jc w:val="both"/>
        <w:ind w:left="7" w:right="120"/>
        <w:spacing w:after="0" w:line="228" w:lineRule="auto"/>
        <w:rPr>
          <w:sz w:val="20"/>
          <w:szCs w:val="20"/>
          <w:color w:val="auto"/>
        </w:rPr>
      </w:pPr>
      <w:r>
        <w:rPr>
          <w:rFonts w:ascii="Arial" w:cs="Arial" w:eastAsia="Arial" w:hAnsi="Arial"/>
          <w:sz w:val="20"/>
          <w:szCs w:val="20"/>
          <w:color w:val="auto"/>
        </w:rPr>
        <w:t>Incentive Compensation received by the Covered Executive based on the erroneous data that led to the need for the Restatement, over the Incentive Compensation that would have been paid to the Covered Executive had it been based on the restated results, computed without regard to any taxes paid, all as determined by the Committee. If the Committee cannot determine the amount of excess Incentive Compensation received by the Covered Executive directly from the information in the Restatement, then it will make its determination based on a reasonable estimate of the effect of the Restatement. The Committee shall document the analysis underlying its reasonable estimate and provide such documentation to the NYSE as required. For purposes of this Policy, excess Incentive Compensation will be deemed to be received in the fiscal period during which the financial reporting measure specified in the applicable Incentive Compensation award is attained, even if the payment or grant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200660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1371" w:right="339" w:bottom="1440" w:gutter="0" w:footer="0" w:header="0"/>
        </w:sectPr>
      </w:pPr>
    </w:p>
    <w:bookmarkStart w:id="92" w:name="page93"/>
    <w:bookmarkEnd w:id="92"/>
    <w:p>
      <w:pPr>
        <w:jc w:val="both"/>
        <w:ind w:left="7"/>
        <w:spacing w:after="0" w:line="232" w:lineRule="auto"/>
        <w:rPr>
          <w:sz w:val="20"/>
          <w:szCs w:val="20"/>
          <w:color w:val="auto"/>
        </w:rPr>
      </w:pPr>
      <w:r>
        <w:rPr>
          <w:rFonts w:ascii="Arial" w:cs="Arial" w:eastAsia="Arial" w:hAnsi="Arial"/>
          <w:sz w:val="20"/>
          <w:szCs w:val="20"/>
          <w:color w:val="auto"/>
        </w:rPr>
        <w:t>For purposes of this Policy, the recoverable excess Incentive Compensation shall be all excess Incentive Compensation received on or after the Effective Date of this Policy set forth below by a Covered Executive: who served as an Executive Officer at any time during the performance period for the applicable Incentive Compensation, if the Company has a class of securities listed on a national securities exchange or a national securities association during such performance period or at any time 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w:t>
      </w:r>
    </w:p>
    <w:p>
      <w:pPr>
        <w:spacing w:after="0" w:line="185" w:lineRule="exact"/>
        <w:rPr>
          <w:sz w:val="20"/>
          <w:szCs w:val="20"/>
          <w:color w:val="auto"/>
        </w:rPr>
      </w:pPr>
    </w:p>
    <w:p>
      <w:pPr>
        <w:jc w:val="both"/>
        <w:ind w:left="7"/>
        <w:spacing w:after="0" w:line="233" w:lineRule="auto"/>
        <w:rPr>
          <w:sz w:val="20"/>
          <w:szCs w:val="20"/>
          <w:color w:val="auto"/>
        </w:rPr>
      </w:pPr>
      <w:r>
        <w:rPr>
          <w:rFonts w:ascii="Arial" w:cs="Arial" w:eastAsia="Arial" w:hAnsi="Arial"/>
          <w:sz w:val="20"/>
          <w:szCs w:val="20"/>
          <w:color w:val="auto"/>
        </w:rPr>
        <w:t>For this purpose, the Company is deemed to be required to prepare a Restatement on the earlier of: (i) the date the Board, or the Company’s officers authorized to take such action if Board action is not required, concludes, or reasonably should have concluded, that the Company is required to prepare a Restatement; and/or (ii) the date a court, regulator or other legally authorized body directs the Company to prepare a Restatement. The Company’s obligation to recover excess Incentive Compensation is not dependent on if or when the restated financial statements are filed with the Securities and Exchange Commission (“SEC”).</w:t>
      </w:r>
    </w:p>
    <w:p>
      <w:pPr>
        <w:spacing w:after="0" w:line="184" w:lineRule="exact"/>
        <w:rPr>
          <w:sz w:val="20"/>
          <w:szCs w:val="20"/>
          <w:color w:val="auto"/>
        </w:rPr>
      </w:pPr>
    </w:p>
    <w:p>
      <w:pPr>
        <w:ind w:left="407" w:hanging="407"/>
        <w:spacing w:after="0"/>
        <w:tabs>
          <w:tab w:leader="none" w:pos="407" w:val="left"/>
        </w:tabs>
        <w:numPr>
          <w:ilvl w:val="0"/>
          <w:numId w:val="31"/>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Method of Recoupment. </w:t>
      </w:r>
      <w:r>
        <w:rPr>
          <w:rFonts w:ascii="Arial" w:cs="Arial" w:eastAsia="Arial" w:hAnsi="Arial"/>
          <w:sz w:val="20"/>
          <w:szCs w:val="20"/>
          <w:color w:val="auto"/>
        </w:rPr>
        <w:t>The Committee will determine, in its sole discretion, the method for recouping Incentive</w:t>
      </w:r>
    </w:p>
    <w:p>
      <w:pPr>
        <w:spacing w:after="0" w:line="29" w:lineRule="exact"/>
        <w:rPr>
          <w:sz w:val="20"/>
          <w:szCs w:val="20"/>
          <w:color w:val="auto"/>
        </w:rPr>
      </w:pPr>
    </w:p>
    <w:p>
      <w:pPr>
        <w:jc w:val="both"/>
        <w:ind w:left="7"/>
        <w:spacing w:after="0" w:line="231" w:lineRule="auto"/>
        <w:rPr>
          <w:sz w:val="20"/>
          <w:szCs w:val="20"/>
          <w:color w:val="auto"/>
        </w:rPr>
      </w:pPr>
      <w:r>
        <w:rPr>
          <w:rFonts w:ascii="Arial" w:cs="Arial" w:eastAsia="Arial" w:hAnsi="Arial"/>
          <w:sz w:val="20"/>
          <w:szCs w:val="20"/>
          <w:color w:val="auto"/>
        </w:rPr>
        <w:t>Compensation hereunder which may include, without limitation: requiring reimbursement of incentive cash compensation previously paid; seeking recovery of any gain realized on the vesting, exercise, settlement, sale, transfer, or other disposition of any equity-based awards; offsetting the recouped amount from any compensation otherwise owed by the Company to the Covered Executive; cancelling outstanding vested or unvested equity awards; and/or taking any other remedial and recovery action permitted by law, as determined by the Committee.</w:t>
      </w:r>
    </w:p>
    <w:p>
      <w:pPr>
        <w:spacing w:after="0" w:line="200" w:lineRule="exact"/>
        <w:rPr>
          <w:sz w:val="20"/>
          <w:szCs w:val="20"/>
          <w:color w:val="auto"/>
        </w:rPr>
      </w:pPr>
    </w:p>
    <w:p>
      <w:pPr>
        <w:ind w:left="7" w:right="20" w:hanging="7"/>
        <w:spacing w:after="0" w:line="287" w:lineRule="auto"/>
        <w:tabs>
          <w:tab w:leader="none" w:pos="406" w:val="left"/>
        </w:tabs>
        <w:numPr>
          <w:ilvl w:val="0"/>
          <w:numId w:val="32"/>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No Indemnification. </w:t>
      </w:r>
      <w:r>
        <w:rPr>
          <w:rFonts w:ascii="Arial" w:cs="Arial" w:eastAsia="Arial" w:hAnsi="Arial"/>
          <w:sz w:val="20"/>
          <w:szCs w:val="20"/>
          <w:color w:val="auto"/>
        </w:rPr>
        <w:t>The Company shall not indemnify any Covered Executives against the loss of any incorrectly</w:t>
      </w:r>
      <w:r>
        <w:rPr>
          <w:rFonts w:ascii="Arial" w:cs="Arial" w:eastAsia="Arial" w:hAnsi="Arial"/>
          <w:sz w:val="20"/>
          <w:szCs w:val="20"/>
          <w:b w:val="1"/>
          <w:bCs w:val="1"/>
          <w:color w:val="auto"/>
        </w:rPr>
        <w:t xml:space="preserve"> </w:t>
      </w:r>
      <w:r>
        <w:rPr>
          <w:rFonts w:ascii="Arial" w:cs="Arial" w:eastAsia="Arial" w:hAnsi="Arial"/>
          <w:sz w:val="20"/>
          <w:szCs w:val="20"/>
          <w:color w:val="auto"/>
        </w:rPr>
        <w:t>awarded Incentive Compensation.</w:t>
      </w:r>
    </w:p>
    <w:p>
      <w:pPr>
        <w:spacing w:after="0" w:line="135" w:lineRule="exact"/>
        <w:rPr>
          <w:rFonts w:ascii="Calibri" w:cs="Calibri" w:eastAsia="Calibri" w:hAnsi="Calibri"/>
          <w:sz w:val="20"/>
          <w:szCs w:val="20"/>
          <w:b w:val="1"/>
          <w:bCs w:val="1"/>
          <w:color w:val="auto"/>
        </w:rPr>
      </w:pPr>
    </w:p>
    <w:p>
      <w:pPr>
        <w:ind w:left="407" w:hanging="407"/>
        <w:spacing w:after="0"/>
        <w:tabs>
          <w:tab w:leader="none" w:pos="407" w:val="left"/>
        </w:tabs>
        <w:numPr>
          <w:ilvl w:val="0"/>
          <w:numId w:val="32"/>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Interpretation. </w:t>
      </w:r>
      <w:r>
        <w:rPr>
          <w:rFonts w:ascii="Arial" w:cs="Arial" w:eastAsia="Arial" w:hAnsi="Arial"/>
          <w:sz w:val="20"/>
          <w:szCs w:val="20"/>
          <w:color w:val="auto"/>
        </w:rPr>
        <w:t>The Committee is authorized to interpret and construe this Policy and to make all determinations</w:t>
      </w:r>
    </w:p>
    <w:p>
      <w:pPr>
        <w:spacing w:after="0" w:line="29" w:lineRule="exact"/>
        <w:rPr>
          <w:sz w:val="20"/>
          <w:szCs w:val="20"/>
          <w:color w:val="auto"/>
        </w:rPr>
      </w:pPr>
    </w:p>
    <w:p>
      <w:pPr>
        <w:jc w:val="both"/>
        <w:ind w:left="7"/>
        <w:spacing w:after="0" w:line="236" w:lineRule="auto"/>
        <w:rPr>
          <w:sz w:val="20"/>
          <w:szCs w:val="20"/>
          <w:color w:val="auto"/>
        </w:rPr>
      </w:pPr>
      <w:r>
        <w:rPr>
          <w:rFonts w:ascii="Arial" w:cs="Arial" w:eastAsia="Arial" w:hAnsi="Arial"/>
          <w:sz w:val="20"/>
          <w:szCs w:val="20"/>
          <w:color w:val="auto"/>
        </w:rPr>
        <w:t>necessary, appropriate, or advisable for the administration of this Policy. It is intended that this Policy be interpreted in a manner that is consistent with the requirements of Section 10D of the Exchange Act and any applicable rules or standards adopted by the SEC and/or NYSE.</w:t>
      </w:r>
    </w:p>
    <w:p>
      <w:pPr>
        <w:spacing w:after="0" w:line="196" w:lineRule="exact"/>
        <w:rPr>
          <w:sz w:val="20"/>
          <w:szCs w:val="20"/>
          <w:color w:val="auto"/>
        </w:rPr>
      </w:pPr>
    </w:p>
    <w:p>
      <w:pPr>
        <w:ind w:left="407" w:hanging="407"/>
        <w:spacing w:after="0"/>
        <w:tabs>
          <w:tab w:leader="none" w:pos="407" w:val="left"/>
        </w:tabs>
        <w:numPr>
          <w:ilvl w:val="0"/>
          <w:numId w:val="33"/>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This Policy replaces the 2006 Executive Compensation Recovery Policy in its entirety, shall be effective</w:t>
      </w:r>
    </w:p>
    <w:p>
      <w:pPr>
        <w:spacing w:after="0" w:line="29" w:lineRule="exact"/>
        <w:rPr>
          <w:sz w:val="20"/>
          <w:szCs w:val="20"/>
          <w:color w:val="auto"/>
        </w:rPr>
      </w:pPr>
    </w:p>
    <w:p>
      <w:pPr>
        <w:ind w:left="7" w:right="20"/>
        <w:spacing w:after="0" w:line="242" w:lineRule="auto"/>
        <w:rPr>
          <w:sz w:val="20"/>
          <w:szCs w:val="20"/>
          <w:color w:val="auto"/>
        </w:rPr>
      </w:pPr>
      <w:r>
        <w:rPr>
          <w:rFonts w:ascii="Arial" w:cs="Arial" w:eastAsia="Arial" w:hAnsi="Arial"/>
          <w:sz w:val="20"/>
          <w:szCs w:val="20"/>
          <w:color w:val="auto"/>
        </w:rPr>
        <w:t>on October 2, 2023, and shall apply to Incentive Compensation that is approved, awarded, or granted to Covered Executives on or after that date.</w:t>
      </w:r>
    </w:p>
    <w:p>
      <w:pPr>
        <w:spacing w:after="0" w:line="195" w:lineRule="exact"/>
        <w:rPr>
          <w:sz w:val="20"/>
          <w:szCs w:val="20"/>
          <w:color w:val="auto"/>
        </w:rPr>
      </w:pPr>
    </w:p>
    <w:p>
      <w:pPr>
        <w:ind w:left="407" w:hanging="407"/>
        <w:spacing w:after="0"/>
        <w:tabs>
          <w:tab w:leader="none" w:pos="407" w:val="left"/>
        </w:tabs>
        <w:numPr>
          <w:ilvl w:val="0"/>
          <w:numId w:val="34"/>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Amendment; Termination. </w:t>
      </w:r>
      <w:r>
        <w:rPr>
          <w:rFonts w:ascii="Arial" w:cs="Arial" w:eastAsia="Arial" w:hAnsi="Arial"/>
          <w:sz w:val="20"/>
          <w:szCs w:val="20"/>
          <w:color w:val="auto"/>
        </w:rPr>
        <w:t>The Committee may amend this Policy from time to time in its discretion and shall amend</w:t>
      </w:r>
    </w:p>
    <w:p>
      <w:pPr>
        <w:spacing w:after="0" w:line="29" w:lineRule="exact"/>
        <w:rPr>
          <w:sz w:val="20"/>
          <w:szCs w:val="20"/>
          <w:color w:val="auto"/>
        </w:rPr>
      </w:pPr>
    </w:p>
    <w:p>
      <w:pPr>
        <w:ind w:left="7"/>
        <w:spacing w:after="0" w:line="242" w:lineRule="auto"/>
        <w:rPr>
          <w:sz w:val="20"/>
          <w:szCs w:val="20"/>
          <w:color w:val="auto"/>
        </w:rPr>
      </w:pPr>
      <w:r>
        <w:rPr>
          <w:rFonts w:ascii="Arial" w:cs="Arial" w:eastAsia="Arial" w:hAnsi="Arial"/>
          <w:sz w:val="20"/>
          <w:szCs w:val="20"/>
          <w:color w:val="auto"/>
        </w:rPr>
        <w:t>this Policy as it deems necessary to maintain compliance with the regulations adopted by the SEC and NYSE. The Committee may terminate this Policy at any time.</w:t>
      </w:r>
    </w:p>
    <w:p>
      <w:pPr>
        <w:spacing w:after="0" w:line="181" w:lineRule="exact"/>
        <w:rPr>
          <w:sz w:val="20"/>
          <w:szCs w:val="20"/>
          <w:color w:val="auto"/>
        </w:rPr>
      </w:pPr>
    </w:p>
    <w:p>
      <w:pPr>
        <w:ind w:left="407" w:hanging="407"/>
        <w:spacing w:after="0"/>
        <w:tabs>
          <w:tab w:leader="none" w:pos="407" w:val="left"/>
        </w:tabs>
        <w:numPr>
          <w:ilvl w:val="0"/>
          <w:numId w:val="3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Other Recoupment Rights. </w:t>
      </w:r>
      <w:r>
        <w:rPr>
          <w:rFonts w:ascii="Arial" w:cs="Arial" w:eastAsia="Arial" w:hAnsi="Arial"/>
          <w:sz w:val="20"/>
          <w:szCs w:val="20"/>
          <w:color w:val="auto"/>
        </w:rPr>
        <w:t>The Committee intends that this Policy will be applied to the fullest extent of the law. The</w:t>
      </w:r>
    </w:p>
    <w:p>
      <w:pPr>
        <w:spacing w:after="0" w:line="29" w:lineRule="exact"/>
        <w:rPr>
          <w:sz w:val="20"/>
          <w:szCs w:val="20"/>
          <w:color w:val="auto"/>
        </w:rPr>
      </w:pPr>
    </w:p>
    <w:p>
      <w:pPr>
        <w:jc w:val="both"/>
        <w:ind w:left="7"/>
        <w:spacing w:after="0" w:line="236" w:lineRule="auto"/>
        <w:rPr>
          <w:sz w:val="20"/>
          <w:szCs w:val="20"/>
          <w:color w:val="auto"/>
        </w:rPr>
      </w:pPr>
      <w:r>
        <w:rPr>
          <w:rFonts w:ascii="Arial" w:cs="Arial" w:eastAsia="Arial" w:hAnsi="Arial"/>
          <w:sz w:val="20"/>
          <w:szCs w:val="20"/>
          <w:color w:val="auto"/>
        </w:rPr>
        <w:t>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589915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14" w:right="459" w:bottom="1440" w:gutter="0" w:footer="0" w:header="0"/>
        </w:sectPr>
      </w:pPr>
    </w:p>
    <w:bookmarkStart w:id="93" w:name="page94"/>
    <w:bookmarkEnd w:id="93"/>
    <w:p>
      <w:pPr>
        <w:jc w:val="both"/>
        <w:ind w:left="7" w:right="20"/>
        <w:spacing w:after="0" w:line="241" w:lineRule="auto"/>
        <w:rPr>
          <w:sz w:val="20"/>
          <w:szCs w:val="20"/>
          <w:color w:val="auto"/>
        </w:rPr>
      </w:pPr>
      <w:r>
        <w:rPr>
          <w:rFonts w:ascii="Arial" w:cs="Arial" w:eastAsia="Arial" w:hAnsi="Arial"/>
          <w:sz w:val="20"/>
          <w:szCs w:val="20"/>
          <w:color w:val="auto"/>
        </w:rPr>
        <w:t>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83" w:lineRule="exact"/>
        <w:rPr>
          <w:sz w:val="20"/>
          <w:szCs w:val="20"/>
          <w:color w:val="auto"/>
        </w:rPr>
      </w:pPr>
    </w:p>
    <w:p>
      <w:pPr>
        <w:ind w:left="7" w:hanging="7"/>
        <w:spacing w:after="0" w:line="287" w:lineRule="auto"/>
        <w:tabs>
          <w:tab w:leader="none" w:pos="407" w:val="left"/>
        </w:tabs>
        <w:numPr>
          <w:ilvl w:val="0"/>
          <w:numId w:val="36"/>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Impracticability. </w:t>
      </w:r>
      <w:r>
        <w:rPr>
          <w:rFonts w:ascii="Arial" w:cs="Arial" w:eastAsia="Arial" w:hAnsi="Arial"/>
          <w:sz w:val="20"/>
          <w:szCs w:val="20"/>
          <w:color w:val="auto"/>
        </w:rPr>
        <w:t>The Committee shall recover any excess Incentive Compensation in accordance with this Policy unless</w:t>
      </w:r>
      <w:r>
        <w:rPr>
          <w:rFonts w:ascii="Arial" w:cs="Arial" w:eastAsia="Arial" w:hAnsi="Arial"/>
          <w:sz w:val="20"/>
          <w:szCs w:val="20"/>
          <w:b w:val="1"/>
          <w:bCs w:val="1"/>
          <w:color w:val="auto"/>
        </w:rPr>
        <w:t xml:space="preserve"> </w:t>
      </w:r>
      <w:r>
        <w:rPr>
          <w:rFonts w:ascii="Arial" w:cs="Arial" w:eastAsia="Arial" w:hAnsi="Arial"/>
          <w:sz w:val="20"/>
          <w:szCs w:val="20"/>
          <w:color w:val="auto"/>
        </w:rPr>
        <w:t>such recovery is impracticable, as determined by the Committee in accordance with SEC and NYSE rules.</w:t>
      </w:r>
    </w:p>
    <w:p>
      <w:pPr>
        <w:spacing w:after="0" w:line="135" w:lineRule="exact"/>
        <w:rPr>
          <w:rFonts w:ascii="Calibri" w:cs="Calibri" w:eastAsia="Calibri" w:hAnsi="Calibri"/>
          <w:sz w:val="20"/>
          <w:szCs w:val="20"/>
          <w:b w:val="1"/>
          <w:bCs w:val="1"/>
          <w:color w:val="auto"/>
        </w:rPr>
      </w:pPr>
    </w:p>
    <w:p>
      <w:pPr>
        <w:ind w:left="7" w:right="20" w:hanging="7"/>
        <w:spacing w:after="0" w:line="287" w:lineRule="auto"/>
        <w:tabs>
          <w:tab w:leader="none" w:pos="406" w:val="left"/>
        </w:tabs>
        <w:numPr>
          <w:ilvl w:val="0"/>
          <w:numId w:val="36"/>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This Policy shall be binding and enforceable against all Covered Executives and their beneficiaries, heirs,</w:t>
      </w:r>
      <w:r>
        <w:rPr>
          <w:rFonts w:ascii="Arial" w:cs="Arial" w:eastAsia="Arial" w:hAnsi="Arial"/>
          <w:sz w:val="20"/>
          <w:szCs w:val="20"/>
          <w:b w:val="1"/>
          <w:bCs w:val="1"/>
          <w:color w:val="auto"/>
        </w:rPr>
        <w:t xml:space="preserve"> </w:t>
      </w:r>
      <w:r>
        <w:rPr>
          <w:rFonts w:ascii="Arial" w:cs="Arial" w:eastAsia="Arial" w:hAnsi="Arial"/>
          <w:sz w:val="20"/>
          <w:szCs w:val="20"/>
          <w:color w:val="auto"/>
        </w:rPr>
        <w:t>executors, administrators, or other legal representatives.</w:t>
      </w:r>
    </w:p>
    <w:p>
      <w:pPr>
        <w:spacing w:after="0" w:line="378"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u w:val="single" w:color="auto"/>
          <w:color w:val="auto"/>
        </w:rPr>
        <w:t>Acknowledgement</w:t>
      </w:r>
    </w:p>
    <w:p>
      <w:pPr>
        <w:spacing w:after="0" w:line="245" w:lineRule="exact"/>
        <w:rPr>
          <w:sz w:val="20"/>
          <w:szCs w:val="20"/>
          <w:color w:val="auto"/>
        </w:rPr>
      </w:pPr>
    </w:p>
    <w:p>
      <w:pPr>
        <w:jc w:val="both"/>
        <w:ind w:left="7"/>
        <w:spacing w:after="0" w:line="237" w:lineRule="auto"/>
        <w:rPr>
          <w:sz w:val="20"/>
          <w:szCs w:val="20"/>
          <w:color w:val="auto"/>
        </w:rPr>
      </w:pPr>
      <w:r>
        <w:rPr>
          <w:rFonts w:ascii="Arial" w:cs="Arial" w:eastAsia="Arial" w:hAnsi="Arial"/>
          <w:sz w:val="20"/>
          <w:szCs w:val="20"/>
          <w:color w:val="auto"/>
        </w:rPr>
        <w:t>By signing below, the undersigned Covered Executive acknowledges that: (a) they have received and reviewed a copy of this Policy; (b) they are and will continue to be subject to the Policy both during and after their employment with the Company; and (c) they will abide by the terms of the Policy, including, without limitation, by returning any excess Incentive Compensation to the Company to the extent required by, and in a manner consistent with, the Policy.</w:t>
      </w:r>
    </w:p>
    <w:p>
      <w:pPr>
        <w:spacing w:after="0" w:line="200" w:lineRule="exact"/>
        <w:rPr>
          <w:sz w:val="20"/>
          <w:szCs w:val="20"/>
          <w:color w:val="auto"/>
        </w:rPr>
      </w:pPr>
    </w:p>
    <w:p>
      <w:pPr>
        <w:spacing w:after="0" w:line="242" w:lineRule="exact"/>
        <w:rPr>
          <w:sz w:val="20"/>
          <w:szCs w:val="20"/>
          <w:color w:val="auto"/>
        </w:rPr>
      </w:pPr>
    </w:p>
    <w:p>
      <w:pPr>
        <w:ind w:left="5887"/>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86" w:lineRule="exact"/>
        <w:rPr>
          <w:sz w:val="20"/>
          <w:szCs w:val="20"/>
          <w:color w:val="auto"/>
        </w:rPr>
      </w:pPr>
    </w:p>
    <w:p>
      <w:pPr>
        <w:ind w:left="5907"/>
        <w:spacing w:after="0"/>
        <w:rPr>
          <w:sz w:val="20"/>
          <w:szCs w:val="20"/>
          <w:color w:val="auto"/>
        </w:rPr>
      </w:pPr>
      <w:r>
        <w:rPr>
          <w:rFonts w:ascii="Arial" w:cs="Arial" w:eastAsia="Arial" w:hAnsi="Arial"/>
          <w:sz w:val="20"/>
          <w:szCs w:val="20"/>
          <w:color w:val="auto"/>
        </w:rPr>
        <w:t>Print Name</w:t>
      </w:r>
    </w:p>
    <w:p>
      <w:pPr>
        <w:spacing w:after="0" w:line="200" w:lineRule="exact"/>
        <w:rPr>
          <w:sz w:val="20"/>
          <w:szCs w:val="20"/>
          <w:color w:val="auto"/>
        </w:rPr>
      </w:pPr>
    </w:p>
    <w:p>
      <w:pPr>
        <w:spacing w:after="0" w:line="299" w:lineRule="exact"/>
        <w:rPr>
          <w:sz w:val="20"/>
          <w:szCs w:val="20"/>
          <w:color w:val="auto"/>
        </w:rPr>
      </w:pPr>
    </w:p>
    <w:p>
      <w:pPr>
        <w:ind w:left="5887"/>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609600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14" w:right="45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20"/>
    </w:lvl>
  </w:abstractNum>
  <w:abstractNum w:abstractNumId="8">
    <w:nsid w:val="2443A858"/>
    <w:multiLevelType w:val="hybridMultilevel"/>
    <w:lvl w:ilvl="0">
      <w:lvlJc w:val="left"/>
      <w:lvlText w:val="*"/>
      <w:numFmt w:val="bullet"/>
      <w:start w:val="1"/>
    </w:lvl>
    <w:lvl w:ilvl="1">
      <w:lvlJc w:val="left"/>
      <w:lvlText w:val="%2"/>
      <w:numFmt w:val="decimal"/>
      <w:start w:val="104"/>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1."/>
      <w:numFmt w:val="lowerLetter"/>
      <w:start w:val="2"/>
    </w:lvl>
  </w:abstractNum>
  <w:abstractNum w:abstractNumId="13">
    <w:nsid w:val="79838CB2"/>
    <w:multiLevelType w:val="hybridMultilevel"/>
    <w:lvl w:ilvl="0">
      <w:lvlJc w:val="left"/>
      <w:lvlText w:val="%1."/>
      <w:numFmt w:val="lowerLetter"/>
      <w:start w:val="3"/>
    </w:lvl>
  </w:abstractNum>
  <w:abstractNum w:abstractNumId="14">
    <w:nsid w:val="4353D0CD"/>
    <w:multiLevelType w:val="hybridMultilevel"/>
    <w:lvl w:ilvl="0">
      <w:lvlJc w:val="left"/>
      <w:lvlText w:val="%1."/>
      <w:numFmt w:val="lowerRoman"/>
      <w:start w:val="1"/>
    </w:lvl>
  </w:abstractNum>
  <w:abstractNum w:abstractNumId="15">
    <w:nsid w:val="B03E0C6"/>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6">
    <w:nsid w:val="189A769B"/>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17">
    <w:nsid w:val="54E49EB4"/>
    <w:multiLevelType w:val="hybridMultilevel"/>
    <w:lvl w:ilvl="0">
      <w:lvlJc w:val="left"/>
      <w:lvlText w:val="%1."/>
      <w:numFmt w:val="upperLetter"/>
      <w:start w:val="2"/>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0">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1">
    <w:nsid w:val="2901D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2">
    <w:nsid w:val="3A95F87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4">
    <w:nsid w:val="1E7FF52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1."/>
      <w:numFmt w:val="decimal"/>
      <w:start w:val="4"/>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decimal"/>
      <w:start w:val="6"/>
    </w:lvl>
  </w:abstractNum>
  <w:abstractNum w:abstractNumId="30">
    <w:nsid w:val="3006C83E"/>
    <w:multiLevelType w:val="hybridMultilevel"/>
    <w:lvl w:ilvl="0">
      <w:lvlJc w:val="left"/>
      <w:lvlText w:val="%1."/>
      <w:numFmt w:val="decimal"/>
      <w:start w:val="7"/>
    </w:lvl>
  </w:abstractNum>
  <w:abstractNum w:abstractNumId="31">
    <w:nsid w:val="614FD4A1"/>
    <w:multiLevelType w:val="hybridMultilevel"/>
    <w:lvl w:ilvl="0">
      <w:lvlJc w:val="left"/>
      <w:lvlText w:val="%1."/>
      <w:numFmt w:val="decimal"/>
      <w:start w:val="8"/>
    </w:lvl>
  </w:abstractNum>
  <w:abstractNum w:abstractNumId="32">
    <w:nsid w:val="419AC241"/>
    <w:multiLevelType w:val="hybridMultilevel"/>
    <w:lvl w:ilvl="0">
      <w:lvlJc w:val="left"/>
      <w:lvlText w:val="%1."/>
      <w:numFmt w:val="decimal"/>
      <w:start w:val="10"/>
    </w:lvl>
  </w:abstractNum>
  <w:abstractNum w:abstractNumId="33">
    <w:nsid w:val="5577F8E1"/>
    <w:multiLevelType w:val="hybridMultilevel"/>
    <w:lvl w:ilvl="0">
      <w:lvlJc w:val="left"/>
      <w:lvlText w:val="%1."/>
      <w:numFmt w:val="decimal"/>
      <w:start w:val="11"/>
    </w:lvl>
  </w:abstractNum>
  <w:abstractNum w:abstractNumId="34">
    <w:nsid w:val="440BADFC"/>
    <w:multiLevelType w:val="hybridMultilevel"/>
    <w:lvl w:ilvl="0">
      <w:lvlJc w:val="left"/>
      <w:lvlText w:val="%1."/>
      <w:numFmt w:val="decimal"/>
      <w:start w:val="12"/>
    </w:lvl>
  </w:abstractNum>
  <w:abstractNum w:abstractNumId="35">
    <w:nsid w:val="507236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10" Type="http://schemas.openxmlformats.org/officeDocument/2006/relationships/hyperlink" Target="https://www.sec.gov/Archives/edgar/data/949870/000119312519143046/d689622dex21.htm" TargetMode="External"/><Relationship Id="rId414" Type="http://schemas.openxmlformats.org/officeDocument/2006/relationships/hyperlink" Target="https://www.sec.gov/Archives/edgar/data/949870/000119312519143046/d689622dex22.htm" TargetMode="External"/><Relationship Id="rId418" Type="http://schemas.openxmlformats.org/officeDocument/2006/relationships/hyperlink" Target="https://www.sec.gov/Archives/edgar/data/949870/000119312519143046/d689622dex23.htm" TargetMode="External"/><Relationship Id="rId421" Type="http://schemas.openxmlformats.org/officeDocument/2006/relationships/hyperlink" Target="https://www.sec.gov/Archives/edgar/data/949870/0000927016-98-002984.txt" TargetMode="External"/><Relationship Id="rId426" Type="http://schemas.openxmlformats.org/officeDocument/2006/relationships/hyperlink" Target="https://www.sec.gov/Archives/edgar/data/949870/000119312520041944/d860744dex42.htm" TargetMode="External"/><Relationship Id="rId430" Type="http://schemas.openxmlformats.org/officeDocument/2006/relationships/hyperlink" Target="https://www.sec.gov/Archives/edgar/data/949870/000095013505002577/b54791bbexv10w47.txt" TargetMode="External"/><Relationship Id="rId431" Type="http://schemas.openxmlformats.org/officeDocument/2006/relationships/hyperlink" Target="https://www.sec.gov/Archives/edgar/data/949870/000095013507003045/b65196bbexv10w57.txt" TargetMode="External"/><Relationship Id="rId432" Type="http://schemas.openxmlformats.org/officeDocument/2006/relationships/hyperlink" Target="https://www.sec.gov/Archives/edgar/data/949870/000119312516468386/d101022dex1010.htm" TargetMode="External"/><Relationship Id="rId433" Type="http://schemas.openxmlformats.org/officeDocument/2006/relationships/hyperlink" Target="https://www.sec.gov/Archives/edgar/data/949870/000156459021006397/sam-ex109_605.htm" TargetMode="External"/><Relationship Id="rId434" Type="http://schemas.openxmlformats.org/officeDocument/2006/relationships/hyperlink" Target="https://www.sec.gov/Archives/edgar/data/949870/000119312516653731/d221116dex101.htm" TargetMode="External"/><Relationship Id="rId435" Type="http://schemas.openxmlformats.org/officeDocument/2006/relationships/hyperlink" Target="https://www.sec.gov/Archives/edgar/data/949870/000156459018031298/sam-ex101_8.htm" TargetMode="External"/><Relationship Id="rId436" Type="http://schemas.openxmlformats.org/officeDocument/2006/relationships/hyperlink" Target="https://www.sec.gov/Archives/edgar/data/949870/000095012319006635/d763589dex103.htm" TargetMode="External"/><Relationship Id="rId437" Type="http://schemas.openxmlformats.org/officeDocument/2006/relationships/hyperlink" Target="https://www.sec.gov/Archives/edgar/data/949870/000095012319006635/d763589dex101.htm" TargetMode="External"/><Relationship Id="rId438" Type="http://schemas.openxmlformats.org/officeDocument/2006/relationships/hyperlink" Target="https://www.sec.gov/Archives/edgar/data/949870/000095012319006635/d763589dex102.htm" TargetMode="External"/><Relationship Id="rId439" Type="http://schemas.openxmlformats.org/officeDocument/2006/relationships/hyperlink" Target="https://www.sec.gov/Archives/edgar/data/949870/000156459022039622/sam-ex101_9.htm" TargetMode="External"/><Relationship Id="rId440" Type="http://schemas.openxmlformats.org/officeDocument/2006/relationships/hyperlink" Target="https://www.sec.gov/Archives/edgar/data/949870/000095017023034065/sam-ex10_1.htm" TargetMode="External"/><Relationship Id="rId441" Type="http://schemas.openxmlformats.org/officeDocument/2006/relationships/hyperlink" Target="https://www.sec.gov/ix?doc=/Archives/edgar/data/0000949870/000095017024021172/sam-20240223.htm" TargetMode="External"/><Relationship Id="rId442" Type="http://schemas.openxmlformats.org/officeDocument/2006/relationships/hyperlink" Target="https://www.sec.gov/Archives/edgar/data/949870/000095017025101426/sam-ex10_1.htm" TargetMode="External"/><Relationship Id="rId443" Type="http://schemas.openxmlformats.org/officeDocument/2006/relationships/hyperlink" Target="https://www.sec.gov/Archives/edgar/data/949870/000119312525245415/sa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2026-02-24T16:21:02Z</dcterms:created>
  <dcterms:modified xsi:type="dcterms:W3CDTF">2026-02-24T16:21:02Z</dcterms:modified>
</cp:coreProperties>
</file>