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Stranksy Allison Robl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BOSTON BEER COMPANY,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DESIGN CENTER PLACE, 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BOSTON BEER CO INC</w:t>
              </w:r>
            </w:hyperlink>
            <w:r>
              <w:rPr/>
              <w:t xml:space="preserve"> [ </w:t>
            </w:r>
            <w:r>
              <w:rPr>
                <w:rFonts w:ascii="Times;serif" w:hAnsi="Times;serif"/>
                <w:color w:val="0000FF"/>
                <w:sz w:val="24"/>
                <w:shd w:fill="FFFFFF" w:val="clear"/>
              </w:rPr>
              <w:t>SAM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4,993</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October 28, 2026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9,672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under the Issuer's Restated Employee Equity Incentive Plan ("EEIP"). Subject to the Reporting Person's continued employment by the Company on the applicable vesting date, twenty-five percent (25%) of the RSUs shall vest on October 1 in each of the years 2027 through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Time-Based Stock Options were granted pursuant to the Issuer's EEIP on October 28, 2026. The options will vest 25% annually on October 1 in the years 2027 to 2029, and 25% on March 1, 2030, contingent on the reporting person's continued employment with the Issuer on the on the applicable vesting dates, and subject to accelerated vesting in certain situations.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G. Andrews under POA for the benefit of Allison Robl Stransky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9611" TargetMode="External"/><Relationship Id="rId5" Type="http://schemas.openxmlformats.org/officeDocument/2006/relationships/hyperlink" Target="http://www.sec.gov/cgi-bin/browse-edgar?action=getcompany&amp;CIK=00009498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714</Words>
  <Characters>3827</Characters>
  <CharactersWithSpaces>4459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