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2" w:lineRule="exact"/>
        <w:rPr>
          <w:sz w:val="24"/>
          <w:szCs w:val="24"/>
          <w:color w:val="auto"/>
        </w:rPr>
      </w:pPr>
    </w:p>
    <w:p>
      <w:pPr>
        <w:ind w:left="480" w:hanging="459"/>
        <w:spacing w:after="0"/>
        <w:tabs>
          <w:tab w:leader="none" w:pos="480"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ANNUAL REPORT PURSUANT TO SECTION 13 OR 15 (d)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1" w:lineRule="exact"/>
        <w:rPr>
          <w:sz w:val="24"/>
          <w:szCs w:val="24"/>
          <w:color w:val="auto"/>
        </w:rPr>
      </w:pPr>
    </w:p>
    <w:p>
      <w:pPr>
        <w:ind w:left="480" w:hanging="459"/>
        <w:spacing w:after="0"/>
        <w:tabs>
          <w:tab w:leader="none" w:pos="48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 (d) OF THE SECURITIES EXCHANGE ACT OF 1934</w:t>
      </w:r>
    </w:p>
    <w:p>
      <w:pPr>
        <w:spacing w:after="0" w:line="50" w:lineRule="exact"/>
        <w:rPr>
          <w:rFonts w:ascii="Arial" w:cs="Arial" w:eastAsia="Arial" w:hAnsi="Arial"/>
          <w:sz w:val="14"/>
          <w:szCs w:val="14"/>
          <w:color w:val="auto"/>
        </w:rPr>
      </w:pPr>
    </w:p>
    <w:p>
      <w:pPr>
        <w:ind w:left="3640"/>
        <w:spacing w:after="0"/>
        <w:rPr>
          <w:rFonts w:ascii="Arial" w:cs="Arial" w:eastAsia="Arial" w:hAnsi="Arial"/>
          <w:sz w:val="14"/>
          <w:szCs w:val="14"/>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59" w:lineRule="exact"/>
        <w:rPr>
          <w:rFonts w:ascii="Arial" w:cs="Arial" w:eastAsia="Arial" w:hAnsi="Arial"/>
          <w:sz w:val="14"/>
          <w:szCs w:val="14"/>
          <w:color w:val="auto"/>
        </w:rPr>
      </w:pPr>
    </w:p>
    <w:p>
      <w:pPr>
        <w:ind w:left="4460"/>
        <w:spacing w:after="0"/>
        <w:rPr>
          <w:rFonts w:ascii="Arial" w:cs="Arial" w:eastAsia="Arial" w:hAnsi="Arial"/>
          <w:sz w:val="14"/>
          <w:szCs w:val="14"/>
          <w:color w:val="auto"/>
        </w:rPr>
      </w:pPr>
      <w:r>
        <w:rPr>
          <w:rFonts w:ascii="Times New Roman" w:cs="Times New Roman" w:eastAsia="Times New Roman" w:hAnsi="Times New Roman"/>
          <w:sz w:val="16"/>
          <w:szCs w:val="16"/>
          <w:b w:val="1"/>
          <w:bCs w:val="1"/>
          <w:color w:val="auto"/>
        </w:rPr>
        <w:t>Commission file number: 1-14092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BOSTON BEER COMPANY,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800" w:type="dxa"/>
            <w:vAlign w:val="bottom"/>
            <w:gridSpan w:val="2"/>
          </w:tcPr>
          <w:p>
            <w:pPr>
              <w:jc w:val="center"/>
              <w:ind w:left="1775"/>
              <w:spacing w:after="0"/>
              <w:rPr>
                <w:sz w:val="20"/>
                <w:szCs w:val="20"/>
                <w:color w:val="auto"/>
              </w:rPr>
            </w:pPr>
            <w:r>
              <w:rPr>
                <w:rFonts w:ascii="Times New Roman" w:cs="Times New Roman" w:eastAsia="Times New Roman" w:hAnsi="Times New Roman"/>
                <w:sz w:val="14"/>
                <w:szCs w:val="14"/>
                <w:b w:val="1"/>
                <w:bCs w:val="1"/>
                <w:color w:val="auto"/>
              </w:rPr>
              <w:t>Massachusetts</w:t>
            </w:r>
          </w:p>
        </w:tc>
        <w:tc>
          <w:tcPr>
            <w:tcW w:w="7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tcPr>
          <w:p>
            <w:pPr>
              <w:jc w:val="center"/>
              <w:ind w:right="2168"/>
              <w:spacing w:after="0"/>
              <w:rPr>
                <w:sz w:val="20"/>
                <w:szCs w:val="20"/>
                <w:color w:val="auto"/>
              </w:rPr>
            </w:pPr>
            <w:r>
              <w:rPr>
                <w:rFonts w:ascii="Times New Roman" w:cs="Times New Roman" w:eastAsia="Times New Roman" w:hAnsi="Times New Roman"/>
                <w:sz w:val="14"/>
                <w:szCs w:val="14"/>
                <w:b w:val="1"/>
                <w:bCs w:val="1"/>
                <w:color w:val="auto"/>
              </w:rPr>
              <w:t>04-3284048</w:t>
            </w:r>
          </w:p>
        </w:tc>
        <w:tc>
          <w:tcPr>
            <w:tcW w:w="0" w:type="dxa"/>
            <w:vAlign w:val="bottom"/>
          </w:tcPr>
          <w:p>
            <w:pPr>
              <w:spacing w:after="0"/>
              <w:rPr>
                <w:sz w:val="1"/>
                <w:szCs w:val="1"/>
                <w:color w:val="auto"/>
              </w:rPr>
            </w:pPr>
          </w:p>
        </w:tc>
      </w:tr>
      <w:tr>
        <w:trPr>
          <w:trHeight w:val="148"/>
        </w:trPr>
        <w:tc>
          <w:tcPr>
            <w:tcW w:w="3800" w:type="dxa"/>
            <w:vAlign w:val="bottom"/>
            <w:gridSpan w:val="2"/>
          </w:tcPr>
          <w:p>
            <w:pPr>
              <w:jc w:val="center"/>
              <w:ind w:left="177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jc w:val="center"/>
              <w:ind w:right="21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78"/>
        </w:trPr>
        <w:tc>
          <w:tcPr>
            <w:tcW w:w="3800" w:type="dxa"/>
            <w:vAlign w:val="bottom"/>
            <w:gridSpan w:val="2"/>
          </w:tcPr>
          <w:p>
            <w:pPr>
              <w:jc w:val="center"/>
              <w:ind w:left="177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tcPr>
          <w:p>
            <w:pPr>
              <w:jc w:val="center"/>
              <w:ind w:right="216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
        </w:trPr>
        <w:tc>
          <w:tcPr>
            <w:tcW w:w="36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3"/>
                <w:szCs w:val="3"/>
                <w:color w:val="auto"/>
              </w:rPr>
            </w:pPr>
          </w:p>
        </w:tc>
        <w:tc>
          <w:tcPr>
            <w:tcW w:w="4060" w:type="dxa"/>
            <w:vAlign w:val="bottom"/>
            <w:gridSpan w:val="5"/>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One Design Center Place, Suite 850, Boston, Massachusetts</w:t>
            </w: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60" w:type="dxa"/>
            <w:vAlign w:val="bottom"/>
            <w:gridSpan w:val="5"/>
            <w:vMerge w:val="continue"/>
          </w:tcPr>
          <w:p>
            <w:pPr>
              <w:spacing w:after="0"/>
              <w:rPr>
                <w:sz w:val="11"/>
                <w:szCs w:val="11"/>
                <w:color w:val="auto"/>
              </w:rPr>
            </w:pP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gridSpan w:val="2"/>
          </w:tcPr>
          <w:p>
            <w:pPr>
              <w:jc w:val="right"/>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02210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6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gridSpan w:val="2"/>
          </w:tcPr>
          <w:p>
            <w:pPr>
              <w:jc w:val="right"/>
              <w:ind w:right="608"/>
              <w:spacing w:after="0" w:line="149" w:lineRule="exact"/>
              <w:rPr>
                <w:sz w:val="20"/>
                <w:szCs w:val="20"/>
                <w:color w:val="auto"/>
              </w:rPr>
            </w:pPr>
            <w:r>
              <w:rPr>
                <w:rFonts w:ascii="Times New Roman" w:cs="Times New Roman" w:eastAsia="Times New Roman" w:hAnsi="Times New Roman"/>
                <w:sz w:val="14"/>
                <w:szCs w:val="14"/>
                <w:b w:val="1"/>
                <w:bCs w:val="1"/>
                <w:color w:val="auto"/>
              </w:rPr>
              <w:t>(617) 368-5000</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0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13"/>
                <w:szCs w:val="13"/>
                <w:color w:val="auto"/>
              </w:rPr>
            </w:pPr>
          </w:p>
        </w:tc>
        <w:tc>
          <w:tcPr>
            <w:tcW w:w="336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3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336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3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$0.01 par value</w:t>
            </w: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SAM</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38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41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00" w:type="dxa"/>
            <w:vAlign w:val="bottom"/>
            <w:gridSpan w:val="3"/>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100" w:type="dxa"/>
            <w:vAlign w:val="bottom"/>
            <w:gridSpan w:val="3"/>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860" w:type="dxa"/>
            <w:vAlign w:val="bottom"/>
            <w:gridSpan w:val="7"/>
          </w:tcPr>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3380" w:type="dxa"/>
            <w:vAlign w:val="bottom"/>
            <w:vMerge w:val="restart"/>
          </w:tcPr>
          <w:p>
            <w:pPr>
              <w:ind w:left="6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16"/>
        </w:trPr>
        <w:tc>
          <w:tcPr>
            <w:tcW w:w="78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  Yes</w:t>
            </w:r>
          </w:p>
        </w:tc>
        <w:tc>
          <w:tcPr>
            <w:tcW w:w="3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right="22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80" w:type="dxa"/>
            <w:vAlign w:val="bottom"/>
          </w:tcPr>
          <w:p>
            <w:pPr>
              <w:ind w:left="332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80" w:type="dxa"/>
            <w:vAlign w:val="bottom"/>
          </w:tcPr>
          <w:p>
            <w:pPr>
              <w:ind w:left="3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9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20" w:type="dxa"/>
            <w:vAlign w:val="bottom"/>
          </w:tcPr>
          <w:p>
            <w:pPr>
              <w:ind w:left="2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41" w:lineRule="exact"/>
        <w:rPr>
          <w:sz w:val="24"/>
          <w:szCs w:val="24"/>
          <w:color w:val="auto"/>
        </w:r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120"/>
        <w:spacing w:after="0" w:line="17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280"/>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spacing w:after="0" w:line="188"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Class A Common Stock ($0.01 par value) held by non-affiliates of the registrant totaled $3,232.82 million (based on the closing price of the Company’s Class A Common Stock on the New York Stock Exchange on June 24, 2022). All of the registrant’s Class B Common Stock ($0.01 par value) is held by an affiliate.</w:t>
      </w:r>
    </w:p>
    <w:p>
      <w:pPr>
        <w:spacing w:after="0" w:line="1" w:lineRule="exact"/>
        <w:rPr>
          <w:sz w:val="24"/>
          <w:szCs w:val="24"/>
          <w:color w:val="auto"/>
        </w:rPr>
      </w:pPr>
    </w:p>
    <w:p>
      <w:pPr>
        <w:ind w:right="400"/>
        <w:spacing w:after="0" w:line="250" w:lineRule="auto"/>
        <w:rPr>
          <w:sz w:val="20"/>
          <w:szCs w:val="20"/>
          <w:color w:val="auto"/>
        </w:rPr>
      </w:pPr>
      <w:r>
        <w:rPr>
          <w:rFonts w:ascii="Times New Roman" w:cs="Times New Roman" w:eastAsia="Times New Roman" w:hAnsi="Times New Roman"/>
          <w:sz w:val="14"/>
          <w:szCs w:val="14"/>
          <w:color w:val="auto"/>
        </w:rPr>
        <w:t>As of February 17, 2023 there were 10,212,573 shares outstanding of the Company’s Class A Common Stock ($0.01 par value) and 2,068,000 shares outstanding of the Company’s Class B Common Stock ($0.01 par value).</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Certain parts of the registrant’s definitive Proxy Statement for its 2023 Annual Meeting to be held on May 17, 2023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388620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DECEMBER 31,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4"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6635750</wp:posOffset>
            </wp:positionH>
            <wp:positionV relativeFrom="paragraph">
              <wp:posOffset>16510</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1A.</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1B.</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2.</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6.</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7.</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7A.</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8.</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9.</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9A.</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Item 9B.</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Item 9C.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10.</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11.</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12.</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13.</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06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64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74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298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62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470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123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760"/>
        <w:spacing w:after="0" w:line="297" w:lineRule="auto"/>
        <w:rPr>
          <w:sz w:val="20"/>
          <w:szCs w:val="20"/>
          <w:color w:val="auto"/>
        </w:rPr>
      </w:pPr>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51263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right="2380"/>
        <w:spacing w:after="0" w:line="297" w:lineRule="auto"/>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 and Results of Operations Quantitative and Qualitative Disclosures About Market Risk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-364490</wp:posOffset>
            </wp:positionV>
            <wp:extent cx="41001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001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-201295</wp:posOffset>
            </wp:positionV>
            <wp:extent cx="27666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666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2113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13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Changes in and Disagreements With Accountants on Accounting and Financial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1776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7766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123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343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439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3109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599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1455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spacing w:after="0" w:line="30" w:lineRule="exact"/>
        <w:rPr>
          <w:sz w:val="20"/>
          <w:szCs w:val="20"/>
          <w:color w:val="auto"/>
        </w:rPr>
      </w:pPr>
    </w:p>
    <w:p>
      <w:pPr>
        <w:ind w:right="1560"/>
        <w:spacing w:after="0" w:line="313" w:lineRule="auto"/>
        <w:rPr>
          <w:sz w:val="20"/>
          <w:szCs w:val="20"/>
          <w:color w:val="auto"/>
        </w:rPr>
      </w:pPr>
      <w:r>
        <w:rPr>
          <w:rFonts w:ascii="Times New Roman" w:cs="Times New Roman" w:eastAsia="Times New Roman" w:hAnsi="Times New Roman"/>
          <w:sz w:val="18"/>
          <w:szCs w:val="18"/>
          <w:u w:val="single" w:color="auto"/>
          <w:color w:val="0000FF"/>
        </w:rPr>
        <w:t>Security Ownership of Certain Beneficial Owners and Management and Related Stockholder Matters Certain Relationships and Related Transactions, and Director Independence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4629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-227330</wp:posOffset>
            </wp:positionV>
            <wp:extent cx="3460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607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-64770</wp:posOffset>
            </wp:positionV>
            <wp:extent cx="18148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148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589" w:lineRule="exact"/>
        <w:rPr>
          <w:sz w:val="20"/>
          <w:szCs w:val="20"/>
          <w:color w:val="auto"/>
        </w:rPr>
      </w:pPr>
    </w:p>
    <w:p>
      <w:pPr>
        <w:sectPr>
          <w:pgSz w:w="11900" w:h="16838" w:orient="portrait"/>
          <w:cols w:equalWidth="0" w:num="3">
            <w:col w:w="1120" w:space="340"/>
            <w:col w:w="8840" w:space="720"/>
            <w:col w:w="180"/>
          </w:cols>
          <w:pgMar w:left="340" w:top="360" w:right="359" w:bottom="1440" w:gutter="0" w:footer="0" w:header="0"/>
          <w:type w:val="continuous"/>
        </w:sectPr>
      </w:pPr>
    </w:p>
    <w:p>
      <w:pPr>
        <w:ind w:left="440"/>
        <w:spacing w:after="0"/>
        <w:tabs>
          <w:tab w:leader="none" w:pos="144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0</wp:posOffset>
            </wp:positionV>
            <wp:extent cx="20053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30" w:lineRule="exact"/>
        <w:rPr>
          <w:sz w:val="20"/>
          <w:szCs w:val="20"/>
          <w:color w:val="auto"/>
        </w:rPr>
      </w:pPr>
    </w:p>
    <w:p>
      <w:pPr>
        <w:ind w:left="440"/>
        <w:spacing w:after="0"/>
        <w:tabs>
          <w:tab w:leader="none" w:pos="144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u w:val="single" w:color="auto"/>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0</wp:posOffset>
            </wp:positionV>
            <wp:extent cx="983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82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75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2">
            <w:col w:w="10300" w:space="720"/>
            <w:col w:w="180"/>
          </w:cols>
          <w:pgMar w:left="340" w:top="360"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Boston Beer Company, Inc. and certain subsidiaries (the “Company”) are engaged in the business of selling alcohol beverages throughout the United States and in selected international markets, under the trademarks “The Boston Beer Company®”, “Twisted Tea Brewing Company®”, “Hard Seltzer Beverage Company”, “Angry Orchard® Cider Company”, “Dogfish Head® Craft Brewery”, “Dogfish Head Distilling Co.”, “Angel City® Brewing Company”, “Coney Island® Brewing Company”, "Green Rebel Brewing Co.", and "Truly Distilling Co.".</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Boston Beer produces alcohol beverages, including hard seltzer, flavored malt beverages, and hard cider at Company-owned breweries and its cidery and under contract arrangements at other brewery locations. The four primary Company-owned breweries are focused on production and research and development and include breweries located in Boston, Massachusetts (the “Boston Brewery”), Cincinnati, Ohio (the “Cincinnati Brewery”), Milton, Delaware (the “Milton Brewery”) and Breinigsville, Pennsylvania (the “Pennsylvania Brewery”). These breweries, with the exception of the Pennsylvania Brewery, have tap rooms for retail sales on site. The Company produces a small but growing amount of distilled spirits and spirits based ready to drink beverages (“spirits RTDs”) at the Milton Brewery and other contract brewery locations.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also owns four smaller local breweries that are mainly focused on brewing and packaging beers for retail sales on site at tap rooms and gift shops, restaurant activities, developing innovative and traditional beers and in some cases, supporting draft and package accounts in the respective local market areas. These local breweries are located in Boston, Massachusetts (the “Samuel Adams Boston Downtown Tap Room”), Rehoboth, Delaware (“Dogfish Head Brewings and Eats”), Los Angeles, California (the “Angel City Brewery" and "Truly LA”), and Brooklyn, New York (the “Coney Island Brewery”).</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addition, the Company owns an apple orchard and cidery located in Walden, New York (the “Orchard” and “Cidery”), a restaurant in Rehoboth, Delaware (“Chesapeake &amp; Maine”) and a boutique inn in Lewes, Delaware (the “Dogfish Inn”).</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sells its beverages in various packages. Sleek cans, standard cans and bottles are sold primarily for off-premise retailers, which include grocery stores, club stores, convenience stores, liquor stores, and other traditional and e-commerce retail outlets. Kegs are sold primarily for on-premise retailers, which include bars, restaurants, stadiums and other venues.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principal executive offices are located at One Design Center Place, Suite 850, Boston, Massachusetts 02210, and its telephone number is (617) 368-5000.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Most of the Company’s products are sold through off-premise retailers and the Company estimates the size of its markets using third-party metrics from measured off-premise channels, which is standard in the beer industry.</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was founded in 1984 as a craft brewery and continues to compete in the craft beer category primarily with its Samuel Adams and Dogfish Head brands. The Company has a strong history of innovation and has internally developed brands outside of the craft beer category that are among the leaders in their respective categories. These brands include Twisted Tea, a flavored malt beverage introduced in 2001, Angry Orchard, a hard cider introduced in 2009, and Truly Hard Seltzer, a hard seltzer introduced in 2016.</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hard seltzers, beers, and hard ciders are primarily positioned in the market for High End beer occasions. The Company defines “High End” beers as including hard seltzer and flavored malt beverages, craft beers, domestic specialty beers, and most imported beer and hard cider that are called for by a High End beer drinker occasion. High End beers and beer occasions (the “High End category”) are determined by higher price, quality, image and taste, as compared with regular domestic beers. Boston Beer is one of the largest suppliers in the High End category in the United States.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 w:name="page4"/>
    <w:bookmarkEnd w:id="3"/>
    <w:p>
      <w:pPr>
        <w:ind w:right="240"/>
        <w:spacing w:after="0" w:line="258" w:lineRule="auto"/>
        <w:rPr>
          <w:sz w:val="20"/>
          <w:szCs w:val="20"/>
          <w:color w:val="auto"/>
        </w:rPr>
      </w:pPr>
      <w:r>
        <w:rPr>
          <w:rFonts w:ascii="Times New Roman" w:cs="Times New Roman" w:eastAsia="Times New Roman" w:hAnsi="Times New Roman"/>
          <w:sz w:val="18"/>
          <w:szCs w:val="18"/>
          <w:color w:val="auto"/>
        </w:rPr>
        <w:t>The domestic beer industry, excluding the High End category, has experienced a decline in shipment volume over the last twenty years. The Company believes that this decline is due to declining alcohol consumption per person in the population, drinkers trading up to drink high-quality, more flavorful beers, health and wellness trends and increased competition from wine and spirits companies. The Company estimates that the High End full year percentage volume changes in 2020, 2021 and 2022 were approximately 25%, 2% ,and (3%), respectively. These trends are above the United States beer market volume changes in 2020, 2021 and 2022, of 10%, (5%), and (5%), respectively.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Before Prohibition, the United States beer industry consisted of hundreds of small breweries that brewed full-flavored beers. After the end of Prohibition, most domestic brewers shifted production to less flavorful, lighter beers, which use lower-cost ingredients, and can be mass-produced to take advantage of economies of scale in production. This shift towards mass-produced beers coincided with consolidation in the beer industry that by 2008 ultimately resulted in the two largest breweries, Anheuser-Busch InBev (“AB InBev”) and Molson Coors Beverage Company (“Molson Coors”), comprising over 90% of all United States domestic beer production. At the same time, during the last twenty years the number of breweries in the United States has increased significantly from approximately 1,500 in 2009 to over 9,000 in 2022. Most of these breweries are craft (small and independent) brewers. The rise of craft breweries along with the growth of imported beers, hard seltzers and flavored malt beverages has resulted in a decline in the volume of the two largest breweries who now comprise approximately 77% of all United States domestic beer production, excluding imports.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and the alcohol industry, at large, is forecasting significant growth in a newly defined category named “Beyond Beer” that includes hard seltzer, flavored malt beverages, cider, spirits RTDs and other emerging beverages. The Company believes that the Beyond Beer category in dollars grew approximately 14% in 2021 and 4% in 2022 and is now approximately $9 billion at retail and 20% of the combined United States beer market and Beyond Beer category. The Company has approximately a 25% market share of the Beyond Beer category which is the second largest in the category.</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Over 84% of the Company’s 2022 volume is in the Beyond Beer category. The Company believes that the Beyond Beer category is positioned to increase market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Company’s Business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business goal is to become the leading supplier in the High End and Beyond Beer categories by creating and offering high quality alcohol beverages. With the support of a large, well-trained sales organization and world-class brewers, the Company strives to achieve this goal by offering consumer-responsive beverages, increasing brand availability and awareness through traditional media and digital advertising, point-of-sale, promotional programs, and drinker education and engagement.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beverages are sold by the Company’s sales force to the same types of customers and drinkers in similar size quantities, at similar price points and through substantially the same channels of distribution. These beverages are manufactured using similar production processes, have comparable alcohol content and generally fall within the same regulatory environment.</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Company’s strategy is to create and offer a world-class variety of traditional and innovative alcohol beverages. The Company’s primary brands which include the Truly Hard Seltzer, Twisted Tea, Samuel Adams, Angry Orchard and Dogfish Head brands are all available nationally. In 2016, the Company began national distribution of the Truly Hard Seltzer brand and it maintained its place as one of the leading brands in the hard seltzer category in 2022. The Twisted Tea brand family has grown each year since the product was first introduced in 2001 and has established a loyal drinker following and has become the largest selling flavored malt beverage brand. The Samuel Adams brand began in 1984 and the brand is recognized as one of the largest and most respected craft beer brands with a particular focus on lagers and seasonal beers. The Angry Orchard brand was launched in 2011 and since 2013, Angry Orchard has been the largest selling hard cider in the United States. The Dogfish Head brand began in 1995 and is recognized as one of the most innovative and respected craft beer and spirits brand with a particular focus on India Pale Ales (“IPAs”), sour beers and spirits RTDs. In addition to its primary brands the Company has two local brewery brands, Angel City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Coney Island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that primarily focus on tap rooms and local and regional distribution.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the market for spirits RTDs through its Dogfish Head brand in 2021 followed by its Truly Vodka Seltzer brand in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right="80"/>
        <w:spacing w:after="0" w:line="258" w:lineRule="auto"/>
        <w:rPr>
          <w:sz w:val="20"/>
          <w:szCs w:val="20"/>
          <w:color w:val="auto"/>
        </w:rPr>
      </w:pPr>
      <w:r>
        <w:rPr>
          <w:rFonts w:ascii="Times New Roman" w:cs="Times New Roman" w:eastAsia="Times New Roman" w:hAnsi="Times New Roman"/>
          <w:sz w:val="18"/>
          <w:szCs w:val="18"/>
          <w:color w:val="auto"/>
        </w:rPr>
        <w:t>In 2021, the Company entered separate licensing agreements with PepsiCo, Inc. (“Pepsi”) and Jim Beam Brands Co. (“Jim Beam”) to develop, market and sell alcohol beverages. During 2022, the Company sold products under the brand names ‘Hard Mountain Dew’ under the Pepsi agreements and ‘Sauza Agave Cocktails’ and ‘Jim Beam Kentucky Coolers’ under the Jim Beam agreements. Also, the Company collected royalties under the Jim Beam agreement on Jim Beam shipments of ‘Truly Vodka’ and ‘Twisted Tea Whiskey’. While the Company believes these agreements represent strategic opportunities to increase volume in the longer term, these combined new brands represented less than 3% of net revenue in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Truly Hard Seltzer</w:t>
      </w:r>
    </w:p>
    <w:p>
      <w:pPr>
        <w:spacing w:after="0" w:line="229"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The Company’s Truly Hard Seltzer brand generally competes within the hard seltzer category that has similar characteristics to the beer industry for reporting and regulatory purposes. This category grew rapidly in the early stages of its development over the last 7 years and is highly competitive and includes large international and domestic competitors as well as many smaller national, regional and local craft breweries and hard seltzer companies. Beginning in the latter half of 2021 and continuing into 2022, the category saw sharp declines in volume. The Company believes that the hard seltzer category comprises approximately 7% of United States beer consumption and that the volume comprising the hard seltzer category grew approximately 13% in 2021, while it declined 15% in 2022. This relatively sudden and sharp decline has had a significant impact on the Company's business.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offers over thirty styles of hard seltzer in the Truly Hard Seltzer brand family, most of which are available nationally in the United States. The majority of the promotional and distribution efforts for the Truly brand family are focused on sleek can variety packages which include Truly Lemonade Seltzer Mix Pack, Truly Berry Mix Pack, Truly Tropical Mix Pack, Truly Citrus Mix Pack, Truly Fruit Punch Mix Pack and Truly Margarita Style Mix Pack.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Twisted Tea</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Twisted Tea products generally compete within the flavored malt beverage (“FMB”) category of the beer industry (and the Company’s Twisted Tea products are included in generic references to the Company’s “beers” in this report). The Company believes that the FMB category comprises approximately 6% of United States beer consumption and that the volume comprising the FMB category grew approximately 3% in 2021 and 9% in 2022. This category is highly competitive due to, among other factors, the presence of large brewers and spirits companies in the category and a fast pace of product innovation.</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offers over ten styles of flavored malt beverages in the Twisted Tea brand family, most of which are available nationally in both the United States and Canada. The majority of the promotional and distribution efforts for the Twisted Tea brand family are focused on Twisted Tea Original, Twisted Tea Half and Half and variety packs in various standard can packages.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Samuel Adams and Dogfish Head Beers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Samuel Adams and Dogfish Head beers generally compete within the craft beer and domestic specialty beer category. The Company believes that the category comprises approximately 6% of United States beer consumption and that the volume comprising the category declined approximately 6% in 2021 and 9% in 2022. This category is highly competitive and includes large international and domestic competitors, as well as many smaller national, regional and local craft breweries.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over twenty styles of beer in the Samuel Adams brand family and the brand is recognized for helping launch the craft beer industry.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Adams Boston Lager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Company’s flagship beer that was introduced in 1984.</w:t>
      </w:r>
    </w:p>
    <w:p>
      <w:pPr>
        <w:spacing w:after="0" w:line="15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Samuel Adams Seasonal program of beers was originally introduced in the late 1980’s and includes various limited availability seasonal beers and variety packs.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majority of the promotional and distribution efforts for the Samuel Adams brand family are focused on Samuel Adams Boston Lager, the Samuel Adams Seasonal program, Samuel Adams Wicked Hazy IPA, Samuel Adams Wicked Easy and Samuel Adams Just the Haze, a non-alcoholic hazy IPA that was released in early 2021. These beers are available nationally in various bottle, standard can, and keg packages.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Samuel Adams brand also releases a variety of specialty package and draft beers brewed in limited quantities at its Samuel Adams Downtown Boston Tap Room, Samuel Adams Boston Brewery Tap Room, and Samuel Adams Cincinnati Brewery Tap Room.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 w:name="page6"/>
    <w:bookmarkEnd w:id="5"/>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offers over twenty-five styles of beer in the Dogfish Head brand family. The Dogfish Head brand began in 1995 and it is recognized as an early leader in bringing culinary innovations to the U.S. craft beer market. The majority of the promotional and distribution efforts for the Dogfish Head brand family are focused on continually-hopped Dogfish Head 60 Minute and 90 Minute IPAs, along with seasonal variety packs. These styles are offered in various can, bottle and keg packages. The Dogfish Head brand also releases a variety of specialty package and draft beers brewed in limited quantities at its Dogfish Head Brewings and Eats and Milton tasting room locations. The Company does not own distribution rights to the Dogfish Head beer and distilled spirits brands outside of the United States and Canada.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Angry Orchard Hard Cider</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Angry Orchard ciders compete within the hard cider category that has similar characteristics to the beer industry. The Company believes that the hard cider category comprises approximately 0.6% of United States beer consumption and that the volume comprising the category declined 8% in 2021 and 10% in 2022. This category is small and highly competitive and the competition consists mostly of many small regional and local hard cider companies.</w:t>
      </w:r>
    </w:p>
    <w:p>
      <w:pPr>
        <w:spacing w:after="0" w:line="20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 offers over ten styles of hard cider in the Angry Orchard brand family, most of which are available nationally in the United States in various bottle, can, and keg packages. The majority of the promotional and distribution efforts for the Angry Orchard brand family are focused on Angry Orchard Crisp Apple. The Angry Orchard brand also releases a variety of specialty package and draft ciders fermented in limited quantities at its Company-owned Orchard and Cidery in Walden, New York.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Dogfish Head Spirit RTDs and Truly Vodka Seltzer</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Dogfish Head Distilling Canned Cocktails brand and Truly Vodka Seltzer brand compete in the spirits RTD category. The Company believes that the spirits RTD category comprises less than 8% of the United States Beyond Beer market and that the dollar value comprising the category increased 118% and 78% in 2021 and 2022, respectively. This category is small and highly competitive and includes large international and domestic competitors, as well as many small regional and local craft distilling companies.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Dogfish Head brand began distilling spirits in 2002 and is considered one of the original craft distilleries. The Company offers over 15 styles of distilled spirits under the Dogfish Head brand in small quantities that are sold in limited markets. In 2021, the Company entered the market for spirits RTDs through its Dogfish Head brand.</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currently offers five styles of spirits RTDs under the Dogfish Head brand that are available nationally in sleek can and sleek can variety packages.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fourth quarter of 2022, the Company introduced its Truly Vodka Seltzer brand. The Company currently offers four styles of spirits RTDs under the Truly Vodka Seltzer brand that are available nationally in sleek can and sleek can variety packages. The Company expects to increase the number of flavors and variety packages of Truly Vodka Seltzer during the first half of 2023.</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the performance of its beverages and the rationalization of its product lines as a whole. Periodically, the Company discontinues certain styles and packages. For example, during 2022 the company discontinued its Bevy Long Drink brand and during the first half of 2023 the Company is planning to discontinue Truly Iced Tea Variety Pack. Certain styles or brands put on hiatus or discontinued in previous years may be produced for the Company’s variety packs or reintroduced.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 proven track record of innovation and building new brands and is committed to maintaining its position as a leading innovator. To that end, the Company continually tests new alcohol beverages and may sell them under various brand labels for evaluation of drinker interest. The Boston Brewery, the Milton Brewery and the Orchard, along with its other larger breweries and brewery tap rooms spend significant time ideating, testing and developing alcohol beverages for the Company’s potential future commercial development and evaluating ingredients and process improvements for existing beverages.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most significant innovations in 2022 were the launches of its Truly Margarita Variety Pack and Truly Vodka Seltzer brand, as well as its new Hard Mountain Dew and Sauza Agave Cocktails brands.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plans for several new product introductions in 2023, including Jim Beam Kentucky Coolers during the first quarter of 2023.</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2021, the Company announced that it was establishing a subsidiary to serve as a dedicated research and innovation hub in the federally regulated market of Canada focused on non-alcoholic cannabis beverages. This new subsidiary enables the Company to develop and pilot unique cannabis beverages, while cannabis regulations continue to evolve in the United States and worldwide. The Company began selling limited quantities of cannabis beverage products in Canada during the second half of 2022. The Company currently does not have plans to produce or sell any cannabis products outside of Canada.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Distribution, and Marketing</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dictated by the legal and regulatory environment, most all the Company’s sales are made to a network of over 400 wholesalers in the United States and to a network of foreign wholesalers, importers or other agencies (collectively referred to as “Distributors”). These Distributors, in turn, sell the products to retailers, such as grocery stores, club stores, convenience stores, liquor stores, bars, restaurants, stadiums and other traditional and e-commerce retail outlets, where the products are sold to drinkers, and in some limited circumstances to parties who act as sub-distributors. The Company sells its products predominantly in the United States, but also has markets in Canada, Europe, Israel, Australia, New Zealand, the Caribbean, the Pacific Rim, Mexico, and Central and South America.</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 few exceptions, the Company’s products are not the primary brands in its Distributors’ portfolios. Thus, the Company, in addition to competing with other beverages for a share of the drinker’s business, competes with other beverage companies for a share of the Distributor’s attention, time and selling efforts. During 2022, the Company’s largest individual Distributor accounted for approximately 3% of the Company’s gross sales. The top three individual Distributors collectively accounted for approximately 7% of the Company’s gross sales. In some states and countries, the Company’s contracts with its Distributors may be affected by laws that restrict the enforcement of some contract terms, especially those related to the Company’s right to terminate the relationship.</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most of the Company’s products were shipped within days of packaging, resulting in limited finished goods at the Company’s breweries and third-party production facilities. The Company received most of its orders from Distributors in the first week of a month for products to be shipped the following month. Distributors would carry three to five weeks of packaged inventory and three to four weeks of draft inventory and the Company was able to meet Distributor orders with limited out of stocks.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Beginning in 2019, primarily as a result of higher than anticipated demand for the Truly Hard Seltzer and Twisted Tea brands and supply chain constraints, the Company began to have out of stocks and at times was not able to fully meet Distributor demand, particularly during the peak summer months. In response to these out of stocks, the Company began working with certain Distributors on plans to increase Distributor inventories of packaged inventory of Truly Hard Seltzer and Twisted Tea brands to ensure that drinker demand could be met. Beginning in the second half of 2021 as the hard seltzer category slowed significantly more than industry expectations, both Company inventory and Distributors inventory in terms of days on hand increased above historical levels. In 2021, this resulted in write-offs of excess inventory at the Company’s breweries and warehouses and lower orders as distributors aggressively reduced their inventory levels.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2022, the Company produced and sourced materials for Truly Hard seltzer and some of its newer brands at the upper end of its projections to avoid out of stocks at retail. This led to improved service levels and significantly fewer out of stocks but resulted in additional write-offs of excess inventory at the Company’s breweries and warehouses. The Company continues to work on its supply chain transformation initiatives to better manage inventory and reduce write-offs of excess inventory.</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believes distributor inventory as of December 31, 2022 averaged approximately 5 weeks on hand and was at an appropriate overall level for each of its brands. The Company expects Distributors will keep inventory levels for the remainder of the year between four to five weeks on hand.</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Boston Beer has a sales force of over 500 people, which the Company believes is one of the largest in the domestic beer industry. The Company’s sales organization is designed to develop and strengthen relations at the Distributor, retailer and drinker levels by providing educational and promotional programs. The Company’s sales force has a high level of product knowledge and is trained in the details of the brewing and selling processes. Sales representatives typically carry samples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beverages, certain ingredients, and other promotional materials to educate wholesale and retail buyers about the quality and taste of the Company’s products. The Company has developed strong relationships with its Distributors and retailers, many of which have benefited from the Company’s premium pricing strategy and growth.</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engages in media campaigns — including television, digital and social media, radio, billboards and print. These media efforts are complemented by participation in sponsorships, which currently include the United States Soccer Federation, the National Hockey League, the Boston Red Sox, and other professional sports teams, the Boston Marathon, local concert and festivals, and industry-related trade shows and promotional events at local establishments, to the extent permitted under local laws and regulations. The Company uses a wide array of point-of-sale items (banners, neon signs, umbrellas, glassware, display pieces, signs and menu stands) designed to stimulate impulse sales and continued awareness.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Packaging and Ingredients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Historically, the Company has been successful in obtaining sufficient quantities of the packaging materials and ingredients used in the production of its beverages. During 2020 and 2021, the Company experienced some supply chain constraints in packaging materials, primarily cans, that impacted the Company’s production schedules and increased can costs as a result of using a more expensive can supplier. The Company enters into limited-term supply agreements with certain vendors in order to receive preferential pricing. The Company maintains competitive sources for most all packaging materials and ingredients. In 2022, certain flavorings, crowns and labels were each supplied by a single source; however, the Company believes that, given time to adjust, alternative suppliers are available. The most significant packaging and ingredients include:</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Cans</w:t>
      </w:r>
      <w:r>
        <w:rPr>
          <w:rFonts w:ascii="Times New Roman" w:cs="Times New Roman" w:eastAsia="Times New Roman" w:hAnsi="Times New Roman"/>
          <w:sz w:val="18"/>
          <w:szCs w:val="18"/>
          <w:color w:val="auto"/>
        </w:rPr>
        <w:t>. Truly Hard Seltzer brand beverages are primarily packaged in sleek cans and Twisted Tea brand beverages are primarily packaged in standard cans.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2022, over 78% of the Company’s total volume was packaged in cans and the Company expects that percentage to increase further in 2023. The demand for cans in the beverage industry significantly increased during 2020 and 2021 and there was a shortage of capacity, as can manufacturers adjusted their supply chains to keep up with the increased demand which had accelerated beginning in 2020 as alcohol consumption shifted from on-premise to off-premise. In 2021, as the Truly brand family and the Twisted brand families grew, the Company experienced supply shortages and these supply shortages impacted the Company’s production schedules and increased can costs as a result of using a more expensive can supplier. During 2022, the Company did not have any significant disruptions in its can supply and the Company currently believes that it will have a sufficient supply of cans in 2023.</w:t>
      </w:r>
    </w:p>
    <w:p>
      <w:pPr>
        <w:spacing w:after="0" w:line="18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Flavorings and Fruit Juice. </w:t>
      </w:r>
      <w:r>
        <w:rPr>
          <w:rFonts w:ascii="Times New Roman" w:cs="Times New Roman" w:eastAsia="Times New Roman" w:hAnsi="Times New Roman"/>
          <w:sz w:val="18"/>
          <w:szCs w:val="18"/>
          <w:color w:val="auto"/>
        </w:rPr>
        <w:t>The Company’s beverages include many unique and proprietary flavors and combinations of flavors and some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flavorings are single sourced. Truly Hard Seltzer and Twisted Tea brand beverages are particularly reliant on the use of flavorings and a variety of flavors as part of their appeal to drinkers. During the second half of 2022, the Company reformulated Truly to include fruit juice and other natural flavors. The Company is working closely with various flavoring and fruit juice suppliers to ensure it has an adequate supply and currently believes that it will have sufficient supply of flavorings and fruit juice in 2023.</w:t>
      </w:r>
    </w:p>
    <w:p>
      <w:pPr>
        <w:spacing w:after="0" w:line="17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Cardboard</w:t>
      </w:r>
      <w:r>
        <w:rPr>
          <w:rFonts w:ascii="Times New Roman" w:cs="Times New Roman" w:eastAsia="Times New Roman" w:hAnsi="Times New Roman"/>
          <w:sz w:val="18"/>
          <w:szCs w:val="18"/>
          <w:color w:val="auto"/>
        </w:rPr>
        <w:t>. The Company’s beverages are packaged primarily in cardboard wraps, carriers and cardboard shipping cases. During 2020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a disruption to its supply of cardboard wraps which impacted its production schedules. Since 2020, the Company has not had any significant disruptions in its supply of cardboard and the Company currently believes that it will have a sufficient supply of cardboard wraps in 2023.</w:t>
      </w:r>
    </w:p>
    <w:p>
      <w:pPr>
        <w:spacing w:after="0" w:line="1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Glass. </w:t>
      </w:r>
      <w:r>
        <w:rPr>
          <w:rFonts w:ascii="Times New Roman" w:cs="Times New Roman" w:eastAsia="Times New Roman" w:hAnsi="Times New Roman"/>
          <w:sz w:val="18"/>
          <w:szCs w:val="18"/>
          <w:color w:val="auto"/>
        </w:rPr>
        <w:t>Many of the Company’s beverages are sold in glass bottles. Due to the COVID-19 pandemic during 2020 and 2021, the demand for glass bottles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beverage industry significantly increased and there was a shortage of capacity, as glass manufacturers needed to adjust their supply chains to keep up with the increased demand. The most recent disruption was during the fourth quarter of 2020, which impacted production schedules. Since 2020, the Company has not had any significant disruptions in its supply of glass and the Company currently believes that it will have a sufficient supply of glass in 2023.</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Malt. </w:t>
      </w:r>
      <w:r>
        <w:rPr>
          <w:rFonts w:ascii="Times New Roman" w:cs="Times New Roman" w:eastAsia="Times New Roman" w:hAnsi="Times New Roman"/>
          <w:sz w:val="18"/>
          <w:szCs w:val="18"/>
          <w:color w:val="auto"/>
        </w:rPr>
        <w:t>The two-row varieties of barley used in the Company’s malt are mainly grown in the United States and Canada. The 2022 North American barley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crop, which will support 2023 malt needs, was generally consistent with historical long-term averages with regard to both quality and quantity. The Company purchased most of the malt used in the production of its beers from four suppliers during 2022. The Company currently has a multi-year contract with one of its suppliers and a one-year agreement with another supplier. The Company also believes that there are other malt suppliers available that are capable of supplying its needs.</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Hops. </w:t>
      </w:r>
      <w:r>
        <w:rPr>
          <w:rFonts w:ascii="Times New Roman" w:cs="Times New Roman" w:eastAsia="Times New Roman" w:hAnsi="Times New Roman"/>
          <w:sz w:val="18"/>
          <w:szCs w:val="18"/>
          <w:color w:val="auto"/>
        </w:rPr>
        <w:t>The Company uses Noble hop varieties from Europe for many of its Samuel Adams beers and also uses hops grown in other areas of Europe,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and New Zealand. Noble hops are grown in several specific areas in Germany and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Czech Republic and are recognized for growing hops with superior taste and aroma properties. The Company uses hops in various formats including T-90 hop pellets, T-45 hop pellets and CO2 Extract. The Company stores its hops in multiple cold storage warehouses to minimize the impact of a catastrophe at a single site.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enters into purchase commitments with nine primary hop dealers and attempts to maintain a one to two-year supply of essential hop varieties on-hand in order to limit the risk of an unexpected reduction in supply and procures hops needed for new beers, based on its best estimate of likely short-term demand. The Company classifies hops inventory in excess of two years of forecasted usage as other long term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Variations to usage plans could result in hops shortages for specific beers or an excess of certain hops varieties.</w:t>
      </w:r>
    </w:p>
    <w:p>
      <w:pPr>
        <w:spacing w:after="0" w:line="2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Yeast. </w:t>
      </w:r>
      <w:r>
        <w:rPr>
          <w:rFonts w:ascii="Times New Roman" w:cs="Times New Roman" w:eastAsia="Times New Roman" w:hAnsi="Times New Roman"/>
          <w:sz w:val="18"/>
          <w:szCs w:val="18"/>
          <w:color w:val="auto"/>
        </w:rPr>
        <w:t>The Company uses multiple yeast strains for production of its beverages. While some strains are commercially available, other strains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Since the proprietary strains cannot be replaced if destroyed, the Company protects these strains by storing multiple cultures of the same strain at different production locations and in several independent laboratories.</w:t>
      </w:r>
    </w:p>
    <w:p>
      <w:pPr>
        <w:spacing w:after="0" w:line="17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Apples. </w:t>
      </w:r>
      <w:r>
        <w:rPr>
          <w:rFonts w:ascii="Times New Roman" w:cs="Times New Roman" w:eastAsia="Times New Roman" w:hAnsi="Times New Roman"/>
          <w:sz w:val="18"/>
          <w:szCs w:val="18"/>
          <w:color w:val="auto"/>
        </w:rPr>
        <w:t>The Company uses special varieties and origins of apples in its hard ciders that it believes are important for their flavor profiles. In 2022,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apples were sourced primarily from Europe and the United States and include bittersweet apples from France and culinary apples from Italy, Washington State and New York. Purchases and commitments are denominated in Euros for European apples and US Dollars for United States apples. There is limited availability of some of these apple varieties, and many outside factors, including weather conditions, growers rotating from apples to other crops, competitor demand, government regulation and legislation affecting agriculture could affect both price and supply.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employs a quality assurance team and brewmasters to monitor the Company’s brewing operations and control the production of its beverages both at Company-owned breweries and at the third-party production facilities at which the Company’s products are brewed, fermented or distilled. Extensive tests, tastings and evaluations are typically required to ensure that each batch of the Company’s beverages conforms to the Company’s standards. The Company has on-site quality control labs at each of the Company-owned breweries and supports the smaller tap rooms and local breweries with additional centralized lab services.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With the exception of certain specialty and distilled products, the Company includes a clearly legible “freshness” date on every bottle, can and keg of its beverages, in order to ensure that its drinkers enjoy only the freshest products. Boston Beer was the first American brewer to use this practice.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Strategy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continues to pursue a production strategy that includes production at breweries owned by the Company and breweries and packaging facilities owned by others. The Company made capital investments in 2022 of approximately $90.6 million, most of which represented investments in these breweries. These investments were made to increase production, drive efficiencies and cost reductions and support product innovation. Based on its current estimates of future volumes and mix, the Company expects to invest between $100 million and $140 million in 2023 to meet those estimates. Because actual capital investments are highly dependent on meeting demand, the actual amount spent may well be significantly different from the Company’s current expectations.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Pennsylvania Brewery, the Cincinnati Brewery and the Milton Brewery produced most of the Company’s shipment volume from breweries owned by the Company during 2022. The Pennsylvania Brewery is the Company’s largest brewery.</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Production and retail activities at the Company's local breweries and tap rooms are mainly for brewing and packaging beers for retail sales on site at tap rooms and gift shops, restaurant activities, developing innovative and traditional beers and in some cases supporting draft and package accounts in the respective local market areas.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Cidery’s production is mainly for developing new types of innovative hard ciders and fermenting and packaging ciders for retail sales on site at the Cidery and supporting draft and package accounts in the local market area.</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December 25, 2021, the Company brewed, fermented, and packaged approximately 65% and 56%, respectively, of its volume at Company-owned breweries. In the normal course of its business, the Company has historically entered into various production arrangements with other brewing companies. Pursuant to these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arrangements, the Company generally supplies raw materials and packaging to those brewing companies and incurs conversion fees for labor at the time the liquid is produced and packaged. The Company has made up-front payments that were used for capital improvements at these third-party production facilities that it expenses over the period of the contracts.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currently has a brewing and packaging services agreement with subsidiaries of City Brewing Company, LLC (“City Brewing”). During 2022 and 2021, City Brewing supplied approximately 26% and 32%, respectively, of the Company’s annual shipment volume, respectively. In accordance with the brewing and packaging services agreement, the Company has paid to City Brewing $113.4 million for capital improvements at City Brewing facilities and other pre-payments. During 2021, the Company amended its agreement with City Brewing to ensure access to capacity at a new location and continued access at certain existing locations. The agreement includes a minimum capacity availability commitment by City Brewing and the Company is obligated to meet annual minimum volume commitments and is subject to contractual shortfall fees, if these annual minimum volume commitments are not met. The Company has the contractual right to extend its agreement with City Brewing beyond the December 31, 2024 termination date on an annual basis through December 31, 2035.</w:t>
      </w:r>
    </w:p>
    <w:p>
      <w:pPr>
        <w:spacing w:after="0" w:line="19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currently has a production agreement with Rauch North America (“Rauch”). The agreement includes a minimum capacity availability commitment by Rauch and the Company is obligated to meet annual minimum volume commitments and is subject to contractual shortfall fees, if these annual minimum volume commitments are not met. Production under the Rauch agreement commenced in early 2022. The initial term of the agreement expires December 31, 2031 with provisions to extend.</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current production volume projections, the Company believes that it will fall short of its future annual volume commitments at certain third-party production facilities, including those that are part of the agreements described above, and will incur shortfall fees. The Company expenses the shortfall fees during the contractual period when such fees are incurred as a component of cost of goods sold. During 2022, the Company incurred $3.0 million in shortfall fees. As of December 31, 2022, if volume for the remaining term of the production arrangements was zero, the contractual shortfall fees, with advance notice as specified in the related contractual agreements, would total approximately $127 million over the duration of the contracts which have expiration dates through December 31, 2031. At current volume projections the Company anticipates that it will recognize approximately $72 million of shortfall fees and expects to record those expenses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Expected Shortfall Fees to be Incurred</w:t>
            </w:r>
          </w:p>
        </w:tc>
        <w:tc>
          <w:tcPr>
            <w:tcW w:w="10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r>
      <w:tr>
        <w:trPr>
          <w:trHeight w:val="17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5"/>
                <w:szCs w:val="15"/>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shd w:val="clear" w:color="auto" w:fill="CFF0FC"/>
          </w:tcPr>
          <w:p>
            <w:pPr>
              <w:spacing w:after="0"/>
              <w:rPr>
                <w:sz w:val="15"/>
                <w:szCs w:val="15"/>
                <w:color w:val="auto"/>
              </w:rPr>
            </w:pP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tcPr>
          <w:p>
            <w:pPr>
              <w:spacing w:after="0"/>
              <w:rPr>
                <w:sz w:val="15"/>
                <w:szCs w:val="15"/>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shd w:val="clear" w:color="auto" w:fill="CFF0FC"/>
          </w:tcPr>
          <w:p>
            <w:pPr>
              <w:spacing w:after="0"/>
              <w:rPr>
                <w:sz w:val="15"/>
                <w:szCs w:val="15"/>
                <w:color w:val="auto"/>
              </w:rPr>
            </w:pP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r>
      <w:tr>
        <w:trPr>
          <w:trHeight w:val="209"/>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shortfall fees expected to be incurred</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currently expects that the percentage of total production at breweries and packaging facilities owned by others will be approximately 30% in 2023. The Company selects breweries and packaging facilities owned by others with one or more of: (i) sleek can packaging and automated variety packaging capability and capacity; (ii) first-rate quality control capabilities throughout the process; and (iii) the capability of utilizing traditional brewing, fermenting and finishing methods. Under its brewing and packaging arrangements with third parties, the Company is charged a service fee based on units produced at each of the facilities.</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international business is supplied by breweries owned by the Company, under third-party production and packaging agreements, and production under license at international locations.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While the Company believes that it has alternatives available to it, in the event that production at any of its current locations is interrupted, severe interruptions at the Pennsylvania Brewery, Cincinnati Brewery, or City Brewing facilities would be most problematic, especially in seasonal peak periods. In addition, the Company may not be able to maintain its current economics, if interruptions were to occur, and could face significant delays in starting up replacement production locations. Potential interruptions at breweries include labor issues, governmental actions, quality issues, contractual disputes, machinery failures, operational shutdowns, or natural or other unavoidable catastrophes. The Company would work with available contract brewers to attempt to minimize any potential disruptions.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The Beer industry in the United States is highly competitive due to large domestic and international brewers and the increasing number of craft brewers and craft distilleries in this category who distribute similar products that have similar pricing and target drinkers.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two largest brewers in the United States, AB InBev and Molson Coors, participate actively in the High End and Beyond Beer categories, through numerous hard seltzers, flavored malt beverages, and spirit RTDs from existing beer brands or new brands, importing and distributing import brands, and with their own domestic specialty beers, either by developing new brands or by acquiring, in whole or part, existing brands. In addition, AB InBev’s High End Division and Molson Coors’ Tenth and Blake were formed as business units headquartered in the United States that are focused exclusively on competing in the High End and Beyond Beer categories. Imported beers, such as Corona®, Heineken®, Modelo Especial® and Stella Artois®, continue to compete aggressively in the United States and have gained market share over the last ten years. Heineken and Constellation Brands (owner of the United States Distribution rights to Corona and Modelo Especial) may have substantially greater financial resources, marketing strength and distribution networks than the Company.</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 recently in 2021 and into 2022, large non-alcoholic beverage companies including The Coca-Cola Company (“Coke"), Pepsi and Monster Beverage Corporation (“Monster”) have begun to enter these markets through licensing agreements with alcoholic beverage companies to develop alcohol versions of existing traditional non-alcohol brands. Coke has entered into agreements with Molson Coors to develop, market and sell Topo Chico brand Hard Seltzer and Simply Spiked Lemonade. Coke also announced agreements with Constellation Brands to develop, market and sell FRESCA™ Mixed and with Brown Forman to develop, market and sell Jack Daniel's® Tennessee Whiskey and Coca-Cola®™ Ready-to-Drink Cocktail. As previously discussed, the Company has entered into an agreement with Pepsi to develop, market and sell Hard Mountain Dew, to take advantage of this trend. Pepsi also entered an agreement in late 2022 with FIFCO USA, a New York based brewery, to develop, market and sell Lipton Hard Iced Tea which is planned to be launched during the first half of 2023. Lastly, Monster, acquired CaNarchy Craft Brewery Collective in early 2022 and has plans to launch the Beast Unleashed, a new brand of flavored malt beverages in early 2023.</w:t>
      </w:r>
    </w:p>
    <w:p>
      <w:pPr>
        <w:spacing w:after="0" w:line="18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Company’s Truly Hard Seltzer beverages compete primarily within the hard seltzer category of the beer industry. This category grew quickly from 2016 to 2021 and then declined in 2022. The hard seltzer category, is highly competitive and includes large international and domestic competitors. Hard seltzers are typically priced competitively with High End beers and may compete for drinkers with beer, wine, spirits, or FMBs. Some of these competitors include Mark Anthony Brands under the brand name “White Claw” "White Claw REFRSHR", "White Claw Surge." and “Mikes Hard Lemonade Seltzer”; ABInBev under “Bud Light Seltzer”, and “Michelob Ultra Organic Seltzer”, and Molson Coors under “Vizzy Hard Sparkling Water” and "Topo Chico". The Company expects additional entrants in the hard seltzer category during 2023 from both large and smaller international and domestic competitors.</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Truly brand, including both Truly Hard Seltzer and Truly Vodka Seltzer also compete against a subcategory of Spirits RTDs that the Company and the alcohol industry, at large categorize as Spirit Seltzer and Soda. The Spirit Seltzer and Soda sub-category generally consists of lower calorie and lower alcohol Spirits RTDs that are similar in flavor and taste to the hard seltzer category beverages but at a higher price. The leading brand in the Spirit Seltzer and Soda category is owned by E&amp;J Gallo Winery under the brand name "High Noon”. Several competitors have announced plans to launch, in the first quarter of 2023, new Spirit Seltzer and Soda brands including Mark Anthony under ‘White Claw Vodka Soda’ and ‘Rey Azul Tequila and Soda’, Molson Coors under ‘Topo Chico Spirited Can Cocktails’ and EJ Gallo Winery under ‘High Noon Tequila Seltzers’.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Twisted Tea beverages compete primarily within the FMB category of the beer industry. FMBs, such as Twisted Tea, Mike’s Hard Lemonade®, Smirnoff Ice®, Bud Light Lime®, Redd’s® Apple Ale, Seagrams Escapes® and Arnold Palmer Spiked, are flavored malt beverages that are typically priced competitively with High End beers. As noted earlier, this category is highly competitive due to, among other factors, the presence of large brewers and spirits companies in the category, the advertising of malt-based spirits brands in channels not available to the parent brands and a fast pace of product innovation.</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Samuel Adams and Dogfish Head beverages compete primarily within the craft beer and domestic specialty beer category of the beer industry. The Company expects competition and innovation among domestic craft brewers to remain strong, as the number of craft brewers continues to grow. The Company estimates there are over 9,000 breweries in operation, up from approximately 1,500 operating breweries in 2009. Most of these new breweries are craft (small and independent) brewers. Also, some existing craft breweries are building more capacity, adding additional local tap rooms, expanding geographically and adding more SKUs and styles.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recent years, there have been numerous announcements of acquisitions of or investments in craft brewers by larger breweries and private equity and other investors. The most significant acquisitions include Heineken’s acquisition of Lagunitas Brewing Company for approximately $1 billion and, AB InBev’s and Molson Coors purchase of multiple smaller craft breweries.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Angry Orchard product line competes within the hard cider category. As noted earlier, this category is small and highly competitive and the competitors include mostly small regional and local hard cider companies. Hard ciders are typically priced competitively with High End Beers and may compete for drinkers with beer, wine, spirits, or FMBs. Some of these competitors include "Bold Rock", "Ace" and "2 Towns".</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Company’s Dogfish Head Canned Cocktails compete in the spirits RTDs category. This category is small and highly competitive and includes large international and domestic competitors, as well as many small regional and local distilling companies. Spirits RTDs are typically priced above High End Beers and may compete for drinkers with beer, wine, spirits, or FMBs. As discussed above, spirits RTDs consist of the sub-category of Spirit Seltzer and Soda. Dogfish Head Canned Cocktails generally competes in the other sub-category of spirits RTDs named Spirits-based Canned Cocktails. Beverages in the Spirits-based Canned Cocktails sub-category generally have more flavor and higher alcohol than spirits RTDs in the sub-category of Spirit Seltzer and Soda. Some of these Spirits-based Canned Cocktails competitors include; ABInBev under the brand name "Cutwater" and Diageo under the brand name "Crown Royal".</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products also compete with other alcoholic beverages for drinker attention and consumption and the pace of innovation in the categories in which the Company competes is increasing. In recent years, wine and spirits have been competing more directly with beers. The Company monitors such activity and attempts to develop strategies which benefit from the drinker’s interest in trading up, in order to position its beverages competitively with wine and spirits.</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competes with other beer and alcoholic beverage companies within a three-tier distribution system. The Company competes for a share of the Distributor’s attention, time and selling efforts. At retail, the Company competes for traditional retail shelf, cold box and tap space, as well as e-commerce placement. From a drinker perspective, competition exists for brand acceptance and loyalty. The principal factors of competition in the market for High End beer and Beyond Beer occasions include product quality and taste, brand advertising and imagery, trade and drinker promotions, pricing, packaging and the development of innovative new products.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distributes its products through independent Distributors who also distribute competitors’ products. Certain brewers have contracts with their Distributors that impose requirements on the Distributors that are intended to maximize the Distributors’ attention, time and selling efforts on that brewer’s products. These contracts generally result in increased competition among brewers as the contracts may affect the manner in which a Distributor allocates selling effort and investment to the brands included in its portfolio. The Company closely monitors these and other trends in its Distributor network and works to develop programs and tactics intended to best position its products in the market.</w:t>
      </w:r>
    </w:p>
    <w:p>
      <w:pPr>
        <w:spacing w:after="0" w:line="18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has certain competitive advantages over other brewers and competitors, including a long history of awards for product quality, greater available resources and the ability to distribute and promote its products on a more cost-effective basis. Additionally, the Company believes it has competitive advantages over imported beers, including lower transportation costs, higher product quality, a lack of import charges and superior product freshness.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Taxation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alcoholic beverage industry is regulated by federal, state and local governments. These regulations govern the production, sale and distribution of alcoholic beverages, including permitting, licensing, marketing and advertising. To operate its production facilities, the Company must obtain and maintain numerous permits, licenses and approvals from various governmental agencies, including but not limited to, the Alcohol and Tobacco Tax and Trade Bureau (the “TTB”), the Food and Drug Administration, state alcohol regulatory agencies and state and federal environmental agencies.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Governmental entities may levy various taxes, license fees and other similar charges and may require bonds to ensure compliance with applicable laws and regulations. Beginning in 2018, as a result of the “Tax Cuts and Jobs Act”, the Company’s federal excise tax rate on hard seltzer and beer decreased from $18 to $16 per barrel on all barrels below 6 million barrels produced annually. The top tier rate on hard cider (with alcohol by volume of 8.5% or less) is $0.226 per gallon, on hard cider (with non-qualifying fermentable fruits) is $1.07 per gallon, on artificially carbonated wine (hard cider with high CO2 levels) is $3.30 per gallon, and on distilled spirits is $13.50 per proof gallon. States levy excise taxes at varying rates based on the type of beverage and alcohol content. Failure by the Company to comply with applicable federal, state or local laws and regulations could result in higher taxes, penalties, fees and suspension or revocation of permits,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ind w:right="120"/>
        <w:spacing w:after="0" w:line="266" w:lineRule="auto"/>
        <w:rPr>
          <w:sz w:val="20"/>
          <w:szCs w:val="20"/>
          <w:color w:val="auto"/>
        </w:rPr>
      </w:pPr>
      <w:r>
        <w:rPr>
          <w:rFonts w:ascii="Times New Roman" w:cs="Times New Roman" w:eastAsia="Times New Roman" w:hAnsi="Times New Roman"/>
          <w:sz w:val="18"/>
          <w:szCs w:val="18"/>
          <w:color w:val="auto"/>
        </w:rPr>
        <w:t>licenses or approvals. While there can be no assurance that any such regulatory action would not have a material adverse effect upon the Company or its operating results, the Company is not aware of any infraction affecting any of its licenses or permits that would materially impact its ability to continue its current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Company has obtained trademark registrations with the United States Patent and Trademark Office for over 400 trademarks, including Samuel Adams®, Sam Adams®, Twisted Tea®, Truly®, Truly Hard Seltzer®, Angry Orchard®, Dogfish Head®, Coney Island®, and Angel City Brewery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It also has a number of common law trademarks. Several Company trademarks are also registered or have registrations pending in various foreign countries. The Company regards its trademarks as having substantial value and as being an important factor in the marketing of its products. The Company is not aware of any trademark infringements that could materially affect its current business or any prior claim to the trademarks that would prevent the Company from using such trademarks in its business. The Company’s policy is to pursue registration of its marks whenever appropriate and to oppose infringements of its marks through available enforcement options.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 and Operating Considerations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variety of extensive and changing federal, state and local environmental and occupational health and safety laws, regulations and ordinances that govern activities or operations that may have adverse effects on human health or the environment. Environmental laws, regulations or ordinances may impose liability for the cost of remediation of, and for certain damages resulting from, sites of past releases of hazardous materials. The Company believes that it currently conducts, and in the past has conducted, its activities and operations in substantial compliance with applicable environmental laws, and believes that any costs arising from existing environmental laws will not have a material adverse effect on the Company’s financial condition or results of operations.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part of its efforts to be environmentally responsible, the Company has adopted a number of practices designed to improve recycling, waste reduction, and utilities consumption at its breweries.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has adopted various policies and procedures intended to ensure that its facilities meet occupational health and safety requirements. The Company believes that it currently is in compliance with applicable requirements and will continue to endeavor to remain in compliance. There can be no assurances, however, that new and more restrictive requirements might not be adopted, compliance with which might have a material, adverse financial effect on the Company and its operating results, or that such policies and procedures will be consistently followed and be sufficient to prevent serious accidents.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Among the Company’s key Environmental, Social, and Governance ("ESG") achievements in 2022 was the publication of its inaugural ESG Report entitled Setting the Course for the Future, which is available on the Company’s investor relations website at www.bostonbeer.com. While the Company is just starting its ESG journey, it has long believed in the importance of accurate and transparent reporting on the impact that the Company has on its people, the planet, and its communities. Going forward, the Company intends to share its progress regarding its ESG initiatives in its annual ESG Report, but the Company will continue to share select highlights in its 10-K and annual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2,679 coworkers, of which 156 were represented by unions or similar organizations. The Company’s Executive Leadership Team (“ELT”) is comprised of the Company's CEO and 7 of his direct reports who collectively have management responsibility for the Company's primary business areas, including but not limited to brewing, supply chain operations, sales, marketing, finance, and people and culture. The Company’s Board of Directors and the ELT believe that succession planning, talent management, culture, and diversity, equity, and inclusion are critical to the Company’s continued success.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Succession Planning and Talent Management</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regularly reviews talent development and succession plans for each of its functional areas to identify and develop a pipeline of talent to maintain business operations. The Company understands the potential costs and risks of bringing in an outside executive officer in today’s environment, and that businesses are often – but not always – more successful in promoting internal candidates. Accordingly, the Board of Directors and the ELT make efforts to identify potential successors for those positions long in advance of any potential positional vacancies, perform skills gap analyses for those internal candidates, and provide training and exposure on those gap areas to those candidates in order to develop better potential successors. The Board of Directors is primarily responsible for succession planning for the CEO, but also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3" w:name="page14"/>
    <w:bookmarkEnd w:id="13"/>
    <w:p>
      <w:pPr>
        <w:ind w:right="180"/>
        <w:spacing w:after="0" w:line="282" w:lineRule="auto"/>
        <w:rPr>
          <w:sz w:val="20"/>
          <w:szCs w:val="20"/>
          <w:color w:val="auto"/>
        </w:rPr>
      </w:pPr>
      <w:r>
        <w:rPr>
          <w:rFonts w:ascii="Times New Roman" w:cs="Times New Roman" w:eastAsia="Times New Roman" w:hAnsi="Times New Roman"/>
          <w:sz w:val="18"/>
          <w:szCs w:val="18"/>
          <w:color w:val="auto"/>
        </w:rPr>
        <w:t>participates in succession planning discussions for other executive officer positions. The Company believes that its culture, compensation structure, long-term equity program, and robust training and development program provide motivation for talented leaders to remain with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ELT discusses culture with its employees and the Board of Directors on a regular basis. The Company is continuously focused on developing an inclusive and respectful work environment, where all employees at every level should feel empowered to honestly “discuss the undiscussables” with other employees at any level, all the way up to the Chairman and the CEO, without fear of retribution or retaliation. The Chairman teaches this philosophy during orientation to all new employees, and each company-wide meeting has time set aside to discuss the undiscussables. Additionally, each year the Board meets with a set of key senior managers, without the ELT present, so that the Board may seek direct feedback on the Company, its practices, culture, and employee benefits and programs.</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also fosters a culture of ongoing training and education. Some examples of trainings provided to employees include New Employee Orientation, Respectful and Effective Communications, Leading the Boston Beer Company Way, Selling Skills, Negotiations, and Building Brands. Employees also receive beer and cider education training during New Employee Orientation. Then, after having been with the Company for one year, employees are encouraged to participate in further beer and cider education courses where they can train to be certified as industry experts in those areas. The Company believes that it has the most beer industry experts, called “Certified Cicerones,” in the beer industry.</w:t>
      </w:r>
    </w:p>
    <w:p>
      <w:pPr>
        <w:spacing w:after="0" w:line="183"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In October 2020, the Company rolled out a formal mentoring and leadership program to connect dozens of senior and junior employees across a range of backgrounds with the purpose of diversifying perspectives, building networks, developing capabilities, growing competencies, and cultivating leadership.</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also regularly conducts internal engagement surveys of its employee base to help ensure that it is maintaining its culture. In 2022, over 76% of employees participated in the survey, which resulted in high scores in response to the questions related to pride in working for the Company, believing in the Company’s values, the Company’s concern for employee safety, personal well-being, and diversity, confidence in the future of the Company, and pride in the Company’s handling of the COVID-19 pandemic.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an equal opportunity employer, the Company is committed to creating a diverse and fair-minded organization that recognizes and values differences - inclusive of race, color, sexual orientation, gender identity, religion, national origin, age, and mental/physical disability. The Company makes these efforts to reinforce a workplace that supports and uplifts coworkers to feel accepted, equal, and involved, and to increase diverse representation across our organization, which is critical to continued success. Over the past three years, the Company has taken numerous steps in furtherance of this goal.</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2022, the Company embarked on phase two of its multi-year phased Diversity, Equity, and Inclusion ("DEI") strategy focused on three aspirations to improve inclusivity in its workforce:</w:t>
      </w:r>
    </w:p>
    <w:p>
      <w:pPr>
        <w:spacing w:after="0" w:line="67" w:lineRule="exact"/>
        <w:rPr>
          <w:sz w:val="20"/>
          <w:szCs w:val="20"/>
          <w:color w:val="auto"/>
        </w:rPr>
      </w:pPr>
    </w:p>
    <w:p>
      <w:pPr>
        <w:ind w:left="760" w:right="44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platforms that focus on inclusivity. The Company seeks to strengthen its culture so coworkers are comfortable discussing cultural differences, curious about the people around them, and using their voices to create positive change.</w:t>
      </w:r>
    </w:p>
    <w:p>
      <w:pPr>
        <w:ind w:left="760" w:right="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metric driven practices. The Company seeks to create human-centered policies and practices so coworkers have equal rights, benefits, and support from peers and leaders in the workplace.</w:t>
      </w:r>
    </w:p>
    <w:p>
      <w:pPr>
        <w:ind w:left="760" w:right="240" w:hanging="378"/>
        <w:spacing w:after="0" w:line="26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hire diverse talent. The Company seeks to build a workforce that is representative of the communities its operates in, a sign that its hiring practices, policies, and culture have fostered an inclusive organization where all people want to stay and work.</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the Company undertook several initiatives and made accomplishments under those aspirations:</w:t>
      </w:r>
    </w:p>
    <w:p>
      <w:pPr>
        <w:spacing w:after="0" w:line="13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platforms that focus on inclusivity</w:t>
      </w:r>
    </w:p>
    <w:p>
      <w:pPr>
        <w:spacing w:after="0" w:line="27" w:lineRule="exact"/>
        <w:rPr>
          <w:sz w:val="20"/>
          <w:szCs w:val="20"/>
          <w:color w:val="auto"/>
        </w:rPr>
      </w:pPr>
    </w:p>
    <w:p>
      <w:pPr>
        <w:ind w:left="1500" w:hanging="369"/>
        <w:spacing w:after="0"/>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85% of leaders participate in a Crucial Conversations training by the end of 2022</w:t>
      </w:r>
    </w:p>
    <w:p>
      <w:pPr>
        <w:spacing w:after="0" w:line="9"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 96% of leaders completed the training by the end of 2022</w:t>
      </w:r>
    </w:p>
    <w:p>
      <w:pPr>
        <w:spacing w:after="0" w:line="9" w:lineRule="exact"/>
        <w:rPr>
          <w:rFonts w:ascii="Times New Roman" w:cs="Times New Roman" w:eastAsia="Times New Roman" w:hAnsi="Times New Roman"/>
          <w:sz w:val="18"/>
          <w:szCs w:val="18"/>
          <w:color w:val="auto"/>
        </w:rPr>
      </w:pPr>
    </w:p>
    <w:p>
      <w:pPr>
        <w:ind w:left="1500" w:right="260" w:hanging="369"/>
        <w:spacing w:after="0" w:line="260"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Creation of a DEI council made up of members of the Company's extended leadership team ("XLT") to support visibility, engagement, and accountability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ind w:left="2260" w:hanging="380"/>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 Council launched in July 2022 with 10 leaders representing all business functions within the Company.</w:t>
      </w:r>
    </w:p>
    <w:p>
      <w:pPr>
        <w:spacing w:after="0" w:line="27" w:lineRule="exact"/>
        <w:rPr>
          <w:sz w:val="20"/>
          <w:szCs w:val="20"/>
          <w:color w:val="auto"/>
        </w:rPr>
      </w:pPr>
    </w:p>
    <w:p>
      <w:pPr>
        <w:ind w:left="2260" w:right="60"/>
        <w:spacing w:after="0" w:line="250" w:lineRule="auto"/>
        <w:rPr>
          <w:sz w:val="20"/>
          <w:szCs w:val="20"/>
          <w:color w:val="auto"/>
        </w:rPr>
      </w:pPr>
      <w:r>
        <w:rPr>
          <w:rFonts w:ascii="Times New Roman" w:cs="Times New Roman" w:eastAsia="Times New Roman" w:hAnsi="Times New Roman"/>
          <w:sz w:val="18"/>
          <w:szCs w:val="18"/>
          <w:color w:val="auto"/>
        </w:rPr>
        <w:t>Members completed over 15 hours of training around allyship as a requirement to join. Members serve one year terms, with options to extend if they wish.</w:t>
      </w:r>
    </w:p>
    <w:p>
      <w:pPr>
        <w:spacing w:after="0" w:line="1" w:lineRule="exact"/>
        <w:rPr>
          <w:sz w:val="20"/>
          <w:szCs w:val="20"/>
          <w:color w:val="auto"/>
        </w:rPr>
      </w:pP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Prioritize discussions around mental health/stress</w:t>
      </w:r>
    </w:p>
    <w:p>
      <w:pPr>
        <w:spacing w:after="0" w:line="9" w:lineRule="exact"/>
        <w:rPr>
          <w:rFonts w:ascii="Times New Roman" w:cs="Times New Roman" w:eastAsia="Times New Roman" w:hAnsi="Times New Roman"/>
          <w:sz w:val="18"/>
          <w:szCs w:val="18"/>
          <w:color w:val="auto"/>
        </w:rPr>
      </w:pPr>
    </w:p>
    <w:p>
      <w:pPr>
        <w:ind w:left="2260" w:right="20" w:hanging="380"/>
        <w:spacing w:after="0" w:line="250" w:lineRule="auto"/>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 Held three discussions around Mental Health/Stress/Stigmas of Mental Health with support from XLT, the Total Rewards department, and one of the Company's coworker network groups, BEACON.</w:t>
      </w: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metric driven practices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Launch a voluntary self-identification program to support full picture of workforce demographics</w:t>
      </w:r>
    </w:p>
    <w:p>
      <w:pPr>
        <w:spacing w:after="0" w:line="9" w:lineRule="exact"/>
        <w:rPr>
          <w:rFonts w:ascii="Times New Roman" w:cs="Times New Roman" w:eastAsia="Times New Roman" w:hAnsi="Times New Roman"/>
          <w:sz w:val="18"/>
          <w:szCs w:val="18"/>
          <w:color w:val="auto"/>
        </w:rPr>
      </w:pPr>
    </w:p>
    <w:p>
      <w:pPr>
        <w:ind w:left="2260" w:right="180" w:hanging="380"/>
        <w:spacing w:after="0" w:line="250" w:lineRule="auto"/>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 Count Me In Self ID campaign launched in the fall of 2022 with the addition of two new demographic questions - sexual orientation and transgender identity. 6% of coworkers answered both sexual orientation and transgender identity questions.</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Pay equity</w:t>
      </w:r>
    </w:p>
    <w:p>
      <w:pPr>
        <w:spacing w:after="0" w:line="9" w:lineRule="exact"/>
        <w:rPr>
          <w:rFonts w:ascii="Times New Roman" w:cs="Times New Roman" w:eastAsia="Times New Roman" w:hAnsi="Times New Roman"/>
          <w:sz w:val="18"/>
          <w:szCs w:val="18"/>
          <w:color w:val="auto"/>
        </w:rPr>
      </w:pPr>
    </w:p>
    <w:p>
      <w:pPr>
        <w:ind w:left="2260" w:right="100" w:hanging="380"/>
        <w:spacing w:after="0" w:line="250" w:lineRule="auto"/>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 The Company continued the work started in 2021 on pay equity by committing approximately $1 million to close identified gaps in pay.</w:t>
      </w:r>
    </w:p>
    <w:p>
      <w:pPr>
        <w:ind w:left="1500" w:right="600" w:hanging="369"/>
        <w:spacing w:after="0" w:line="250"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Creation of gender transition guidelines to support coworkers and managers/supervisors supporting coworkers going through a transition</w:t>
      </w:r>
    </w:p>
    <w:p>
      <w:pPr>
        <w:ind w:left="2260" w:right="20" w:hanging="380"/>
        <w:spacing w:after="0" w:line="250" w:lineRule="auto"/>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 Implemented gender transition guidebook that supports coworkers going through transition, managers and supervisors supporting coworkers going through transition, and coworkers supporting coworkers during transition. This work was done in partnership with partners at GLADD and the Company's LGBTQ+ coworker network group, Labels Out. This work supports the Company's continued participation in the HRC Corporate Equality Index.</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hire diverse talent</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Develop Partnership with three national diversity organizations</w:t>
      </w:r>
    </w:p>
    <w:p>
      <w:pPr>
        <w:spacing w:after="0" w:line="9" w:lineRule="exact"/>
        <w:rPr>
          <w:rFonts w:ascii="Times New Roman" w:cs="Times New Roman" w:eastAsia="Times New Roman" w:hAnsi="Times New Roman"/>
          <w:sz w:val="18"/>
          <w:szCs w:val="18"/>
          <w:color w:val="auto"/>
        </w:rPr>
      </w:pPr>
    </w:p>
    <w:p>
      <w:pPr>
        <w:ind w:left="2260" w:right="540" w:hanging="380"/>
        <w:spacing w:after="0" w:line="250" w:lineRule="auto"/>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 Partnerships established with Prospanica, Minority Veterans of America, and National Black MBA Association</w:t>
      </w: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Update job descriptions and interview guides to remove bias</w:t>
      </w:r>
    </w:p>
    <w:p>
      <w:pPr>
        <w:spacing w:after="0" w:line="9"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 Updated over 900 internal job descriptions and interview guides to remove bias.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Increase diverse candidates</w:t>
      </w:r>
    </w:p>
    <w:p>
      <w:pPr>
        <w:spacing w:after="0" w:line="9"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 Saw an increase in candidates across all diverse categories in 2022.</w:t>
      </w:r>
    </w:p>
    <w:p>
      <w:pPr>
        <w:spacing w:after="0" w:line="9" w:lineRule="exact"/>
        <w:rPr>
          <w:rFonts w:ascii="Times New Roman" w:cs="Times New Roman" w:eastAsia="Times New Roman" w:hAnsi="Times New Roman"/>
          <w:sz w:val="18"/>
          <w:szCs w:val="18"/>
          <w:color w:val="auto"/>
        </w:rPr>
      </w:pPr>
    </w:p>
    <w:p>
      <w:pPr>
        <w:ind w:left="3000" w:hanging="371"/>
        <w:spacing w:after="0"/>
        <w:tabs>
          <w:tab w:leader="none" w:pos="30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Ethnicity/race +9%</w:t>
      </w:r>
    </w:p>
    <w:p>
      <w:pPr>
        <w:spacing w:after="0" w:line="9" w:lineRule="exact"/>
        <w:rPr>
          <w:rFonts w:ascii="Times New Roman" w:cs="Times New Roman" w:eastAsia="Times New Roman" w:hAnsi="Times New Roman"/>
          <w:sz w:val="18"/>
          <w:szCs w:val="18"/>
          <w:color w:val="auto"/>
        </w:rPr>
      </w:pPr>
    </w:p>
    <w:p>
      <w:pPr>
        <w:ind w:left="3000" w:hanging="371"/>
        <w:spacing w:after="0"/>
        <w:tabs>
          <w:tab w:leader="none" w:pos="30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Gender +2%</w:t>
      </w:r>
    </w:p>
    <w:p>
      <w:pPr>
        <w:spacing w:after="0" w:line="9" w:lineRule="exact"/>
        <w:rPr>
          <w:rFonts w:ascii="Times New Roman" w:cs="Times New Roman" w:eastAsia="Times New Roman" w:hAnsi="Times New Roman"/>
          <w:sz w:val="18"/>
          <w:szCs w:val="18"/>
          <w:color w:val="auto"/>
        </w:rPr>
      </w:pPr>
    </w:p>
    <w:p>
      <w:pPr>
        <w:ind w:left="3000" w:hanging="371"/>
        <w:spacing w:after="0"/>
        <w:tabs>
          <w:tab w:leader="none" w:pos="30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Veteran’s +5.4%</w:t>
      </w:r>
    </w:p>
    <w:p>
      <w:pPr>
        <w:spacing w:after="0" w:line="9" w:lineRule="exact"/>
        <w:rPr>
          <w:rFonts w:ascii="Times New Roman" w:cs="Times New Roman" w:eastAsia="Times New Roman" w:hAnsi="Times New Roman"/>
          <w:sz w:val="18"/>
          <w:szCs w:val="18"/>
          <w:color w:val="auto"/>
        </w:rPr>
      </w:pPr>
    </w:p>
    <w:p>
      <w:pPr>
        <w:ind w:left="3000" w:hanging="371"/>
        <w:spacing w:after="0"/>
        <w:tabs>
          <w:tab w:leader="none" w:pos="300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+5%</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2022, 2 of the 9 members of the Board of Directors identified as female and 1 of the 9 identified as part of an underrepresented minority group; 4 of 9 Executive Officers were female. Across the Company’s broader professional population, approximately 35.2% are female and 19.7% self-identified as part of an underrepresented minority group. In 2022, approximately 40.2% of new hires were female and 32.4% self-identified as part of an underrepresented minority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Social Responsibility</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has a stand-alone Social Impact Team which approaches our CSR initiatives with a strategic view across Company organizations, brands, and operating locations.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core philanthropic initiative is the Samuel Adams Brewing the American Dream® program. In partnership with Accion Opportunity Fund, the nation’s largest non-profit micro-lender, as well as other local non-profit partners, the initiative supports small business owners in the food, beverage, and brewing industries through access to business capital, coaching, and new market opportunities. The goal is to help strengthen small businesses, create local jobs and build vibrant communities. Since the inception of the Samuel Adams Brewing the American Dream program in 2008, the Company and partners like Accion Opportunity Fund have worked together to loan more than $96 million to nearly 3,500 small business owners who have subsequently repaid these loans at a rate of more than 95%. The loan repayments received are reinvested into the program. Boston Beer co-workers, together with local business partners and community organizations, have provided coaching and mentoring to over 14,000 business owners across the country. These efforts have helped to create or maintain more than 9,000 local jobs.</w:t>
      </w:r>
    </w:p>
    <w:p>
      <w:pPr>
        <w:spacing w:after="0" w:line="1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Dogfish Head’s Beer &amp; Benevolence program creatively collaborates with nonprofit organizations to foster community, nourish artistic advancement and cultivate environmental stewardship. The efforts, focused in the mid-Atlantic region that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Dogfish Head brand calls home, invested more than $550,000 into the local community in the form of direct grants, product donations, fundraising and events in 2022. During the year, Beer &amp; Benevolence partnered with nearly 100 organizations to make an impact across the coastal Delaware regions.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Fully launched in 2022, Boston Beer Volunteers! is an initiative that creates a sustainable culture of impact, connection, and engagement for coworkers and communities alike. Leveraging relationships with community partners, the Social Impact Team curates Benevolence Days, on-the-clock single day community service projects. During a Benevolence Day coworkers roll up their sleeves and make an impact while building cross-team connections as they work alongside people they do not necessarily work with on a daily basis. In 2022, more than 700 coworkers participated in one of the 37 Benevolence Days in nine different states.</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Across these three programs and countless other initiatives, the BBC Social Impact Team is focused on empowering coworkers, brands and partners to impact the Company's communities through inclusive engagement to deepen connections and make a difference.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submitted the Section 12(a) CEO Certification to the New York Stock Exchange in accordance with the requirements of Section 303A of the NYSE Listed Company Manual. This Annual Report on Form 10-K contains at Exhibits 31.1 and 31.2 the certifications of the Chief Executive Officer and Chief Financial Officer, respectively, in accordance with the requirements of Section 302 of the Sarbanes-Oxley Act of 2002. The Company makes available free of charge copies of its Annual Report on Form 10-K, as well as other reports required to be filed by Section 13(a) or 15(d) of the Securities Exchange Act of 1934, on the Company’s investor relations website at </w:t>
      </w:r>
      <w:r>
        <w:rPr>
          <w:rFonts w:ascii="Times New Roman" w:cs="Times New Roman" w:eastAsia="Times New Roman" w:hAnsi="Times New Roman"/>
          <w:sz w:val="18"/>
          <w:szCs w:val="18"/>
          <w:i w:val="1"/>
          <w:iCs w:val="1"/>
          <w:color w:val="auto"/>
        </w:rPr>
        <w:t>www.bostonbeer.com</w:t>
      </w:r>
      <w:r>
        <w:rPr>
          <w:rFonts w:ascii="Times New Roman" w:cs="Times New Roman" w:eastAsia="Times New Roman" w:hAnsi="Times New Roman"/>
          <w:sz w:val="18"/>
          <w:szCs w:val="18"/>
          <w:color w:val="auto"/>
        </w:rPr>
        <w:t>, or upon written request to Investor Relations, The Boston Beer Company, Inc., One Design Center Place, Suite 850, Boston, Massachusetts 02210.</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in this Annual Report on Form 10-K, the risks described below should be carefully considered before deciding to invest in shares of the Company’s Class A Common Stock. These are risks and uncertainties that management believes are most likely to be material and therefore are most important for an investor to consider. The Company’s business operations and results may also be adversely affected by additional risks and uncertainties not presently known to it, or which it currently deems immaterial, or which are similar to those faced by other companies in its industry or business in general. If any of the following risks or uncertainties actually occurs, the Company’s business, financial condition, results of operations or cash flows would likely suffer. In that event, the market price of the Company’s Class A Common Stock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Associated with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substantial competition.</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High End and Beyond Beer categories within the United States are highly competitive due to the participation of large domestic and international brewers in the categories and the increasing number of craft brewers and craft distilleries, who distribute similar products that have similar pricing and target drinkers.</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two largest brewers in the United States, AB InBev and Molson Coors, participate actively in the High End and Beyond Beer categories, through numerous launches of new hard seltzers, flavored malt beverages and spirit RTDs from existing brands or new brands, importing and distributing import brands, and with their own domestic specialty beers, either by developing new brands or by acquiring, in whole or part, existing brands. Imported beers, such as Corona®, Heineken®, Modelo Especial® and Stella Artois®, continue to compete aggressively in the United States and have gained market share over the last ten years. Heineken and Constellation Brands (owner of the United States distribution rights to Corona and Modelo Especial) may have substantially greater financial resources, marketing strength and distribution networks than the Company. The Company anticipates competition will remain strong as some existing beverage companies are building more capacity, expanding geographically and adding more SKUs and styles. The potential for growth in the sales of hard seltzers, flavored malt beverages, craft-brewed domestic beers, imported beers and spirits RTDs is expected to increase the competition in the market for High End beer and Beyond Beer occasions within the United States and, as a result, the Company may well face competitive pricing pressures and the demand for and market share of the Company’s products may fluctuate and possibly decline.</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products compete generally with other alcoholic beverages. The Company competes with other beer and beverage companies not only for drinker acceptance and loyalty, but also for traditional retail shelf, cold box and tap space, as well as e-commerce placement and for marketing focus by the Company’s Distributors and their customers, all of which also distribute and sell other alcoholic beverage products. Many of the Company’s competitors, including AB InBev, Molson Coors, Constellation, Heineken and Mark Anthony Brands, have substantially greater financial resources, marketing strength and distribution networks than the Company. Moreover, the introduction of new products by competitors that compete directly with the Company’s products or that diminish the importance of the Company’s products to retailers or Distributors may have a material adverse effect on the Company’s business and financial results.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Further, the alcoholic beverage industry has also seen continued consolidation among brewers in order to take advantage of cost savings opportunities for supplies, distribution and operations. Illustrative of this consolidation is AB InBev’s $107 billion purchase of SAB Miller and the related sale by SAB Miller to Molson Coors of its 58% share of the MillerCoors joint venture with Molson Coors, as well as Heineken’s acquisition of Lagunitas Brewing Company for approximately $1 billion. Also, in the last several years, both AB InBev and Molson Coors have introduced numerous new hard seltzers and purchased multiple regional craft breweries and craft distilleries with the intention to expand the capacity and distribution of these brands.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ind w:right="20"/>
        <w:spacing w:after="0" w:line="254" w:lineRule="auto"/>
        <w:rPr>
          <w:sz w:val="20"/>
          <w:szCs w:val="20"/>
          <w:color w:val="auto"/>
        </w:rPr>
      </w:pPr>
      <w:r>
        <w:rPr>
          <w:rFonts w:ascii="Times New Roman" w:cs="Times New Roman" w:eastAsia="Times New Roman" w:hAnsi="Times New Roman"/>
          <w:sz w:val="18"/>
          <w:szCs w:val="18"/>
          <w:color w:val="auto"/>
        </w:rPr>
        <w:t>More recently in 2021 and into 2022, large non-alcoholic beverage companies including Coca-Cola Company (“Coke"), Pepsi and Monster Beverage Corporation (“Monster”) have begun to enter these markets through licensing agreements with alcoholic beverage companies to develop alcohol versions of existing traditional non-alcohol brands. Coke has entered into agreements with Molson Coors to develop, market and sell Topo Chico brand Hard Seltzer and Simply Spiked Lemonade. Coke also announced agreements with Constellation to develop, market and sell FRESCA™ Mixed, a line of spirits RTDs and with Brown Forman to develop, market and sell Jack Daniel’s® Tennessee Whiskey and Coca-Cola®™ Ready-to-Drink Cocktail. As previously discussed, the Company has entered into an agreement with Pepsi to develop, market and sell alcohol beverages which include Hard Mountain Dew, to take advantage of this trend. Pepsi also entered an agreement in late 2022 with FIFCO USA, a New York based brewery, to develop, market and sell Lipton Hard Iced Tea which is planned to be launched during the first half of 2023. Lastly, Monster, acquired CANarchy Craft Brewery Collective in early 2022 has plans to launch the Beast Unleashed, a new brand of flavored malt beverages in early 2023.</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Due to the increased leverage that these combined operations will have in distribution and sales and marketing expenses, the costs to the Company of competing could increase. The potential also exists for these large competitors to increase their influence with their Distributors, making it difficult for smaller beverage companies to maintain their market presence or enter new markets. The continuing consolidation could also reduce the contract brewing capacity that is available to the Company. These potential increases in the number and availability of competing brands, the costs to compete, reductions in contract brewing capacity and decreases in distribution support and opportunities may have a material adverse effect on the Company’s business and financial results.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public attitudes and drinker tastes could harm the Company’s business. Regulatory changes in response to public attitudes could adversely affect the Company’s business.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alcoholic beverage industry has been the subject of considerable societal and political attention for several years, due to public concern over alcohol-related social problems, including driving under the influence, underage drinking and health consequences from the misuse of alcohol, including alcoholism. As an outgrowth of these concerns, the possibility exists that advertising by beer producers could be restricted, that additional cautionary labeling or packaging requirements might be imposed, that further restrictions on the sale of alcohol might be imposed or that there may be renewed efforts to impose increased excise or other taxes on beer sold in the United States.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domestic beer industry, other than the market for High End beer occasions and Beyond Beer occasions, has experienced a decline in shipments over the last ten years. The Company believes that this decline is due to declining alcohol consumption per person in the population, drinkers trading up to drink high quality, more flavorful hard seltzers. beers and spirts RTDs, health and wellness trends and increased competition from wine and spirits companies. If consumption of the Company’s products in general were to come into disfavor among domestic drinkers, or if the domestic alcohol beverage industry were subjected to significant additional societal pressure or governmental regulations, the Company’s business could be materially adversely affected.</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certain states are considering or have passed laws and regulations that allow the sale and distribution of marijuana. Currently it is not possible to predict the impact of this on sales of alcohol, but it is possible that legal marijuana usage could adversely impact the demand for the Company’s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dependent on its distributors.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United States, where approximately 96% of its beer is sold, the Company sells most of its alcohol beverages to independent beer Distributors for distribution to retailers and, ultimately, to drinkers. Although the Company currently has arrangements with over 400 Distributors, sustained growth will require it to maintain such relationships and possibly enter into agreements with additional Distributors. Changes in control or ownership within the current distribution network could lead to less support of the Company’s products.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Contributing to distribution risk is the fact that the Company’s distribution agreements are generally terminable by the Distributor on relatively short notice. While these distribution agreements contain provisions giving the Company enforcement and termination rights, some state laws prohibit the Company from exercising these contractual rights. The Company’s ability to maintain its existing distribution arrangements may be adversely affected by the fact that many of its Distributors are reliant on one of the major beer producers for a large percentage of their revenue and, therefore, they may be influenced by such producers. If the Company’s existing distribution agreements are terminated, it may not be able to enter into new distribution agreements on substantially similar terms, which may result in an increase in the costs of distribution.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ind w:right="340"/>
        <w:spacing w:after="0" w:line="282" w:lineRule="auto"/>
        <w:rPr>
          <w:sz w:val="20"/>
          <w:szCs w:val="20"/>
          <w:color w:val="auto"/>
        </w:rPr>
      </w:pPr>
      <w:r>
        <w:rPr>
          <w:rFonts w:ascii="Times New Roman" w:cs="Times New Roman" w:eastAsia="Times New Roman" w:hAnsi="Times New Roman"/>
          <w:sz w:val="18"/>
          <w:szCs w:val="18"/>
          <w:color w:val="auto"/>
        </w:rPr>
        <w:t>No assurance can be given that the Company will be able to maintain its current distribution network or secure additional Distributors on terms not less favorable to the Company than its current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 and Operations</w:t>
      </w:r>
    </w:p>
    <w:p>
      <w:pPr>
        <w:spacing w:after="0" w:line="22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the Company will grow its business in the future or that the Company can adapt to the challenges of the changing competitive environment.</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2015 to 2017, the Company experienced a decline in the demand for its products, as craft beer growth rates slowed and the hard cider category declined. From 2018 to 2021, the Company experienced increases in demand for its products, driven by growth in its Truly and Twisted Tea brands, and grew 13%, 22%, 37% and 22% in depletion volume for 2018, 2019, 2020 and 2021, respectively. During 2021 and into 2022, the market for hard seltzer products experienced decelerating growth trends, which resulted in a depletion volume decline of 5% in 2022. The slowdown in growth trends greatly impacted the Company's volume of production and shipments, as well as its volume projections for the future. The volume reduction resulted in increased supply chain related costs. These direct costs include the destruction of excess inventory, provisions for excess and obsolete inventories, property, plant and equipment impairments, write-offs of third-party production prepayments and provisions for costs associated with the termination of various third-party production contracts.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targeting a decline in shipment and depletion volume of between 2% and 8% in 2023. The Company’s ability to meet these targets may be affected by an increasing number of competing beverages. The development of new products by the Company to meet these challenges may lead to reduced sales of the Company’s existing brands and there is no guarantee that these new product initiatives will generate stable long term volume. Additionally, changes in the use of media and technology are impacting the economics of how brands are marketed to drinkers and may be diminishing the traditional competitive advantage the Company may have had in buying national media relative to smaller brands. While the Company believes that a combination of innovation, new brand messaging and exploration of new media, and increased investment and sales execution can lead to increased demand, there is no guarantee that the Company’s actions will be successful in maintaining the Company’s historical levels of profitability. Reduced sales, among other factors, could lead to lower brewery utilization, lower funds available to invest in brand support and reduced profitability, and these challenges may require a different mix and level of marketing investments to stabilize and grow volumes. A lower growth environment or periods of sales declines will present challenges for the Company to motivate and retain employees, maintain the current levels of distributor and retailer support of its brands, and fund its current brand investment levels, and could potentially require a review of long term organization and brewery needs. Currently, the Company believes it can meet its volume targets in 2023 and return to volume growth in future years, but there is no guarantee its efforts will be successful or profitable.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increase supply to meet the increased demand for its products.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Despite the depletion volume declines in 2022 of 5%, since 2017 demand for the Company’s products has grown significantly and its 2022 depletion volume is over 2.2 times 2017 volumes.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demand for its products has grown, the Company has faced challenges in meeting demand. The challenges have been both production constraints, primarily resulting from canning and variety pack capacity limitations, and can supply constraints. The Company is reliant on third party-owned breweries, particularly City Brewing Company, LLC, to meet demand, as the percentage of its volume produced at Company owned breweries decreased from over 90% in 2017 to approximately 65% in 2022. In 2023, the Company currently expects that the percentage of total production at Company owned breweries to be over 70%. The Company expects its reliance on production at City Brewing Company, LLC to decline from approximately 26% of production in 2022 to approximately 20% of production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grow and continue to meet increasing consumer demand will be affected by:</w:t>
      </w:r>
    </w:p>
    <w:p>
      <w:pPr>
        <w:spacing w:after="0" w:line="13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meet production goals and/or targets at the Company’s owned breweries and third party-owned breweries;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enter into new brewing contracts with third party-owned breweries on commercially acceptable terms;</w:t>
      </w:r>
    </w:p>
    <w:p>
      <w:pPr>
        <w:spacing w:after="0" w:line="9" w:lineRule="exact"/>
        <w:rPr>
          <w:rFonts w:ascii="Times New Roman" w:cs="Times New Roman" w:eastAsia="Times New Roman" w:hAnsi="Times New Roman"/>
          <w:sz w:val="18"/>
          <w:szCs w:val="18"/>
          <w:color w:val="auto"/>
        </w:rPr>
      </w:pPr>
    </w:p>
    <w:p>
      <w:pPr>
        <w:ind w:left="1020" w:right="54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other operating performance issues at the Company’s owned breweries or limits on the availability of suitable production capacity at third party-owned breweries;</w:t>
      </w:r>
    </w:p>
    <w:p>
      <w:pPr>
        <w:ind w:left="1020" w:right="240" w:hanging="503"/>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sufficient quantities of certain packaging materials and ingredients, such as cans, flavorings, cardboard wraps and glass bottles from suppliers; and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ind w:left="1020" w:right="2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reduce risk of both over and under supply by improving and automating manual internal processes for demand and production planning.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fails to increase supply to meet consumer demand for its products, the Company’s business and financial results may be adversely affected.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advertising and promotional investments may affect the Company’s financial results but not be effective.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made and expects to continue to make, significant advertising and promotional expenditures to enhance its brands. These expenditures may adversely affect the Company’s results of operations in a particular quarter or even for the full year, and may not result in increased sales. Variations in the levels of advertising and promotional expenditures have in the past caused, and are expected in the future to continue to cause, variability in the Company’s quarterly results of operations. While the Company attempts to invest only in effective advertising and promotional activities, it is difficult to correlate such investments with sales results, and there is no guarantee that the Company’s expenditures will be effective in building brand equity or growing long term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dependent on key packaging suppliers and an increase in packaging costs could harm the Company’s financial results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demand for packaging materials in the beverage industry has increased and during 2020 and 2021 there was a shortage of capacity, as manufacturers adjusted their supply chains to keep up with the increased demand, caused by the COVID-19 pandemic. Truly Hard Seltzer brand beverages are primarily packaged in sleek cans and Twisted Tea brand beverages are primarily packaged in standard cans. In 2020 and 2021, as the Truly and the Twisted brand families grew significantly and overall demand for cans increased, the Company experienced supply constraints for cans. These supply constraints impacted the Company’s production schedules and increased can cost by having to use a more expensive supplier. These pressures were reduced during 2022 and the Company currently believes it will have a sufficient supply of packaging materials for 2023.</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competitive sources for the supply of packaging materials, such as cans, glass, cardboard wraps and shipping cases. The Company enters into limited-term supply agreements with certain vendors in order to receive preferential pricing. In 2022, crowns and labels were each supplied by single sources. Although the Company believes that alternative suppliers are available, the loss of any of the Company’s packaging materials suppliers could, in the short-term, adversely affect the Company’s results of operations, cash flows and financial position until alternative supply arrangements were secured. Additionally, there has been acquisition, change in control and consolidation activity in several of the packaging supplier networks which could potentially lead to further disruption in supply and changes in economics. If packaging costs continue to increase, there is no guarantee that such costs can be fully passed along through increased prices. The Company has entered into long-term supply agreements for certain packaging materials that have shielded it from some cost increases. These contracts have varying lengths and terms and there is no guarantee that the economics of these contracts can be replicated when renewed. The Company’s inability to preserve the current economics on renewal could expose the Company to significant cost increases in future years. Some of these contracts require the Company to make commitments on minimum volume of purchases based on Company forecasts. If the Company's needs decline significantly from its forecasts, the Company would likely incur storage costs for excess production or contractual penalties that might be significant and could have a material adverse impact on the Company's financial results.</w:t>
      </w:r>
    </w:p>
    <w:p>
      <w:pPr>
        <w:spacing w:after="0" w:line="186"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Inability to react to changes in demand, reliance on Company-owned production facilities, reduced availability of breweries owned by others, and inability to leverage investment in the Company-owned breweries could have a material adverse effect on the Company’s operations or financial results.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previously discussed, during 2021, the market for hard seltzer products experienced decelerating growth trends which resulted in the annual volume growth rate declining from 158% in 2020 to 13% in 2021 and a decrease of 15% in 2022.</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 w:name="page21"/>
    <w:bookmarkEnd w:id="20"/>
    <w:p>
      <w:pPr>
        <w:spacing w:after="0" w:line="254" w:lineRule="auto"/>
        <w:rPr>
          <w:sz w:val="20"/>
          <w:szCs w:val="20"/>
          <w:color w:val="auto"/>
        </w:rPr>
      </w:pPr>
      <w:r>
        <w:rPr>
          <w:rFonts w:ascii="Times New Roman" w:cs="Times New Roman" w:eastAsia="Times New Roman" w:hAnsi="Times New Roman"/>
          <w:sz w:val="18"/>
          <w:szCs w:val="18"/>
          <w:color w:val="auto"/>
        </w:rPr>
        <w:t>The changes in growth trends in the Company’s business, particularly for the Truly Hard Seltzer Brand, as well as added product complexity, heighten the management challenges that the Company faces. In recent years, the Company has had periods of excess capacity that were nevertheless accompanied by product shortages and service issues. The Company’s supply chain struggled under the increased volume and experienced increased inventory obsolescence, operational and freight costs as it reacted. In response to these issues, the Company significantly increased its packaging capabilities and tank capacity and added personnel to address these challenges. There can be no assurance that the Company will effectively address changing consumer demand or manage such increasing product complexity without experiencing similar issues in the future. Planning failures, operating inefficiencies, insufficient employee training, control deficiencies or other similar issues could well have a material adverse effect on the Company’s business and financial results. The growth of the Company, changes in operating procedures and increased complexity have required significant capital investment. In the future, the Company on an overall basis may not see any operating cost leverage from these investments and there is no guarantee that it will.</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2022, the Company produced approximately 65% of its volume at breweries owned by the Company. This reliance on its own breweries exposes the Company to capacity constraints and risk of disruption of supply, as these breweries are operating at or close to current capacity in peak months. Management believes that it has alternatives available to it, in the event that production at any of its brewing locations is temporarily interrupted, although as volumes at the Pennsylvania Brewery increase, severe interruptions there would be problematic, particularly during peak seasons. Potential interruptions at breweries include labor issues, governmental action, quality issues, contractual disputes, machinery failures, operational shutdowns, pandemic-related or other staffing shortages, or natural or unavoidable catastrophes. If interruptions were to occur, the Company could face significant delays in starting replacement brewing locations and its operating results could be materially adversely affected.</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continues to avail itself of capacity at third-party production facilities. During 2022, approximately 26% of the Company’s annual shipment volume was brewed and/or packaged under service agreements with City Brewing Company, LLC. In selecting third party breweries for brewing services arrangements, the Company carefully weighs a brewery’s sleek can packaging and automated variety packaging capability and capacity, its quality control capabilities throughout the production process and its ability to utilize traditional brewing, fermenting and finishing methods. To the extent that the Company needs to avail itself of a third-party production services arrangement, it exposes itself to higher than planned costs of operating under such contract arrangements than would apply at the Company-owned breweries, potential lower service levels and reliability than internal production, and potential unexpected declines in the brewing capacity available to it, any of which could have a material adverse effect on the Company’s business and financial results. The use of such third party facilities also creates higher logistical costs and uncertainty in the ability to deliver product to the Company’s customers efficiently and on time.</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the beer industry continues to consolidate and the Company has grown, the capacity and willingness of breweries owned by others where the Company could brew, ferment or package some of its products, if necessary, has become a more significant concern and, thus, there is no guarantee that the Company’s needs will be uniformly met. The Company continues to work at its Company-owned breweries and with its third-party production partners to attempt to minimize any potential disruptions. Nevertheless, should an interruption occur, the Company could experience temporary shortfalls in production and/or increased production and/or distribution costs and be required to make significant capital investments to secure alternative capacity for certain brands and packages, the combination of which could have a material adverse effect on the Company’s business and financial results. A production interruption caused by an acquisition or change of control of City Brewing or a simultaneous interruption at several of the Company’s production locations would likely cause significant disruption, increased costs and, potentially, lost sales.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emphasis on owning production facilities requires it to continue to make a significant level of capital expenditure to maintain and improve these facilities and to incur significant fixed operating costs to support them. In an uncertain volume environment, the Company faces the risk of not being able to support the owned brewery operating costs, if volumes were to decline. At the same time, despite making these expenditures and incurring these costs, if demand were to further increase above current volume estimates, the Company could still face the risk of not being able to meet the increased demand.</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attempts to mitigate production and distribution risks through a combination of owned breweries and access to third-party contract facilities, but there is no guarantee that this strategy will be successful, and it might result in short term costs and inefficiencies which could adversely impact our business and financial results.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Turnover in Company leadership or other key positions may lead to loss of key knowledge or capability and adversely impact Company performance.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an experienced leadership team with an established track record of business success and innovation in the beverage and consumer goods industries. For example, Dave Burwick joined the Company as its President and Chief Executive Officer in 2018. Prior to commencing that role, Mr. Burwick had served on Boston Beer’s Board of Directors since 2005. His most recent prior role was Chief Executive Officer of Peet’s Coffee and prior to joining Peet’s, Mr. Burwick served as President of North America for Weight Watchers and in numerous leadership roles over 20 years at PepsiCo, including Chief Marketing Officer of Pepsi-Cola North America. The Company may well experience changes in key leadership or key positions in the future. The departure of key leadership personnel, especially a Chief Executive Officer, can take from the Company significant knowledge and experience. This loss of knowledge and experience can be mitigated through successful succession planning or external hiring and transition, but there can be no assurance that the Company will be successful in such efforts. Attracting, retaining, integrating and developing high performance individuals in key roles is a core component of the Company’s strategy for addressing its business opportunities. Attracting and retaining qualified senior leadership may be more challenging under adverse business conditions, such as the current declining growth environment the Company currently faces. Failure to attract and retain the right talent, or to manage the transition of responsibilities resulting from such turnover smoothly, would affect the Company's ability to meet its challenges and may cause the Company to miss performance objectives or financial targets.</w:t>
      </w:r>
    </w:p>
    <w:p>
      <w:pPr>
        <w:spacing w:after="0" w:line="18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significantly increased its product offerings and distribution footprint, which increases complexity and could adversely affect the Company’s performance and financial results.</w:t>
      </w:r>
    </w:p>
    <w:p>
      <w:pPr>
        <w:spacing w:after="0" w:line="15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The Company has significantly increased the number of commercially available hard seltzers, flavored malt beverages, beers, hard ciders, spirits RTDs and distilled spirits that it produces. In the last five years, the Company has developed, introduced and reformulated many new and existing beverage styles under the Truly Hard Seltzer, Twisted Tea, Samuel Adams and Angry Orchard brands. The Dogfish Head brand, acquired in July 2019, currently has over 25 styles of beer, 15 styles of distilled spirits, 5 spirits RTDs, two brewery tap rooms, a restaurant, and a boutique Inn. In January 2020, the Company opened the Samuel Adams Tap Room and small brewery in downtown Boston. The Company currently operates 9 retail locations, including seven brewery tap rooms, a cidery tasting room and a restaurant, where its beverages are sold and consumed on-premise. During 2022, the Company launched additional Truly Variety Packs including Truly Margarita style variety pack as well as the Truly Vodka Seltzer product line in late 2022. Also during 2022 and early 2023, the Company developed and introduced, under agreements with Pepsi and Beam, three new brands which include Hard Mountain Dew, Sauza Agave cocktails, and Jim Beam Kentucky Coolers. During 2023, the Company has plans to add new beverage styles and reformulate existing styles of beverages.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additional brands, styles, reformulations and locations, along with the increases in demand for certain existing brands, have added to the complexity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product development process, as well as its brewing, fermenting, distilling, packaging, marketing and selling processes, and retail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There can be no assurance that the Company will effectively manage such increased complexity, without experiencing coordination issues,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inefficiencies, supply shortages or control deficiencies. Such inefficiencies or deficiencies could have a material adverse effect on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financial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acquisition of Dogfish Head involves a number of risks, the occurrence of which could adversely affect its business, financial condition, and operating results.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3, 2019, the Company completed its acquisition of Dogfish Head Brewery and various related operations, through the acquisition of all of the equity interests held by certain private entities in Off-Centered Way LLC, the parent holding company of the Dogfish Head Brewery operations. During 2022, the Company recorded a $27.1 million non-cash impairment charge recorded for the Dogfish Head brand, taken as a result of the Company’s annual impairment analysis. The impairment determination was primarily based on the latest forecasts of brand performance which has been below the Company’s projections made on the acquisition date. This transaction continues to involve certain risks, the occurrence of which could materially and adversely affect the Company’s business, liquidity, financial condition, and operating results, including:</w:t>
      </w:r>
    </w:p>
    <w:p>
      <w:pPr>
        <w:spacing w:after="0" w:line="93"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the Company’s expanded operations do not achieve the growth prospects, net revenues, earnings, or other financial results projected in the Company’s valuation models, or delays in the realization thereof;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2" w:name="page23"/>
    <w:bookmarkEnd w:id="22"/>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future further write-off of significant amounts of intangible assets and/or other tangible assets if the Dogfish Head business does not perform in the future as currently expected, or other potential financial accounting or reporting impacts</w:t>
      </w:r>
    </w:p>
    <w:p>
      <w:pPr>
        <w:spacing w:after="0" w:line="6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cannot assure that it will realize the expected benefits of the Dogfish Head transaction. The Company’s failure to adequately manage the risks associated with the transaction could have a material adverse effect on its business, liquidity, financial condition or results of operations.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drinker attitudes on brand equity and reliance on the Company’s founders in the Samuel Adams and Dogfish Head brand communications may adversely affect demand for the Company’s production and results of operations.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success of our brands depends upon the positive image that drinkers have of those brands and maintaining a good reputation is critical to selling our branded products. Our reputation could be impacted negatively by public perception, adverse publicity, negative comments in social media, or our responses to negative publicity or comments, either by members of the Company or those who may be affiliated with it. There is also no guarantee that the brand equities that the Company has built in its brands will continue to appeal to drinkers. Changes in drinker attitudes or demands, or competitor activity and promotion, could adversely affect the strength of the Company’s brands and the revenue that is generated from that strength. It is possible that the Company could react to such changes and reposition its brands, but there is no certainty that the Company would be able to maintain volumes, pricing power and profitability. It is also possible that marketing messages or other actions taken by the Company could damage its brand equities, as opposed to building them. If such damage were to occur, it would likely have a negative effect on the financial condition of the Company.</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these inherent brand risks, C. James Koch, the founder and Chairman of the Company, as well as the founders of Dogfish Head brand, Samuel Calagione, Founder and Brewer, Dogfish Head Brewery and Mariah Calagione, Founder and Communitarian, Dogfish Head Brewery, are an integral part of the Company’s history, brand equity and current and potential future brand messaging and the Company relies on the positive public perception of these founders. The role of these founders as founders, brewers and leaders of the Company is emphasized as part of the Company’s brand communication and has appeal to some drinkers. If these founders were not available to the Company to continue their active roles, their absence could negatively affect the strength of the Company’s messaging and, accordingly, the Company’s growth prospects. The Company and its brands may also be impacted if drinkers’ perceptions of these founders, including their social or political views, were to change negatively. If any negative changes were to occur, the Company might need to adapt its strategy for communicating its key messages regarding its history, equity, and current and potential future brand messaging. Any such change in the Company’s messaging strategy might have a detrimental impact on the future growth of the Company.</w:t>
      </w:r>
    </w:p>
    <w:p>
      <w:pPr>
        <w:spacing w:after="0" w:line="18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dependent on key ingredient suppliers, including foreign sources; its dependence on foreign sources creates foreign currency exposure for the Company; the Company’s use of natural ingredients creates weather and crop reliability and excess/shortage inventory exposure for the Company.</w:t>
      </w:r>
    </w:p>
    <w:p>
      <w:pPr>
        <w:spacing w:after="0" w:line="175"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 Company purchases a substantial portion of the ingredients used in its beverages, including its flavorings, fruit juice, malt, hops, apples, and other ingredients, from a limited number of foreign and domestic suppliers. The Company has historically not experienced material difficulties in obtaining timely delivery from its ingredient suppliers and currently believes that it will have sufficient supply of ingredients in 2023. The Company believes that there are alternative sources available for some of the ingredients, but there can be no assurance that the Company would be able to acquire such ingredients from substitute sources on a timely or cost-effective basis, if current suppliers could not adequately fulfill orders. The loss or significant reduction in the capability of a supplier to support the Company’s requirements could, in the short-term, adversely affect the Company’s business and financial results, until alternative supply arrangements were secured.</w:t>
      </w:r>
    </w:p>
    <w:p>
      <w:pPr>
        <w:spacing w:after="0" w:line="18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Company’s beverages include many unique and proprietary flavors and combinations of flavors and some of these flavorings are single sourced. Truly Hard Seltzer and Twisted Tea brand beverages are particularly reliant on the use of flavorings and variety of flavors as part of their appeal to drinkers.</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purchased most of the malt used in the production of its beer from four suppliers during 2022. Nevertheless, the Company believes that there are other malt vendors available that are capable of supplying part of its needs. The Company is exposed to the quality of the barley crop each year, and significant failure of a crop would adversely affect the Company’s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uses Noble hop varieties from Europe for many of its Samuel Adams beers and also uses hops grown in other areas of Europe, the United States, and New Zealand. Noble hops are grown in several specific areas in Germany and the Czech Republic that are recognized for growing hops with superior taste and aroma properties. The Company stores its hops in multiple cold storage warehouses to minimize the impact of a catastrophe at a single site. The performance and availability of the hops, as with any agricultural product, may be materially adversely affected by factors such as adverse weather or pests and there is no guarantee the contracts will be fulfilled completely. The Company has purchase commitments with nine primary hop dealers and attempts to maintain a one to two-year supply of essential hop varieties on-hand in order to limit the risk of an unexpected reduction in supply and procures hops needed for new beers, based on its best estimate of likely short-term demand. The failure of management’s assumptions regarding future sales growth, product mix and hops market conditions to prove accurate could result in future material losses.</w:t>
      </w:r>
    </w:p>
    <w:p>
      <w:pPr>
        <w:spacing w:after="0" w:line="1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uses special varieties of apples in its ciders that it believes are important for the ciders’ flavor profile. These apples are sourced primarily from European and United States suppliers and include bittersweet apples from France and culinary apples from Italy and Washington state. There is limited availability of these apples and many outside factors, including weather conditions, farmers rotating from apples to other crops, government regulations and legislation affecting agriculture, could affect both price and supply.</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new product development can also be constrained by any limited availability of the desired ingredients. Growth rates higher than planned or the introduction of new products requiring special ingredients could create demand for ingredients greater than the Company can source.</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contracts for certain hops and apples are payable in Euros, Pounds Sterling and New Zealand dollars, and therefore, the Company is subject to the risk that the Euro, Pound or New Zealand dollar may fluctuate adversely against the U.S. dollar. The Company has, as a practice, not hedged this exposure, although this practice is regularly reviewed. The cost of hops has increased in recent years due to the rising market price of hops and exchange rate changes. The continuation of these trends will impact the Company’s product cost and potentially the Company’s ability to meet the demand for its beers. The Company buys some other ingredients and capital equipment from foreign suppliers for which the Company also carries exposure to foreign exchange rate changes. Significant adverse fluctuations in foreign currency exchange rates may have a material adverse effect on the Company’s business and financial results.</w:t>
      </w:r>
    </w:p>
    <w:p>
      <w:pPr>
        <w:spacing w:after="0" w:line="1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operations are subject to certain operating hazards that could result in unexpected costs or product recalls that could harm the Company’s business.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certain hazards and liability risks faced by all beverage companies, such as potential contamination of ingredients or products by bacteria or other external agents that may be wrongfully or accidentally introduced into products or packaging, or defective packaging and handling. Such occurrences may create bad tasting beverages, or pose health risk to the consumer or risk to the integrity and safety of the packaging. These could result in unexpected costs to the Company and, in the case of a costly product recall, potentially serious damage to the Company’s reputation for product quality, as well as product liability claims.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upon complex information systems and vulnerabilities or disruptions of these systems could expose us to liability and harm our business and operations.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depends on information technology to be able to operate efficiently and interface with customers and suppliers, as well as maintain financial and accounting reporting accuracy to ensure compliance with all applicable laws. If the Company does not allocate and effectively manage the resources necessary to build and sustain the proper technology infrastructure, the Company could be subject to transaction errors, processing inefficiencies, the loss of customers, business disruptions, or the loss of or damage to intellectual property through security breaches. The Company recognizes that many groups on a world-wide basis have experienced increases in security breaches, cyber-attacks, and other hacking activities such as denial of service, malware and ransomware. The Company has dedicated internal and external resources to review and address such threats. However, as with all large information technology systems, the Company’s systems could be penetrated by outside parties intent on extracting confidential or proprietary information, corrupting information, disrupting business processes, or engaging in the unauthorized use of strategic information. Such unauthorized access could disrupt business operations and could result in the loss of assets or revenues, remediation costs or damage to the Company’s reputation, as well as litigation against the Company by third parties adversely affected by the unauthorized access. Such events could have a material adverse effect on the Company’s business and financial results. The Company also relies on third parties for supply of software, software and data hosting and telecommunications and networking, and is reliant on those third parties for the quality and integrity of these complex services. Failure by a third party supplier could have material adverse effects on the Company’s ability to operate.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energy costs could harm the Company’s financial results.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last five years, the Company has experienced significant variation in direct and indirect energy costs, and energy costs could change unpredictably. Increased energy costs would result in higher transportation, freight and other operating costs, including increases in the cost of ingredients and supplies. The Company’s future operating expenses and margins could be dependent on its ability to manage the impact of such cost increases. If energy costs increase, there is no guarantee that such costs can be fully passed along through increased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 B shareholder has significant control over the Company.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Class A Common Stock is not entitled to any voting rights except for the right as a class to (1) approve certain mergers, charter amendments and by-law amendments and (2) elect a minority of the directors of the Company. Although not as a matter of right, the Class A stockholders have also been afforded the opportunity to vote on an advisory basis on executive compensation. Consequently, the election of a majority of the Company’s directors and all other matters requiring stockholder approval are currently decided by C. James Koch, who is the founder and Chairman of the Company, as the holder of 100% of the voting rights to the outstanding shares of the Company’s Class B Common Stock. As a result, Mr. Koch is able to exercise substantial influence over all matters requiring stockholder approval, including the composition of the board of directors, approval of equity-based and other executive compensation and other significant corporate and governance matters, such as approval of the Company’s independent registered public accounting firm. This could have the effect of delaying or preventing a change in control of the Company and makes most material transactions difficult or impossible to accomplish without the support of Mr. Koch. While Mr. Koch is currently the 100% holder of the Company’s Class B Common Stock, there is nothing that prevents Mr. Koch or his heirs from transferring some or all shares of the Class B Common Stock to others.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Law and Regulations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environmental and other regulations, government shutdowns or failure to comply with existing licensing, trade or other regulations could have a material adverse effect on the Company’s financial condition.</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Company’s business is highly regulated by federal, state and local laws and regulations regarding such matters as licensing requirements, trade and pricing practices, labeling, advertising, promotion and marketing practices, relationships with Distributors, environmental impact of operations and other matters. These laws and regulations are subject to frequent reevaluation, varying interpretations and political debate, and inquiries from governmental regulators charged with their enforcement. In addition, any delays in federal or state government required approvals caused by federal or state government shutdowns, similar to the January 2019 federal government shutdown, could prevent new brands or innovations from getting to market on time or at all. Failure to comply with existing laws and regulations to which the Company’s operations are subject or any revisions to such laws and regulations or the failure to pay taxes or other fees imposed on the Company’s operations and results could result in the loss, revocation or suspension of the Company’s licenses, permits or approvals, and could have a material adverse effect on the Company’s business, financial condition and results of operations. Changes in federal and other tax rates could have a significant effect on the Company’s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Company will not face litigation that could harm the Company’s business.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the Company has from time to time in the past been involved in material litigation, it is not currently a party to any pending or threatened litigation, the outcome of which would be expected to have a material adverse effect on the Company’s financial condition or the results of its operations. In general, while the Company believes it conducts its business appropriately in accordance with laws, regulations and industry guidelines, claims, whether or not meritorious, could be asserted against the Company that might adversely impact the Company’s results. See Item 3 - Legal Proceedings below.</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the COVID-19 Pandemic</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global COVID-19 pandemic has disrupted the Company’s business and the Company’s financial condition and operating results have been and could continue to be affected by the pandemic and its effects.</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Company’s operations and business have been negatively affected and could continue to be materially and adversely affected by the COVID-19 pandemic and related weak, or weakening of, economic or other conditions, particularly in the United States where the Company derives most of its revenue and profit, but also in Europe, where some of the Company’s ingredient suppliers are located. National, state and local governments have responded to the COVID-19 pandemic in a variety of ways, including, without limitation, by declaring states of emergency, restricting people from gathering in groups or interacting within a certain physical distance (i.e., social distancing), and in certain cases, ordering businesses to close or limit operations or people to stay at home. As previously disclosed in its prior filings, the Company incurred significant COVID-19 adverse effects in 2020 and 2021.</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the Company has been permitted to continue to operate its breweries in all of the jurisdictions in which it operates, there is no assurance that the Company will be permitted to operate these facilities under every future government order or other restriction and in every location or that the third-party production facilities on which the Company relies for production will similarly be permitted to continue to operate or that new infections would not materially effect staffing levels. In particular, any limitations on, or closures of, the Company’s Pennsylvania, Cincinnati, or Milton breweries or its third-party production facilities, could have a material adverse impact on the Company’s ability to manufacture products and service customers and could have a material adverse impact on the Company’s business, financial condition and results of operations. In addition, there can be no assurances that the COVID-19-related effects that the Company experienced in 2020 and 2021 will not recur.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General 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operating results and cash flow may be adversely affected by unfavorable economic, financial and societal market conditions.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Volatility, uncertainty, and inflation in the financial markets and economic conditions generally may directly or indirectly affect the Company’s performance and operating results in a variety of ways, including: (a) prices for energy, labor, packaging, ingredients, and agricultural products may rise faster than current estimates, including increases resulting from currency fluctuations; (b) the Company’s key suppliers may not be able to fund their capital requirements, resulting in disruption in the supplies of the Company’s raw and packaging materials; (c) the credit risks of the Company’s Distributors may increase; (d) the impact of currency fluctuations on amounts owed to the Company by distributors that pay in foreign currencies; (e) the Company’s credit facility, or portion thereof, may become unavailable at a time when needed by the Company to meet critical needs; (f) overall beer consumption may decline; or (g) drinkers of the Company’s products may change their purchase preferences and frequency, which might result in sales declines.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not received any written comments from the staff of the Securities and Exchange Commission (the “SEC”) regarding the Company’s periodic or current reports that (1) the Company believes are material, (2) were issued not less than 180 days before the end of the Company’s 2022 fiscal year, and (3) remain unresolved.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maintains its principal corporate offices in approximately 54,200 square feet of leased space located in Boston, Massachusetts, the term of which is set to expire in 2031.</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owns approximately 76 acres of land in Breinigsville, Pennsylvania, consisting of two parcels on which the Company’s Pennsylvania Brewery is located. The buildings on this property consist of approximately 1 million square feet of brewery and warehouse space.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owns approximately 57 acres of land in Milton, Delaware, consisting of the parcels on which the Company’s Milton Brewery is located. The buildings on this property consist of approximately 240,000 square feet of brewery and warehouse space.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6" w:name="page27"/>
    <w:bookmarkEnd w:id="26"/>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owns approximately 10 acres of land in Cincinnati, Ohio, on which the Company’s Cincinnati Brewery is located, and leases, with an option to purchase, approximately 1 acre of land from the City of Cincinnati which abuts its property. The buildings on this property consist of approximately 128,500 square feet of brewery and warehouse space.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owns approximately 62 acres of land in Walden, New York, consisting of an apple orchard and buildings, including a small cidery, gift shop, and tour center. The small cidery, gift shop, and tour center on this property consist of approximately 15,000 square feet of space.</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owns approximately 1 acre of land in Lewes, Delaware, on which the Company’s Dogfish Head Inn is located. The buildings on this property consists of approximately 8,400 square feet of space.</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43,000 square feet of space in Boston, Massachusetts, on which it maintains a Samuel Adams brand tap room and tour center. The current term of the lease for this facility will expire in 2034, although it has an option to extend the term for an additional fifteen years in five-year increments.</w:t>
      </w:r>
    </w:p>
    <w:p>
      <w:pPr>
        <w:spacing w:after="0" w:line="17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6,666 square feet of space in Boston, Massachusetts, on which it maintains a research and development site. The current term of the lease for this facility will expire in 2026, although it has an option to extend the term for an additional three years in one-year increments.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48,650 square feet of space in Los Angeles, California, on which it maintains an Angel City and Truly brand tap room, small brewery, and tour center. The current term of the lease for this facility will expire in 2026.</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11,365 square feet of space in Miami, Florida, on which it previously maintained a tap room, small brewery, and tour center. The Company ceased operations of the tap room, small brewery, and tour center during November of 2022, but is still obligated for the term of the lease for this facility, set to expire in 2023.</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9,000 square feet of space in Boston, Massachusetts, on which it maintains a Samuel Adams brand tap room and small brewery. The current term of the lease for this facility will expire in 2028, although it has two options to extend the term for an additional 5 years.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8,900 square feet of space in Cincinnati, Ohio, on which it maintains a Samuel Adams brand tap room and small brewery. The current term of the lease for this facility will expire in 2028.</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7,100 square feet of space within the retail section of MCU Park in Brooklyn, New York on which it maintains a Coney Island brand tap room and small brewery. The current term of the lease for this facility will expire in 2025.</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approximately 4,490 square feet of space in Rehoboth, DE, on which it maintains Dogfish Head Brewings and Eats, a tap room, small brewery, and the Chesapeake &amp; Maine restaurant. The current term of the lease for this facility will expire in 2029.</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under a development agreement, has access to approximately 900 square feet of space in Windsor, Ontario, on which it maintains a cannabis research and development facility. The current term of the agreement for this facility will expire in 2026.</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also leases small offices in Burlington, Vermont, Cincinnati, Ohio, Montreal, Quebec, and Toronto, Ontario as well as various warehousing facilities across the United States and Canada.</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believes that its facilities are adequate for its current needs and that suitable additional space will be available on commercially acceptable terms as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and in the future may be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the loss can be estimated. Material pending legal proceedings are discussed below.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t>Securities Litigation. On September 14, 2021, a purported class action lawsuit was filed by an individual shareholder in the United States District Court for the Southern District of New York against the Company and three of its officers. The complaint alleges claims under Sections 10(b) and 20(a) of the Securities Exchange Act of 1934 between April 22, 2021 and September 8, 2021. The plaintiff claims that defendants made materially false and/or misleading statements or failed to disclose material adverse facts about the Company’s business, operations, and prospects. On October 8, 2021, a nearly identical complaint was filed against the Company by an individual shareholder in the United States District Court for the Southern District of New York. The Court consolidated the two actions and on December 14, 2021 appointed a lead plaintiff, who filed an amended complaint on January 13, 2022. The Company’s motion to dismiss the plaintiff’s complaint in the previously reported class action alleging claims under Sections 10(b) and 20(a) of the Securities Exchange Act of 1934 was granted by the Court on December 5, 2022. The plaintiff filed a notice of appeal on January 5, 2023 and the plaintiff’s opening brief is due April 11, 2023. The Company’s response will be due on July 11, 2023. The Company intends to continue to vigorously defend against these claims. Any ultimate outcome of this matter will depend on the nature and outcome of plaintiff’s appeal and estimating a range of potential loss, should the plaintiff’s appeal be granted, is not possible at this time.</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Supplier Dispute. On December 31, 2022, Ardagh Metal Packaging USA Corp. (“Ardagh”) filed an action against the Company alleging, among other things, that the Company had failed to purchase contractual minimum volumes of certain aluminum beverage can containers in 2021 and 2022. The Company denies that it breached the terms of the parties’ contract and intends to defend against the Ardagh claims vigorously. Ardagh and the Company have agreed to engage in mediation and to stay the legal proceedings by a period of 60 days to permit the mediation to proceed. A range of potential loss cannot be estimated at this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graph set forth below shows the value of an investment of $100 on January 1, 2018 in each of the Company’s stock (“The Boston Beer Company, Inc.”), the Standard &amp; Poor’s 500 Index (“S&amp;P 500 Index”) and the Standard &amp; Poor’s 500 Beverage Index, which consists of producers of alcoholic and non-alcoholic beverages (“S&amp;P 500 Beverages Index”) for the five years ending December 31,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Return to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(Includes reinvestment of dividends)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00" w:type="dxa"/>
            <w:vAlign w:val="bottom"/>
            <w:gridSpan w:val="1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ANNUAL RETURN PERCENTAGE</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Years Ending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6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12/29/2018</w:t>
            </w:r>
          </w:p>
        </w:tc>
        <w:tc>
          <w:tcPr>
            <w:tcW w:w="60" w:type="dxa"/>
            <w:vAlign w:val="bottom"/>
          </w:tcPr>
          <w:p>
            <w:pPr>
              <w:spacing w:after="0"/>
              <w:rPr>
                <w:sz w:val="16"/>
                <w:szCs w:val="16"/>
                <w:color w:val="auto"/>
              </w:rPr>
            </w:pPr>
          </w:p>
        </w:tc>
        <w:tc>
          <w:tcPr>
            <w:tcW w:w="11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12/28/2019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12/26/2020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12/25/2021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The Boston Beer Company, Inc.</w:t>
            </w:r>
          </w:p>
        </w:tc>
        <w:tc>
          <w:tcPr>
            <w:tcW w:w="12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24.97</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167.97</w:t>
            </w:r>
          </w:p>
        </w:tc>
        <w:tc>
          <w:tcPr>
            <w:tcW w:w="22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FF0FC"/>
          </w:tcPr>
          <w:p>
            <w:pPr>
              <w:spacing w:after="0"/>
              <w:rPr>
                <w:sz w:val="14"/>
                <w:szCs w:val="14"/>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S&amp;P 500 Index</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(17.40 )</w:t>
            </w: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S&amp;P 500 Beverages Index</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10"/>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Base Period</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Years Ending</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2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12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12/29/2018</w:t>
            </w:r>
          </w:p>
        </w:tc>
        <w:tc>
          <w:tcPr>
            <w:tcW w:w="110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12/28/2019</w:t>
            </w:r>
          </w:p>
        </w:tc>
        <w:tc>
          <w:tcPr>
            <w:tcW w:w="1040" w:type="dxa"/>
            <w:vAlign w:val="bottom"/>
            <w:gridSpan w:val="3"/>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12/26/2020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12/25/2021</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580" w:type="dxa"/>
            <w:vAlign w:val="bottom"/>
            <w:vMerge w:val="continue"/>
          </w:tcPr>
          <w:p>
            <w:pPr>
              <w:spacing w:after="0"/>
              <w:rPr>
                <w:sz w:val="16"/>
                <w:szCs w:val="16"/>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12/30/17</w:t>
            </w:r>
          </w:p>
        </w:tc>
        <w:tc>
          <w:tcPr>
            <w:tcW w:w="1120" w:type="dxa"/>
            <w:vAlign w:val="bottom"/>
            <w:gridSpan w:val="5"/>
            <w:vMerge w:val="continue"/>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The Boston Beer Company, Inc.</w:t>
            </w:r>
          </w:p>
        </w:tc>
        <w:tc>
          <w:tcPr>
            <w:tcW w:w="120" w:type="dxa"/>
            <w:vAlign w:val="bottom"/>
            <w:shd w:val="clear" w:color="auto" w:fill="CFF0FC"/>
          </w:tcPr>
          <w:p>
            <w:pPr>
              <w:spacing w:after="0"/>
              <w:rPr>
                <w:sz w:val="14"/>
                <w:szCs w:val="14"/>
                <w:color w:val="auto"/>
              </w:rPr>
            </w:pPr>
          </w:p>
        </w:tc>
        <w:tc>
          <w:tcPr>
            <w:tcW w:w="920" w:type="dxa"/>
            <w:vAlign w:val="bottom"/>
            <w:tcBorders>
              <w:top w:val="single" w:sz="8" w:color="auto"/>
            </w:tcBorders>
            <w:gridSpan w:val="3"/>
            <w:shd w:val="clear" w:color="auto" w:fill="CFF0FC"/>
          </w:tcPr>
          <w:p>
            <w:pPr>
              <w:ind w:left="680"/>
              <w:spacing w:after="0"/>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124.97</w:t>
            </w:r>
          </w:p>
        </w:tc>
        <w:tc>
          <w:tcPr>
            <w:tcW w:w="240" w:type="dxa"/>
            <w:vAlign w:val="bottom"/>
            <w:shd w:val="clear" w:color="auto" w:fill="CFF0FC"/>
          </w:tcPr>
          <w:p>
            <w:pPr>
              <w:spacing w:after="0"/>
              <w:rPr>
                <w:sz w:val="14"/>
                <w:szCs w:val="14"/>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198.19</w:t>
            </w:r>
          </w:p>
        </w:tc>
        <w:tc>
          <w:tcPr>
            <w:tcW w:w="220" w:type="dxa"/>
            <w:vAlign w:val="bottom"/>
            <w:shd w:val="clear" w:color="auto" w:fill="CFF0FC"/>
          </w:tcPr>
          <w:p>
            <w:pPr>
              <w:spacing w:after="0"/>
              <w:rPr>
                <w:sz w:val="14"/>
                <w:szCs w:val="14"/>
                <w:color w:val="auto"/>
              </w:rPr>
            </w:pP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531.10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274.66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S&amp;P 500 Index</w:t>
            </w:r>
          </w:p>
        </w:tc>
        <w:tc>
          <w:tcPr>
            <w:tcW w:w="10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94.80</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126.06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146.72</w:t>
            </w:r>
          </w:p>
        </w:tc>
        <w:tc>
          <w:tcPr>
            <w:tcW w:w="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189.92</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S&amp;P 500 Beverages Index</w:t>
            </w:r>
          </w:p>
        </w:tc>
        <w:tc>
          <w:tcPr>
            <w:tcW w:w="1040" w:type="dxa"/>
            <w:vAlign w:val="bottom"/>
            <w:gridSpan w:val="4"/>
            <w:shd w:val="clear" w:color="auto" w:fill="CFF0FC"/>
          </w:tcPr>
          <w:p>
            <w:pPr>
              <w:ind w:left="800"/>
              <w:spacing w:after="0"/>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96.71</w:t>
            </w:r>
          </w:p>
        </w:tc>
        <w:tc>
          <w:tcPr>
            <w:tcW w:w="11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0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127.78</w:t>
            </w:r>
          </w:p>
        </w:tc>
        <w:tc>
          <w:tcPr>
            <w:tcW w:w="8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146.32</w:t>
            </w: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137160</wp:posOffset>
            </wp:positionV>
            <wp:extent cx="5366385" cy="3334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6638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Class A Common Stock is listed for trading on the New York Stock Exchange under the symbol SAM.</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There were 7,215 holders of record of the Company’s Class A Common Stock as of February 17, 2023. Excluded from the number of stockholders of record are stockholders who hold shares in “nominee” or “street” name. The closing price per share of the Company’s Class A Common Stock as of February 17, 2023, as reported under the New York Stock Exchange-Composite Transaction Reporting System, was $329.04.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December 31, 2022, the Company had 22,700,000 authorized shares of Class A Common Stock with a par value of $0.01, of which 10,264,502 were issued and outstanding, which includes 26,493 shares that have trading restrictions. The Class A Common Stock has no voting rights, except (1) as required by law, (2) for the election of Class A Directors, and (3) that the approval of the holders of the Class A Common Stock is required for (a) future authorizations or issuances of additional securities which have rights senior to Class A Common Stock, (b) alterations of rights or terms of the Class A or Class B Common Stock as set forth in the Articles of Organization of the Company, (c) certain other amendments of the Articles of Organization of the Company, (d) certain mergers or consolidations with, or acquisitions of, other entities, and (e) sales or dispositions of any significant portion of the Company’s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December 31, 2022, the Company had 4,200,000 authorized shares of Class B Common Stock with a par value of $0.01, of which 2,068,000 shares were issued and outstanding. 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such as approval of the Company’s independent registered public accounting firm. The Company’s Class B Common Stock is not listed for trading. Each share of Class B Common Stock is freely convertible into one share of Class A Common Stock, upon request of any Class B holder.</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February 17, 2023, C. James Koch, the Company’s Chairman, was the direct holder of record of all of the Company’s issued and outstanding Class B Common Stock.</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holders of the Class A and Class B Common Stock are entitled to dividends, on a share-for-share basis, only if and when declared by the Board of Directors of the Company out of funds legally available for payment thereof. Since its inception, the Company has not paid dividends and does not currently anticipate paying dividends on its Class A or Class B Common Stock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Class A Common Stock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1998, the Board of Directors authorized management to implement a stock repurchase program with a limit of $931.0 million. As of December 31, 2022, the Company has repurchased a cumulative total of approximately 13.8 million shares of its Class A Common Stock for an aggregate purchase price of approximately $840.7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2022, the Company repurchased 1,489 shares of its Class A Common Stock, of which all represent repurchases of unvested investment shares issued under the Investment Share Program of the Company’s Employee Equity Incentive Plan, as illustrated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3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26, 2021 - January 29, 2022</w:t>
            </w: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248.61</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30, 2022 - February 26, 2022</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260.46</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February 27, 2022 - March 26, 2022</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289.29</w:t>
            </w: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27, 2022 - April 30, 2022</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175.43</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May 1, 2022 - May 28, 2022</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134.05</w:t>
            </w: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29, 2022 - June 25, 2022</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211.52</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June 26, 2022 - July 30,2022</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210.67</w:t>
            </w: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31,2022 - August 27,2022</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201.63</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28, 2022 - September 24, 2022</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290.75</w:t>
            </w: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25, 2022 to October 29, 2022</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217.14</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30, 2022 to November 26, 2022</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204.63</w:t>
            </w: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27, 2022 to December 31, 2022</w:t>
            </w:r>
          </w:p>
        </w:tc>
        <w:tc>
          <w:tcPr>
            <w:tcW w:w="1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311.96</w:t>
            </w:r>
          </w:p>
        </w:tc>
        <w:tc>
          <w:tcPr>
            <w:tcW w:w="2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2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200.41</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-24765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elected to omit discussion of the earliest of the three years covered by the consolidated financial statements presented. Refer to Item 7. "Management's Discussion and Analysis of Financial Condition and Results of Operations" located in the Company's Form 10-K for the fiscal year ended December 25, 2021, filed on February 22, 2022, for reference to discussion of the fiscal year ended December 26, 2020, the earliest of the three fiscal years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this Form 10-K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 statement to reflect future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above and the other information set forth in this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Boston Beer Company is engaged in the business of producing and selling alcohol beverages primarily in the domestic market and, to a lesser extent, in selected international markets. The Company’s revenues are primarily derived by selling its beverages to Distributors, who in turn sell the products to retailers and drinkers.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Most of the Company’s beverages which include hard seltzers, flavored malt beverages, beers, and hard ciders, are primarily positioned in the market for High End beer occasions. High End beers and beer occasions (the “High End category”) are determined by higher price, quality, image and taste, as compared with regular domestic beers. Boston Beer is one of the largest suppliers in the High End category in the United States. The High End category has seen high single-digit compounded annual growth over the past ten years. The Company believes that the High End category is positioned to increase market share in the total beer category, as drinkers continue to trade up in taste and quality. The Company estimates that the High End full year percentage volume changes in 2020, 2021 and 2022 were approximately 25%, 2%, and (3%), respectively. These trends are above the estimated United States beer market volume changes in 2020, 2021 and 2022, of 10%, (5%), and (5%), respectively.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market for hard seltzer products has experienced declining annual volume growth rate trends from estimated growth of 158% in 2020 and 13% in 2021 to an estimated decline of 15% in 2022. The decline in volume trends has negatively impacted the Company's volume of depletions and shipments, as well as its projections for the future. The decline in volume trends resulted in several supply chain related costs recorded during the second half of 2021 and has continued to negatively impact the Company’s financial results during 2022. These costs include provisions for excess and obsolete inventories, property, plant and equipment impairments, write-offs of third-party production prepayments and provisions for costs associated with the termination of various third-party production contracts.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Depletions, or Distributor sales to retailers, of the Company’s beverages for the 53 week fiscal period ended December 31, 2022, decreased approximately 5% from the comparable 52 week fiscal period in the prior year.</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Depletions of the Company’s beverages for the 52 week fiscal period ended December 25, 2021, increased approximately 22% from the comparable 52 week fiscal period in the prior year.</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(53 weeks) Compared to Year Ended December 25, 2021 (52 weeks)</w:t>
      </w:r>
    </w:p>
    <w:p>
      <w:pPr>
        <w:spacing w:after="0" w:line="2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(in thousands, except per barrel)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7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 25</w:t>
            </w: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barrel</w:t>
            </w: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Barrels sold</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8,183</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8,504</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 barrel</w:t>
            </w:r>
          </w:p>
        </w:tc>
        <w:tc>
          <w:tcPr>
            <w:tcW w:w="180" w:type="dxa"/>
            <w:vAlign w:val="bottom"/>
          </w:tcPr>
          <w:p>
            <w:pPr>
              <w:spacing w:after="0"/>
              <w:rPr>
                <w:sz w:val="11"/>
                <w:szCs w:val="11"/>
                <w:color w:val="auto"/>
              </w:rPr>
            </w:pPr>
          </w:p>
        </w:tc>
        <w:tc>
          <w:tcPr>
            <w:tcW w:w="1300" w:type="dxa"/>
            <w:vAlign w:val="bottom"/>
            <w:gridSpan w:val="3"/>
          </w:tcPr>
          <w:p>
            <w:pPr>
              <w:jc w:val="right"/>
              <w:ind w:right="580"/>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Per barrel</w:t>
            </w:r>
          </w:p>
        </w:tc>
        <w:tc>
          <w:tcPr>
            <w:tcW w:w="1080" w:type="dxa"/>
            <w:vAlign w:val="bottom"/>
            <w:gridSpan w:val="3"/>
          </w:tcPr>
          <w:p>
            <w:pPr>
              <w:jc w:val="right"/>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 of net</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2,090,334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255.44</w:t>
            </w:r>
          </w:p>
        </w:tc>
        <w:tc>
          <w:tcPr>
            <w:tcW w:w="14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100.0 %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2,057,622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241.97</w:t>
            </w:r>
          </w:p>
        </w:tc>
        <w:tc>
          <w:tcPr>
            <w:tcW w:w="12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100.0 %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32,712</w:t>
            </w: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1,228,348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58.8 %</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1,259,830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148.15</w:t>
            </w:r>
          </w:p>
        </w:tc>
        <w:tc>
          <w:tcPr>
            <w:tcW w:w="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61.2 %</w:t>
            </w:r>
          </w:p>
        </w:tc>
        <w:tc>
          <w:tcPr>
            <w:tcW w:w="1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(31,482 )</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(2.5 )%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861,986</w:t>
            </w:r>
          </w:p>
        </w:tc>
        <w:tc>
          <w:tcPr>
            <w:tcW w:w="1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18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797,792</w:t>
            </w: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93.82</w:t>
            </w:r>
          </w:p>
        </w:tc>
        <w:tc>
          <w:tcPr>
            <w:tcW w:w="12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64,194</w:t>
            </w:r>
          </w:p>
        </w:tc>
        <w:tc>
          <w:tcPr>
            <w:tcW w:w="10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73"/>
              </w:rPr>
              <w:t>%</w:t>
            </w:r>
          </w:p>
        </w:tc>
        <w:tc>
          <w:tcPr>
            <w:tcW w:w="1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Advertising, promotional, and selling</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578,400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606,994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12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10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(28,594 )</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(4.7 )%</w:t>
            </w: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(0.70 )</w:t>
            </w:r>
          </w:p>
        </w:tc>
        <w:tc>
          <w:tcPr>
            <w:tcW w:w="0" w:type="dxa"/>
            <w:vAlign w:val="bottom"/>
          </w:tcPr>
          <w:p>
            <w:pPr>
              <w:spacing w:after="0"/>
              <w:rPr>
                <w:sz w:val="1"/>
                <w:szCs w:val="1"/>
                <w:color w:val="auto"/>
              </w:rPr>
            </w:pPr>
          </w:p>
        </w:tc>
      </w:tr>
      <w:tr>
        <w:trPr>
          <w:trHeight w:val="185"/>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expenses</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157,534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1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133,624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2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23,910</w:t>
            </w:r>
          </w:p>
        </w:tc>
        <w:tc>
          <w:tcPr>
            <w:tcW w:w="100" w:type="dxa"/>
            <w:vAlign w:val="bottom"/>
            <w:shd w:val="clear" w:color="auto" w:fill="CFF0FC"/>
          </w:tcPr>
          <w:p>
            <w:pPr>
              <w:spacing w:after="0"/>
              <w:rPr>
                <w:sz w:val="12"/>
                <w:szCs w:val="12"/>
                <w:color w:val="auto"/>
              </w:rPr>
            </w:pPr>
          </w:p>
        </w:tc>
        <w:tc>
          <w:tcPr>
            <w:tcW w:w="94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17.9 %</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expenses</w:t>
            </w:r>
          </w:p>
        </w:tc>
        <w:tc>
          <w:tcPr>
            <w:tcW w:w="18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280" w:type="dxa"/>
            <w:vAlign w:val="bottom"/>
            <w:gridSpan w:val="3"/>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termination costs and other</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(25,299 )</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(82.5 )%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(2.95 )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brewery assets</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(15,717 )</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(85.0 )%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(1.84 )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771,195</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94.24</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789,795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92.88</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90,791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82,794</w:t>
            </w:r>
          </w:p>
        </w:tc>
        <w:tc>
          <w:tcPr>
            <w:tcW w:w="100" w:type="dxa"/>
            <w:vAlign w:val="bottom"/>
          </w:tcPr>
          <w:p>
            <w:pPr>
              <w:spacing w:after="0"/>
              <w:rPr>
                <w:sz w:val="15"/>
                <w:szCs w:val="15"/>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1035.3 %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(1,088 )</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(0.13 )</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(0.1 )%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(159.3 )%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before income tax provision</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91,436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80" w:type="dxa"/>
            <w:vAlign w:val="bottom"/>
            <w:vMerge w:val="restart"/>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120" w:type="dxa"/>
            <w:vAlign w:val="bottom"/>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84,527</w:t>
            </w:r>
          </w:p>
        </w:tc>
        <w:tc>
          <w:tcPr>
            <w:tcW w:w="100" w:type="dxa"/>
            <w:vAlign w:val="bottom"/>
          </w:tcPr>
          <w:p>
            <w:pPr>
              <w:spacing w:after="0"/>
              <w:rPr>
                <w:sz w:val="11"/>
                <w:szCs w:val="11"/>
                <w:color w:val="auto"/>
              </w:rPr>
            </w:pPr>
          </w:p>
        </w:tc>
        <w:tc>
          <w:tcPr>
            <w:tcW w:w="9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1223.4 %</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24,173</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(7,644 )</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(0.90 )</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(0.4 )%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31,817</w:t>
            </w: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(416.2 )%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67,263</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color w:val="auto"/>
                <w:highlight w:val="white"/>
              </w:rPr>
              <w:t>%</w:t>
            </w:r>
            <w:r>
              <w:rPr>
                <w:rFonts w:ascii="Times New Roman" w:cs="Times New Roman" w:eastAsia="Times New Roman" w:hAnsi="Times New Roman"/>
                <w:sz w:val="14"/>
                <w:szCs w:val="14"/>
                <w:color w:val="auto"/>
              </w:rPr>
              <w:t xml:space="preserve">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0.7 </w:t>
            </w:r>
            <w:r>
              <w:rPr>
                <w:rFonts w:ascii="Times New Roman" w:cs="Times New Roman" w:eastAsia="Times New Roman" w:hAnsi="Times New Roman"/>
                <w:sz w:val="14"/>
                <w:szCs w:val="14"/>
                <w:color w:val="auto"/>
                <w:highlight w:val="white"/>
              </w:rPr>
              <w:t>%</w:t>
            </w:r>
            <w:r>
              <w:rPr>
                <w:rFonts w:ascii="Times New Roman" w:cs="Times New Roman" w:eastAsia="Times New Roman" w:hAnsi="Times New Roman"/>
                <w:sz w:val="14"/>
                <w:szCs w:val="14"/>
                <w:color w:val="auto"/>
              </w:rPr>
              <w:t xml:space="preserve"> $</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52,710</w:t>
            </w:r>
          </w:p>
        </w:tc>
        <w:tc>
          <w:tcPr>
            <w:tcW w:w="10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362.2 </w:t>
            </w:r>
            <w:r>
              <w:rPr>
                <w:rFonts w:ascii="Times New Roman" w:cs="Times New Roman" w:eastAsia="Times New Roman" w:hAnsi="Times New Roman"/>
                <w:sz w:val="14"/>
                <w:szCs w:val="14"/>
                <w:color w:val="auto"/>
                <w:highlight w:val="white"/>
              </w:rPr>
              <w:t>%</w:t>
            </w: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-471170</wp:posOffset>
            </wp:positionV>
            <wp:extent cx="76835"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-471170</wp:posOffset>
            </wp:positionV>
            <wp:extent cx="76835"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-471170</wp:posOffset>
            </wp:positionV>
            <wp:extent cx="7747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-471170</wp:posOffset>
            </wp:positionV>
            <wp:extent cx="6858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-471170</wp:posOffset>
            </wp:positionV>
            <wp:extent cx="6858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-471170</wp:posOffset>
            </wp:positionV>
            <wp:extent cx="6858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-471170</wp:posOffset>
            </wp:positionV>
            <wp:extent cx="6858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-471170</wp:posOffset>
            </wp:positionV>
            <wp:extent cx="68580"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-144780</wp:posOffset>
            </wp:positionV>
            <wp:extent cx="7683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-144780</wp:posOffset>
            </wp:positionV>
            <wp:extent cx="76835"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-144780</wp:posOffset>
            </wp:positionV>
            <wp:extent cx="6858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-144780</wp:posOffset>
            </wp:positionV>
            <wp:extent cx="6858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-144780</wp:posOffset>
            </wp:positionV>
            <wp:extent cx="6858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Introduction. </w:t>
      </w:r>
      <w:r>
        <w:rPr>
          <w:rFonts w:ascii="Times New Roman" w:cs="Times New Roman" w:eastAsia="Times New Roman" w:hAnsi="Times New Roman"/>
          <w:sz w:val="18"/>
          <w:szCs w:val="18"/>
          <w:color w:val="auto"/>
        </w:rPr>
        <w:t>Comparisons between fiscal year 2022 and 2021 results are impacted by the $196.4 million in direct and indirect pre-tax costs recorded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2021 resulting from the 2021 slowdown in hard seltzer category growth. Those costs included inventory obsolescence related costs of $59.5 million, unfavorable absorption impacts at Company-owned breweries and downtime charges at third-party breweries of $38.8 million, contract termination costs, primarily for excess third-party contract production, of $30.7 million, increased materials sourcing and warehousing costs of $28.0 million, customer return provisions for out of code or damaged products of $19.7 million, equipment impairments of $12.7 million and other costs of $7.0 million. The total direct costs of $102.9 million and total indirect costs of $93.5 million, which combined total $196.4 million, were recorded in the fiscal year 2021 financial statements as a $16.1 million reduction in net revenue, $136.9 million increase in cost of goods sold, $30.7 million in contract termination fees, and $12.7 million in impairments of brewery assets.</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revenue. </w:t>
      </w:r>
      <w:r>
        <w:rPr>
          <w:rFonts w:ascii="Times New Roman" w:cs="Times New Roman" w:eastAsia="Times New Roman" w:hAnsi="Times New Roman"/>
          <w:sz w:val="18"/>
          <w:szCs w:val="18"/>
          <w:color w:val="auto"/>
        </w:rPr>
        <w:t>Net revenue increased by $32.7 million, or 1.6%, to $2,090.3 million for the year ended December 31, 2022, as compared to $2,057.6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year ended December 25, 2021, primarily as a result of price increases of $97.0 million partially offset by lower shipment volume of $58.9 million and higher returns of $10.1 million.</w:t>
      </w:r>
    </w:p>
    <w:p>
      <w:pPr>
        <w:spacing w:after="0" w:line="173"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Total shipment volume of 8,183,000 barrels for the year ended December 31, 2022 decreased by 3.8% over 2021 levels of 8,504,000 barrels,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reflecting decreases in the Company’s Truly Hard Seltzer, Angry Orchard, Dogfish Head, and Samuel Adams brands, partially offset by increases in its Twisted Tea and Hard Mountain Dew brands. Shipment volume decreased 4.6% on a 52-week comparable basis.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Depletions of the Company’s products for the year ended December 31, 2022 decreased by approximately 5% compared to the prior year, reflecting decreases in the Company’s Truly Hard Seltzer, Angry Orchard, Dogfish Head, and Samuel Adams brands, partially offset by increases in its Twisted Tea and Hard Mountain Dew brands. On a 52-week comparable basis, depletions decreased 6% from fiscal year 2021.</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believes distributor inventory as of December 31, 2022 averaged approximately five weeks on hand and was at an appropriate level for each of its brands.</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Revenue per barrel. </w:t>
      </w:r>
      <w:r>
        <w:rPr>
          <w:rFonts w:ascii="Times New Roman" w:cs="Times New Roman" w:eastAsia="Times New Roman" w:hAnsi="Times New Roman"/>
          <w:sz w:val="18"/>
          <w:szCs w:val="18"/>
          <w:color w:val="auto"/>
        </w:rPr>
        <w:t>The net revenue per barrel increased by 5.6% to $255.44 per barrel for the year ended December 31, 2022, as compared to $241.97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barrel for the year ended December 25, 2021, primarily due to price increases, partially offset by higher returns.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was $150.10 per barrel for the year ended December 31, 2022, as compared to $148.15 per barrel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25, 2021. The 2022 increase in cost of goods sold of $1.95 or 1.32% per barrel was primarily due to current year inflationary impacts of $48.5 million, or $5.93 per barrel, higher per barrel brewery processing costs of $36.9 million, or $4.51 per barrel, higher inventory obsolescence costs of $25.1 million, or $3.07 per barrel, increased warehousing and pallet costs of $13.5 million, or $1.65 per barrel, partially offset by costs recorded in 2021 resulting from the slowdown of hard seltzer of $136.9 million, or $16.73 per barrel.</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Inflationary impacts of $48.5 million consist primarily of increased costs of cans of $25.0 million, cardboard of $9.7 million, utilities of $3.0 million and sweetener ingredients of $2.2 million.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Supply chain constraints in package materials, primarily cans, have impacted production schedules and increased can costs, as a result of using a more expensive supplier. During fiscal 2022 and 2021, the additional can costs related to use of this more expensive supplier were $3.6 million and $22.4 million, respectively. These supply chain constraints in package materials did not otherwise have a material impact on the Company’s results of operations or capital resources.</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Gross profit was $105.33 per barrel for the year ended December 31, 2022, as compared to $93.82 per barrel for the year ended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 2021. Gross margin was 41.2% for the year ended December 31, 2022, as compared to 38.8% for the year ended December 25, 2021. The increase was primarily due to costs recorded in fiscal year 2021 resulting from the slowdown of hard seltzer category growth and full year 2022 increased pricing, which was partially offset by inflationary cost increases, primarily experienced in increased packaging, ingredient, and energy costs, as well as higher inventory obsolescence costs, unfavorable product mix, and higher returns.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includes freight charges related to the movement of finished goods from manufacturing locations to Distributor locations in its advertising, promotional and selling expense line item. As such, the Company’s gross margins may not be comparable to other entities that classify costs related to distribution differently.</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promotional, and selling expenses. </w:t>
      </w:r>
      <w:r>
        <w:rPr>
          <w:rFonts w:ascii="Times New Roman" w:cs="Times New Roman" w:eastAsia="Times New Roman" w:hAnsi="Times New Roman"/>
          <w:sz w:val="18"/>
          <w:szCs w:val="18"/>
          <w:color w:val="auto"/>
        </w:rPr>
        <w:t>Advertising, promotional and selling expenses, decreased $28.6 million, or 4.7%, to $578.4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year ended December 31, 2022, as compared to $607.0 million for the year ended December 25, 2021. The decrease was primarily due to a net decrease in brand investments of $51.2 million, mainly driven by lower media costs, partially offset by higher salaries and benefits costs of $16.5 million. Freight to distributors was flat as higher rates were offset by lower volumes.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promotional and selling expenses were 27.7% of net revenue, or $70.68 per barrel, for the year ended December 31, 2022, as compared to</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29.5% of net revenue, or $71.38 per barrel, for the year ended December 25, 2021. The Company will invest in advertising and promotional campaigns that it believes are effective, but there is no guarantee that such investment will generate sales growth.</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conducts certain advertising and promotional activities in its Distributors’ markets, and the Distributors make contributions to the Company for such efforts. These amounts are included in the Company’s statement of operations as reductions to advertising, promotional and selling expenses. Historically, contributions from Distributors for advertising and promotional activities have amounted to between 2% and 3% of net sales. The Company may adjust its promotional efforts in the Distributors’ markets, if changes occur in these promotional contribution arrangements, depending on the industry and market conditions.</w:t>
      </w:r>
    </w:p>
    <w:p>
      <w:pPr>
        <w:spacing w:after="0" w:line="179"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$23.9 million, or 17.9%, to $157.5 million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2022, as compared to $133.6 million for the comparable period in 2021. The increase was primarily due to increased salaries and benefits costs.</w:t>
      </w:r>
    </w:p>
    <w:p>
      <w:pPr>
        <w:spacing w:after="0" w:line="17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Impairment of intangible assets. </w:t>
      </w:r>
      <w:r>
        <w:rPr>
          <w:rFonts w:ascii="Times New Roman" w:cs="Times New Roman" w:eastAsia="Times New Roman" w:hAnsi="Times New Roman"/>
          <w:sz w:val="18"/>
          <w:szCs w:val="18"/>
          <w:color w:val="auto"/>
        </w:rPr>
        <w:t>Impairment of intangible assets reflects a $27.1 million non-cash impairment charge recorded for the Dogfish 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taken as a result of the Company’s annual impairment analysis as of September 1, 2022. See further discussion in Note I to the Consolidated Financial Statements within Part II, Item 8 of this Form 10-K .</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4" w:name="page35"/>
    <w:bookmarkEnd w:id="34"/>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Impairment of brewery assets. </w:t>
      </w:r>
      <w:r>
        <w:rPr>
          <w:rFonts w:ascii="Times New Roman" w:cs="Times New Roman" w:eastAsia="Times New Roman" w:hAnsi="Times New Roman"/>
          <w:sz w:val="18"/>
          <w:szCs w:val="18"/>
          <w:color w:val="auto"/>
        </w:rPr>
        <w:t>Impairment of brewery assets decreased $15.7 million from the prior year, primarily due to the impairment of assets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directly related to the Truly slowdown in 2021 that did not recur in 2022.</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 provision (benefit). </w:t>
      </w:r>
      <w:r>
        <w:rPr>
          <w:rFonts w:ascii="Times New Roman" w:cs="Times New Roman" w:eastAsia="Times New Roman" w:hAnsi="Times New Roman"/>
          <w:sz w:val="18"/>
          <w:szCs w:val="18"/>
          <w:color w:val="auto"/>
        </w:rPr>
        <w:t>The Company’s effective tax rate for full-year 2022 was a tax provision of 26.4% compared to a benefit of 110.7%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This change in rate was primarily due to the impact of changes in the tax benefit from stock option activity recorded in accordance with ASU 2016-09 and the impact of lower pretax income for the full-year 2021 compared to 2022. In full year 2022 and 2021, the Company recorded a tax benefit of $0.06 per diluted share and $0.85 per diluted share, respectively, resulting from stock activity recorded under ASU 2016-09.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and investment in the Company’s business through capital expenditures.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increased to $180.6 million as of December 31, 2022 from $66.3 million as of December 25, 2021, reflecting cash provided by operating activities and proceeds from the exercise of stock options and sale of investment shares, partially offset by purchases of property, plant, and equipment and payments of tax withholdings on stock-based payment awards and investment shares.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consists of net income, adjusted for certain non-cash items, such as depreciation and amortization, impairment of intangible assets, stock-based compensation expense, other non-cash items included in operating results, and changes in operating assets and liabilities, such as accounts receivable, inventory, prepaid expenses and other current assets, accounts payable, and accrued expenses.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2022 was $199.9 million and consisted of non-cash items of $142.4 million and net income of $67.3 million, partially offset by a net increase in operating assets and liabilities of $9.7 million. The prepaid expenses, income tax receivable, and other current assets decrease of $38.7 million is primarily driven by income tax refunds received during the second quarter of 2022. The third-party production prepayments decrease of $27.0 million is primarily due to expensing of these prepayments over the respective contract terms. The accrued expenses and other current liabilities decrease of $50.4 million is primarily due to a prior year wholesaler transaction payment and the payment of hard seltzer category slowdown specific accruals. The other assets increase of $14.0 million is primarily due to an increase in capitalized cloud computing implementation costs.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25, 2021 was $56.3 million and primarily consisted of non-cash items of $111.6 million and net income of $14.5 million, partially offset by a net increase in operating assets and liabilities of $69.9 million. The increase in cash provided by operating activities for the year ended December 31, 2022 compared to the prior year is primarily due to higher net income, income tax refunds received, and decreases in third-party production prepayments.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used $88.5 million in investing activities during the year ended December 31, 2022, as compared to $146.6 million during the year ended December 25, 2021. Investing activities during both periods primarily consisted of capital investments made mostly in the Company’s breweries to drive efficiencies and cost reductions and support product innovation and future growth.</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$2.8 million during the year ended December 31, 2022, as compared to $6.6 million used during the year ended December 25, 2021. The $9.4 million increase in cash provided by financing activities in 2022 from 2021 is primarily due to lower tax withholdings on stock-based payment awards and investment shares, partially offset by lower proceeds from exercises of stock options and sales of investment shares.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did not repurchase any shares of its Class A Common Stock. During the period from January 1, 2023 through February 17, 2023, the Company repurchased 29,007 shares of its Class A Common Stock for an aggregate purchase price of $10.3 million. As of February 17, 2023, the Company had repurchased a cumulative total of approximately 13.8 million shares of its Class A Common Stock for an aggregate purchase price of $851.0 million and had approximately $80.0 million remaining on the $931.0 million stock repurchase expenditure limit set by the Board of Directors.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35" w:name="page36"/>
    <w:bookmarkEnd w:id="35"/>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expects that its cash balance as of December 31, 2022 of $180.6 million, along with future operating cash flows, will be sufficient to fund future cash requirements. During the fourth quarter of 2022 the Company amended its $150.0 million credit facility agreement, which now has a term not scheduled to expire until December 16, 2027. Refer to Note L of the Notes to Consolidated Financial Statements for further details of the terms of the agreement. As of the date of this filing, the Company was not in violation of any of its covenants to the lender under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discussion and analysis of the Company’s financial condition and results of operations is based upon its consolidated financial statements, which have been prepared in accordance with U.S. generally accepted accounting principles. The preparation of these financial statements requires the Company to make significant estimates and judgments that affect the reported amounts of assets, liabilities, revenues and expenses, and related disclosure of contingent assets and liabilities. These items are monitored and analyzed by management for changes in facts and circumstances, and material changes in these estimates could occur in the future. The more judgmental estimates are summarized below. Changes in estimates are recorded in the period in which they become known. The Company bases its estimates on historical experience and various other assumptions that the Company believes to be reasonable under the circumstances. Actual results may differ from the Company’s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Excess or Expired Inventory</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$35.9 million, $62.6 million and $11.3 million in fiscal years 2022, 2021, and 2020,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Property, Plant, and Equipment</w:t>
      </w:r>
    </w:p>
    <w:p>
      <w:pPr>
        <w:spacing w:after="0" w:line="22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carrying value of property, plant, and equipment, net of accumulated depreciation, at December 31, 2022 was $667.9 million. For purposes of determining whether there are any impairment losses,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impairments, market comparison to similar assets, estimated cash flows to be generated by the asset, discount rates, the remaining useful life of the asset, and the usefulness of the asset in consideration of future business plans. Impairment of assets classified as property, plant, and equipment included in operating expenses was $2.6 million, $18.5 million and $4.4 million in fiscal years 2022, 2021, and 2020, respectively.</w:t>
      </w:r>
    </w:p>
    <w:p>
      <w:pPr>
        <w:spacing w:after="0" w:line="18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Goodwill and Indefinite Lived Intangible Assets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line="252" w:lineRule="auto"/>
        <w:rPr>
          <w:sz w:val="20"/>
          <w:szCs w:val="20"/>
          <w:color w:val="auto"/>
        </w:rPr>
      </w:pPr>
      <w:r>
        <w:rPr>
          <w:rFonts w:ascii="Times New Roman" w:cs="Times New Roman" w:eastAsia="Times New Roman" w:hAnsi="Times New Roman"/>
          <w:sz w:val="18"/>
          <w:szCs w:val="18"/>
          <w:color w:val="auto"/>
        </w:rPr>
        <w:t>The Company’s annual goodwill impairment evaluation analysis conducted at the end of fiscal August indicated that the fair value of the Company’s goodwill was substantially greater than the carrying value and accordingly there was no impairment to record during fiscal 2022. 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intangible assets consist primarily of a trademark and customer relationships obtained through the Company’s Dogfish Head acquisition. Customer relationships are amortized over their estimated useful lives. The Dogfish Head trademark which was determined to have an indefinite useful life is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 The Company’s annual intangible asset impairment evaluation analysis conducted on September 1st (“the fiscal 2022 measurement date”) indicated that the fair value of the Company's Dogfish Head trademark intangible asset was less than the carrying value. Accordingly, an impairment charge of $27.1 million was recorded during the third quarter of fiscal 2022.</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Significant judgement is required to estimate the fair value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market-based royalty rate, the discount rate, and the after-tax royalty savings expected from ownership of the trademark. The assumptions and projections used in the estimate of fair value are consistent with recent trends and represent the projections used in the Company’s current strategic operating plans which include reductions in revenues from the Dogfish Head beer products which were partially offset with revenue growth from the new Dogfish Head canned cocktails products that were launched in 2021. These assumptions reflect management’s estimates of future economic and competitive conditions and consider many factors including macroeconomic conditions, industry growth rates, and competitive activities and are, therefore, subject to change as a result of changing market conditions. If these estimates or their related assumptions change in the future, we may be required to recognize an additional impairment charge for the asset. The recognition of any resulting impairment charge could have a material adverse impact on the Company's financial statements.</w:t>
      </w:r>
    </w:p>
    <w:p>
      <w:pPr>
        <w:spacing w:after="0" w:line="19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The Company performed a sensitivity analysis on its significant assumptions used in the Dogfish Head trademark fair value calculation and determined the following</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left="760" w:hanging="378"/>
        <w:spacing w:after="0" w:line="26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annual forecasted revenue growth rate of 1.0% would result in a 5.9% decrease to the fair value of $71.4 million as of the fiscal 2022 measurement date.</w:t>
      </w:r>
    </w:p>
    <w:p>
      <w:pPr>
        <w:ind w:left="760" w:right="360" w:hanging="378"/>
        <w:spacing w:after="0" w:line="255"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discount rate of 1.5% would result in a 16.0% increase to the fair value of $71.4 million as of the fiscal 2022 measurement date, while an increase in the discount rate of 1.5% would result in a 12.2% decrease to the fair value of $71.4 million as of the fiscal 2022 measurement date.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Revenue Recognition and Classification of Customer Programs and Incentives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31, 2022 and December 25, 2021, the Company has deferred $6.8 million and $8.0 million, respectively, in revenue related to product shipped prior to these dates for which the criteria for recognition of revenue was not met as of these dates. These amounts are included in accrued expenses and other current liabilities in the accompanying consolidated balance sheets.</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is committed to maintaining the freshness of the product in the market. In certain circumstances and with the Company’s approval, the Company accepts and destroys stale beer that is returned by Distributors. The Company generally credits approximately fifty percent of the distributor’s cost of the beer that has passed its expiration date for freshness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estimated reserve which would impact revenue. Provisions for returns included as reductions to net revenue were $19.6 million, $9.5 million and $8.4 million in fiscal years 2022, 2021, and 2020, respectively. As of December 31, 2022 and December 25, 2021, the stale beer reserve was $5.6 million and $6.0 million, respectively.</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$95.9 million, $126.1 million and $85.0 million in fiscal year 2022, 2021, and 2020, respectively. Estimates are based on historical and projected experience for each type of program or customer and have historically been in line with actual costs incurred.</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Customer promotional discount programs are entered into with Distributors for certain periods of time. Amounts paid to Distributors in connection with these programs in fiscal years 2022, 2021, and 2020 were $54.8 million, $72.7 million and $59.3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w:t>
      </w:r>
    </w:p>
    <w:p>
      <w:pPr>
        <w:spacing w:after="0" w:line="18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Customer incentives and other payments are made primarily to Distributors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2022, 2021, and 2020 were $41.1 million, $53.4 million and $25.7 million, respectively. In fiscal 2022, 2021, and 2020, the Company recorded certain of these costs in the total amount of $29.9 million, $42.0 million, and $23.1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period end. Estimates are based on historical and projected experience for each type of program or customer and have historically been in line with actual costs incurred.</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2"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$14.0 million, $18.6 million and $15.3 million in fiscal years 2022, 2021, and 2020, respectively.</w:t>
      </w:r>
    </w:p>
    <w:p>
      <w:pPr>
        <w:spacing w:after="0" w:line="18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N of the Notes to Consolidated Financial Statements for further discussion of the application of the option-pricing models.</w:t>
      </w:r>
    </w:p>
    <w:p>
      <w:pPr>
        <w:spacing w:after="0" w:line="16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an estimated pre-vesting forfeiture rate is applied in the recognition of the compensation charge. Periodically, the Company grants performance-based stock options, related to which it only recognizes compensation expense if it is probable that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alcoholic beverage industry is highly regulated at the federal, state and local levels. The TTB and the Justice Department’s Bureau of Alcohol, Tobacco, Firearms and Explosives enforce laws under the Federal Alcohol Administration Act. The TTB is responsible for administering and enforcing excise tax laws that directly affect the Company’s results of operations. State and regulatory authorities have the ability to suspend or revoke the Company’s licenses and permits or impose substantial fines for violations. The Company has established strict policies, procedures and guidelines in efforts to ensure compliance with all applicable state and federal laws. However, the loss or revocation of any existing license or permit could have a material adverse effect on the Company’s business, results of operations, cash flows and financial position.</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High End category and the Beyond Beer category within the United States are highly competitive due to large domestic and international brewers and the increasing number of craft brewers in this category who distribute similar products that have similar pricing and target drinkers. The Company believes that its pricing is appropriate given the quality and reputation of its brands, while realizing that economic pricing pressures may affect future pricing levels. Large domestic and international brewers are able to compete more aggressively than the Company, as they have substantially greater resources, marketing strength and distribution networks than the Company. The Company anticipates competition among domestic craft brewers will remain strong, as the number of craft brewers continues to grow. The Company also increasingly competes with wine and spirits companies, some of which have significantly greater resources than the Company. This competitive environment may affect the Company’s overall performance within the High End category. As the market matures and the High End category continues to consolidate, the Company believes that companies that are well-positioned in terms of brand equity, marketing and distribution will have greater success than those who do not. With its over 400 Distributors nationwide and the Company’s sales force of over 500 people, as well as a commitment to maintaining its innovation capability, brand equity and quality, the Company believes it is well positioned to compete in the High End Beer category.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the impact of fluctuations in foreign exchange rates. The Company does not enter into derivatives or other market risk sensitive instruments for the purpose of speculation or for trading purposes. Market risk sensitive instruments include derivative financial instruments, other financial instruments and derivative commodity instruments, such as futures, forwards, swaps and options, that are exposed to rate or price changes.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enters into hops purchase contracts, as described in Note N of the Notes to Consolidated Financial Statements, and makes purchases of other ingredients, equipment and machinery denominated in foreign currencies. The cost of these commitments changes as foreign exchange rates fluctuate. Currently, it is not the Company’s policy to hedge against foreign currency fluctuations.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39" w:name="page40"/>
    <w:bookmarkEnd w:id="39"/>
    <w:p>
      <w:pPr>
        <w:ind w:right="160"/>
        <w:spacing w:after="0" w:line="266" w:lineRule="auto"/>
        <w:rPr>
          <w:sz w:val="20"/>
          <w:szCs w:val="20"/>
          <w:color w:val="auto"/>
        </w:rPr>
      </w:pPr>
      <w:r>
        <w:rPr>
          <w:rFonts w:ascii="Times New Roman" w:cs="Times New Roman" w:eastAsia="Times New Roman" w:hAnsi="Times New Roman"/>
          <w:sz w:val="18"/>
          <w:szCs w:val="18"/>
          <w:color w:val="auto"/>
        </w:rPr>
        <w:t>The interest rate for borrowings under the Company’s credit facility is based on the applicable secured overnight financing rate ("SOFR") plus 1.1%, and therefore, subjects the Company to fluctuations in such rates. At December 31, 2022, the applicable SOFR was 4.3%. As of December 31, 2022, the Company had no amounts outstanding under its current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Sensitivity Analysis</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applies a sensitivity analysis to reflect the impact of a 10% hypothetical adverse change in the foreign currency exchange rates. A potential adverse fluctuation in foreign currency exchange rates could negatively impact future cash flows by approximately $2.0 million as of December 31, 2022.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many economic factors that can affect volatility in foreign exchange rates. As such factors cannot be predicted, the actual impact on earnings due to an adverse change in the respective rates could vary substantially from the amounts calculated above.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The Boston Beer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Boston Beer Company, Inc. and subsidiaries (the "Company") as of December 31, 2022 and December 25, 2021, the related consolidated statements of comprehensive income, stockholders’ equity, and cash flows, for each of the three years in the period ended December 31, 2022, and the related notes. In our opinion, the financial statements present fairly, in all material respects, the financial position of The Boston Beer Company, Inc. and subsidiaries as of December 31, 2022 and December 25, 2021, and the results of its operations and its cash flows for each of the three years in the period ended December 31, 2022, in conformity with accounting principles generally accepted in the United States of America.</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22, 2023,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Dogfish Head Trademark Intangible — Refer to Notes B, I, and O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an indefinite lived intangible asset consisting of the Dogfish Head Trademark (the “trademark”). The Company's evaluation of the trademark for impairment involves the comparison of the fair value to its' carrying value. Management estimates the fair value of the trademark annually on its elected assessment date which is September 1st of each fiscal year, or more often if impairment indicators are present, using the relief-from-royalty method, which is a discounted cash flow method. The determination of fair value requires management to make significant estimates and assumptions related to forecasted revenues, including growth rates, the royalty rate, and the discount rate used to estimate the fair value of the trademark asset. Changes in these assumptions could have a significant impact on the fair value of the trademark and the amount of any impairment charge. As of December 31, 2022, the carrying value of the trademark was $71.4 million. During the year ended December 31, 2022, the Company recognized an impairment charge of $27.1 million related to the trademark, since its fair value was lower than its carrying value.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ind w:right="280"/>
        <w:spacing w:after="0" w:line="261" w:lineRule="auto"/>
        <w:rPr>
          <w:sz w:val="20"/>
          <w:szCs w:val="20"/>
          <w:color w:val="auto"/>
        </w:rPr>
      </w:pPr>
      <w:r>
        <w:rPr>
          <w:rFonts w:ascii="Times New Roman" w:cs="Times New Roman" w:eastAsia="Times New Roman" w:hAnsi="Times New Roman"/>
          <w:sz w:val="18"/>
          <w:szCs w:val="18"/>
          <w:color w:val="auto"/>
        </w:rPr>
        <w:t>We identified the valuation of the trademark as a critical audit matter because of the significant judgments and assumptions management makes in estimating the fair value of the trademark. This required a high degree of auditor judgment and an increased extent of effort when performing audit procedures to evaluate the reasonableness of management’s forecasted revenues, the selection of the royalty rate and the selection of the discount rate, including the need to involve our fair value specialists.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forecasted revenues, the selected royalty rate, and the selected discount rate utilized in estimating the fair value of the trademark included the following, among others:</w:t>
      </w:r>
    </w:p>
    <w:p>
      <w:pPr>
        <w:spacing w:after="0" w:line="67" w:lineRule="exact"/>
        <w:rPr>
          <w:sz w:val="20"/>
          <w:szCs w:val="20"/>
          <w:color w:val="auto"/>
        </w:rPr>
      </w:pPr>
    </w:p>
    <w:p>
      <w:pPr>
        <w:ind w:left="380" w:hanging="372"/>
        <w:spacing w:after="0" w:line="312" w:lineRule="auto"/>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trademark impairment evaluation, including those over the determination of the fair value of the trademark, such as controls related to management’s forecasts of future revenue, and the selection of the royalty rate and the discount rate.</w:t>
      </w:r>
    </w:p>
    <w:p>
      <w:pPr>
        <w:spacing w:after="0" w:line="45" w:lineRule="exact"/>
        <w:rPr>
          <w:rFonts w:ascii="Times New Roman" w:cs="Times New Roman" w:eastAsia="Times New Roman" w:hAnsi="Times New Roman"/>
          <w:sz w:val="17"/>
          <w:szCs w:val="17"/>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revenues by comparing actual revenues to management’s historical forecasts.</w:t>
      </w:r>
    </w:p>
    <w:p>
      <w:pPr>
        <w:spacing w:after="0" w:line="13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forecasted revenues to:</w:t>
      </w:r>
    </w:p>
    <w:p>
      <w:pPr>
        <w:spacing w:after="0" w:line="130"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strategies and growth plans including consideration of the effects of new products;</w:t>
      </w:r>
    </w:p>
    <w:p>
      <w:pPr>
        <w:spacing w:after="0" w:line="2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 and trends; and</w:t>
      </w:r>
    </w:p>
    <w:p>
      <w:pPr>
        <w:spacing w:after="0" w:line="9"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reports.</w:t>
      </w:r>
    </w:p>
    <w:p>
      <w:pPr>
        <w:spacing w:after="0" w:line="112" w:lineRule="exact"/>
        <w:rPr>
          <w:rFonts w:ascii="Times New Roman" w:cs="Times New Roman" w:eastAsia="Times New Roman" w:hAnsi="Times New Roman"/>
          <w:sz w:val="18"/>
          <w:szCs w:val="18"/>
          <w:color w:val="auto"/>
        </w:rPr>
      </w:pPr>
    </w:p>
    <w:p>
      <w:pPr>
        <w:ind w:left="380" w:right="420" w:hanging="372"/>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valuation methodology and management’s assumptions including the royalty rate and the discount rate by:</w:t>
      </w:r>
    </w:p>
    <w:p>
      <w:pPr>
        <w:spacing w:after="0" w:line="67" w:lineRule="exact"/>
        <w:rPr>
          <w:rFonts w:ascii="Times New Roman" w:cs="Times New Roman" w:eastAsia="Times New Roman" w:hAnsi="Times New Roman"/>
          <w:sz w:val="18"/>
          <w:szCs w:val="18"/>
          <w:color w:val="auto"/>
        </w:rPr>
      </w:pPr>
    </w:p>
    <w:p>
      <w:pPr>
        <w:ind w:left="960" w:right="440" w:hanging="383"/>
        <w:spacing w:after="0" w:line="261" w:lineRule="auto"/>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royalty rate, the discount rate, and the mathematical accuracy of the calculations.</w:t>
      </w:r>
    </w:p>
    <w:p>
      <w:pPr>
        <w:ind w:left="960" w:hanging="383"/>
        <w:spacing w:after="0"/>
        <w:tabs>
          <w:tab w:leader="none" w:pos="9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for the discount rate and comparing those to the discount rate selected by management.</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140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3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00" w:type="dxa"/>
            <w:vAlign w:val="bottom"/>
          </w:tcPr>
          <w:p>
            <w:pPr>
              <w:spacing w:after="0"/>
              <w:rPr>
                <w:sz w:val="11"/>
                <w:szCs w:val="11"/>
                <w:color w:val="auto"/>
              </w:rPr>
            </w:pPr>
          </w:p>
        </w:tc>
      </w:tr>
      <w:tr>
        <w:trPr>
          <w:trHeight w:val="190"/>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86"/>
        </w:trPr>
        <w:tc>
          <w:tcPr>
            <w:tcW w:w="6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2,222,667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2,196,650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1,851,813</w:t>
            </w:r>
          </w:p>
        </w:tc>
        <w:tc>
          <w:tcPr>
            <w:tcW w:w="100" w:type="dxa"/>
            <w:vAlign w:val="bottom"/>
            <w:shd w:val="clear" w:color="auto" w:fill="CFF0FC"/>
          </w:tcPr>
          <w:p>
            <w:pPr>
              <w:spacing w:after="0"/>
              <w:rPr>
                <w:sz w:val="14"/>
                <w:szCs w:val="14"/>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excise taxes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115,381</w:t>
            </w:r>
          </w:p>
        </w:tc>
        <w:tc>
          <w:tcPr>
            <w:tcW w:w="100" w:type="dxa"/>
            <w:vAlign w:val="bottom"/>
          </w:tcPr>
          <w:p>
            <w:pPr>
              <w:spacing w:after="0"/>
              <w:rPr>
                <w:sz w:val="15"/>
                <w:szCs w:val="15"/>
                <w:color w:val="auto"/>
              </w:rPr>
            </w:pPr>
          </w:p>
        </w:tc>
      </w:tr>
      <w:tr>
        <w:trPr>
          <w:trHeight w:val="16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revenue</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2,090,334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2,057,622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1,736,432</w:t>
            </w:r>
          </w:p>
        </w:tc>
        <w:tc>
          <w:tcPr>
            <w:tcW w:w="100" w:type="dxa"/>
            <w:vAlign w:val="bottom"/>
            <w:shd w:val="clear" w:color="auto" w:fill="CFF0FC"/>
          </w:tcPr>
          <w:p>
            <w:pPr>
              <w:spacing w:after="0"/>
              <w:rPr>
                <w:sz w:val="14"/>
                <w:szCs w:val="14"/>
                <w:color w:val="auto"/>
              </w:rPr>
            </w:pPr>
          </w:p>
        </w:tc>
      </w:tr>
      <w:tr>
        <w:trPr>
          <w:trHeight w:val="175"/>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1,228,348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1,259,830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921,980</w:t>
            </w:r>
          </w:p>
        </w:tc>
        <w:tc>
          <w:tcPr>
            <w:tcW w:w="100" w:type="dxa"/>
            <w:vAlign w:val="bottom"/>
          </w:tcPr>
          <w:p>
            <w:pPr>
              <w:spacing w:after="0"/>
              <w:rPr>
                <w:sz w:val="15"/>
                <w:szCs w:val="15"/>
                <w:color w:val="auto"/>
              </w:rPr>
            </w:pPr>
          </w:p>
        </w:tc>
      </w:tr>
      <w:tr>
        <w:trPr>
          <w:trHeight w:val="16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861,986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797,792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814,452</w:t>
            </w:r>
          </w:p>
        </w:tc>
        <w:tc>
          <w:tcPr>
            <w:tcW w:w="100" w:type="dxa"/>
            <w:vAlign w:val="bottom"/>
            <w:shd w:val="clear" w:color="auto" w:fill="CFF0FC"/>
          </w:tcPr>
          <w:p>
            <w:pPr>
              <w:spacing w:after="0"/>
              <w:rPr>
                <w:sz w:val="14"/>
                <w:szCs w:val="14"/>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Advertising, promotional, and selling expenses</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578,400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606,994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447,568</w:t>
            </w:r>
          </w:p>
        </w:tc>
        <w:tc>
          <w:tcPr>
            <w:tcW w:w="100" w:type="dxa"/>
            <w:vAlign w:val="bottom"/>
            <w:shd w:val="clear" w:color="auto" w:fill="CFF0FC"/>
          </w:tcPr>
          <w:p>
            <w:pPr>
              <w:spacing w:after="0"/>
              <w:rPr>
                <w:sz w:val="15"/>
                <w:szCs w:val="15"/>
                <w:color w:val="auto"/>
              </w:rPr>
            </w:pPr>
          </w:p>
        </w:tc>
      </w:tr>
      <w:tr>
        <w:trPr>
          <w:trHeight w:val="176"/>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118,211</w:t>
            </w: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Contract termination costs and other</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30,678</w:t>
            </w:r>
          </w:p>
        </w:tc>
        <w:tc>
          <w:tcPr>
            <w:tcW w:w="100" w:type="dxa"/>
            <w:vAlign w:val="bottom"/>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Impairment of intangible asset</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Impairment of brewery assets</w:t>
            </w: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18,499</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771,195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789,795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570,245</w:t>
            </w:r>
          </w:p>
        </w:tc>
        <w:tc>
          <w:tcPr>
            <w:tcW w:w="100" w:type="dxa"/>
            <w:vAlign w:val="bottom"/>
          </w:tcPr>
          <w:p>
            <w:pPr>
              <w:spacing w:after="0"/>
              <w:rPr>
                <w:sz w:val="14"/>
                <w:szCs w:val="14"/>
                <w:color w:val="auto"/>
              </w:rPr>
            </w:pPr>
          </w:p>
        </w:tc>
      </w:tr>
      <w:tr>
        <w:trPr>
          <w:trHeight w:val="16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90,791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7,997</w:t>
            </w:r>
          </w:p>
        </w:tc>
        <w:tc>
          <w:tcPr>
            <w:tcW w:w="100" w:type="dxa"/>
            <w:vAlign w:val="bottom"/>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244,207</w:t>
            </w:r>
          </w:p>
        </w:tc>
        <w:tc>
          <w:tcPr>
            <w:tcW w:w="100" w:type="dxa"/>
            <w:vAlign w:val="bottom"/>
            <w:shd w:val="clear" w:color="auto" w:fill="CFF0FC"/>
          </w:tcPr>
          <w:p>
            <w:pPr>
              <w:spacing w:after="0"/>
              <w:rPr>
                <w:sz w:val="14"/>
                <w:szCs w:val="14"/>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40" w:type="dxa"/>
            <w:vAlign w:val="bottom"/>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(199 )</w:t>
            </w:r>
          </w:p>
        </w:tc>
      </w:tr>
      <w:tr>
        <w:trPr>
          <w:trHeight w:val="176"/>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6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(1,916 )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(978 )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5"/>
                <w:szCs w:val="15"/>
                <w:color w:val="auto"/>
              </w:rPr>
            </w:pPr>
          </w:p>
        </w:tc>
      </w:tr>
      <w:tr>
        <w:trPr>
          <w:trHeight w:val="169"/>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provision (benefit)</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244,230</w:t>
            </w:r>
          </w:p>
        </w:tc>
        <w:tc>
          <w:tcPr>
            <w:tcW w:w="100" w:type="dxa"/>
            <w:vAlign w:val="bottom"/>
          </w:tcPr>
          <w:p>
            <w:pPr>
              <w:spacing w:after="0"/>
              <w:rPr>
                <w:sz w:val="14"/>
                <w:szCs w:val="14"/>
                <w:color w:val="auto"/>
              </w:rPr>
            </w:pPr>
          </w:p>
        </w:tc>
      </w:tr>
      <w:tr>
        <w:trPr>
          <w:trHeight w:val="17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24,173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(7,644 )</w:t>
            </w:r>
          </w:p>
        </w:tc>
        <w:tc>
          <w:tcPr>
            <w:tcW w:w="140" w:type="dxa"/>
            <w:vAlign w:val="bottom"/>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52,270</w:t>
            </w:r>
          </w:p>
        </w:tc>
        <w:tc>
          <w:tcPr>
            <w:tcW w:w="100" w:type="dxa"/>
            <w:vAlign w:val="bottom"/>
            <w:shd w:val="clear" w:color="auto" w:fill="CFF0FC"/>
          </w:tcPr>
          <w:p>
            <w:pPr>
              <w:spacing w:after="0"/>
              <w:rPr>
                <w:sz w:val="15"/>
                <w:szCs w:val="15"/>
                <w:color w:val="auto"/>
              </w:rPr>
            </w:pPr>
          </w:p>
        </w:tc>
      </w:tr>
      <w:tr>
        <w:trPr>
          <w:trHeight w:val="169"/>
        </w:trPr>
        <w:tc>
          <w:tcPr>
            <w:tcW w:w="6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67,263</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14,553</w:t>
            </w:r>
          </w:p>
        </w:tc>
        <w:tc>
          <w:tcPr>
            <w:tcW w:w="100" w:type="dxa"/>
            <w:vAlign w:val="bottom"/>
            <w:tcBorders>
              <w:top w:val="single" w:sz="8" w:color="CFF0FC"/>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191,960</w:t>
            </w:r>
          </w:p>
        </w:tc>
        <w:tc>
          <w:tcPr>
            <w:tcW w:w="100" w:type="dxa"/>
            <w:vAlign w:val="bottom"/>
            <w:tcBorders>
              <w:top w:val="single" w:sz="8" w:color="CFF0FC"/>
            </w:tcBorders>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6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income per common share - basic</w:t>
            </w:r>
          </w:p>
        </w:tc>
        <w:tc>
          <w:tcPr>
            <w:tcW w:w="16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5.46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15.73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66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60" w:type="dxa"/>
            <w:vAlign w:val="bottom"/>
            <w:tcBorders>
              <w:bottom w:val="single" w:sz="8" w:color="auto"/>
            </w:tcBorders>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6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Weighted-average number of common shares - basic</w:t>
            </w: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12,317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12,280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12,204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66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Weighted-average number of common shares - diluted</w:t>
            </w: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12,345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12,436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12,283</w:t>
            </w:r>
          </w:p>
        </w:tc>
        <w:tc>
          <w:tcPr>
            <w:tcW w:w="100" w:type="dxa"/>
            <w:vAlign w:val="bottom"/>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60" w:type="dxa"/>
            <w:vAlign w:val="bottom"/>
            <w:shd w:val="clear" w:color="auto" w:fill="CFF0FC"/>
          </w:tcPr>
          <w:p>
            <w:pPr>
              <w:ind w:left="380"/>
              <w:spacing w:after="0" w:line="156"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67,263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14,553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191,960</w:t>
            </w:r>
          </w:p>
        </w:tc>
        <w:tc>
          <w:tcPr>
            <w:tcW w:w="100" w:type="dxa"/>
            <w:vAlign w:val="bottom"/>
            <w:shd w:val="clear" w:color="auto" w:fill="CFF0FC"/>
          </w:tcPr>
          <w:p>
            <w:pPr>
              <w:spacing w:after="0"/>
              <w:rPr>
                <w:sz w:val="13"/>
                <w:szCs w:val="13"/>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5"/>
                <w:szCs w:val="15"/>
                <w:color w:val="auto"/>
              </w:rPr>
            </w:pPr>
          </w:p>
        </w:tc>
      </w:tr>
      <w:tr>
        <w:trPr>
          <w:trHeight w:val="175"/>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plans liability adjustment</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5"/>
                <w:szCs w:val="15"/>
                <w:color w:val="auto"/>
              </w:rPr>
            </w:pPr>
          </w:p>
        </w:tc>
      </w:tr>
      <w:tr>
        <w:trPr>
          <w:trHeight w:val="169"/>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193,377</w:t>
            </w:r>
          </w:p>
        </w:tc>
        <w:tc>
          <w:tcPr>
            <w:tcW w:w="100" w:type="dxa"/>
            <w:vAlign w:val="bottom"/>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-2331085</wp:posOffset>
            </wp:positionV>
            <wp:extent cx="68580" cy="128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-2331085</wp:posOffset>
            </wp:positionV>
            <wp:extent cx="68580" cy="1282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128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-1636395</wp:posOffset>
            </wp:positionV>
            <wp:extent cx="6858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-1636395</wp:posOffset>
            </wp:positionV>
            <wp:extent cx="6858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-1405255</wp:posOffset>
            </wp:positionV>
            <wp:extent cx="6858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-1405255</wp:posOffset>
            </wp:positionV>
            <wp:extent cx="6858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-1148080</wp:posOffset>
            </wp:positionV>
            <wp:extent cx="205740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5740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-873760</wp:posOffset>
            </wp:positionV>
            <wp:extent cx="205740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740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-145415</wp:posOffset>
            </wp:positionV>
            <wp:extent cx="6858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-145415</wp:posOffset>
            </wp:positionV>
            <wp:extent cx="6858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7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28"/>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308"/>
              <w:spacing w:after="0" w:line="15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35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180,560</w:t>
            </w:r>
          </w:p>
        </w:tc>
        <w:tc>
          <w:tcPr>
            <w:tcW w:w="1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56,672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55,022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27,461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 receivable</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423,269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345,341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667,909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43,768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76,324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Third-party production prepayments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35,635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19,354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1,420,773</w:t>
            </w:r>
          </w:p>
        </w:tc>
        <w:tc>
          <w:tcPr>
            <w:tcW w:w="100" w:type="dxa"/>
            <w:vAlign w:val="bottom"/>
          </w:tcPr>
          <w:p>
            <w:pPr>
              <w:spacing w:after="0"/>
              <w:rPr>
                <w:sz w:val="14"/>
                <w:szCs w:val="14"/>
                <w:color w:val="auto"/>
              </w:rPr>
            </w:pP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1,386,784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66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84,248</w:t>
            </w:r>
          </w:p>
        </w:tc>
        <w:tc>
          <w:tcPr>
            <w:tcW w:w="1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8,866</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96,592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87,495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N)</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$0.01 par value; 22,700,000 shares authorized; 10,238,009</w:t>
            </w: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10,183,801 issued and outstanding as of December 31, 2022 and</w:t>
            </w:r>
          </w:p>
        </w:tc>
        <w:tc>
          <w:tcPr>
            <w:tcW w:w="22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December 25, 2021, respectively</w:t>
            </w:r>
          </w:p>
        </w:tc>
        <w:tc>
          <w:tcPr>
            <w:tcW w:w="220" w:type="dxa"/>
            <w:vAlign w:val="bottom"/>
            <w:shd w:val="clear" w:color="auto" w:fill="CFF0FC"/>
          </w:tcPr>
          <w:p>
            <w:pPr>
              <w:spacing w:after="0"/>
              <w:rPr>
                <w:sz w:val="16"/>
                <w:szCs w:val="16"/>
                <w:color w:val="auto"/>
              </w:rPr>
            </w:pPr>
          </w:p>
        </w:tc>
        <w:tc>
          <w:tcPr>
            <w:tcW w:w="13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 Common Stock, $0.01 par value; 4,200,000 shares authorized; 2,068,000</w:t>
            </w:r>
          </w:p>
        </w:tc>
        <w:tc>
          <w:tcPr>
            <w:tcW w:w="22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at December 31, 2022 and December 25, 2021</w:t>
            </w: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629,515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611,622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Pr>
          <w:p>
            <w:pPr>
              <w:spacing w:after="0"/>
              <w:rPr>
                <w:sz w:val="15"/>
                <w:szCs w:val="15"/>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(210 )</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(194 )</w:t>
            </w: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439,121</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371,858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1,068,549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1,420,773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1,386,784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-2605405</wp:posOffset>
            </wp:positionV>
            <wp:extent cx="6858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-1902460</wp:posOffset>
            </wp:positionV>
            <wp:extent cx="6858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-1447800</wp:posOffset>
            </wp:positionV>
            <wp:extent cx="6858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-265430</wp:posOffset>
            </wp:positionV>
            <wp:extent cx="6858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ind w:left="3180"/>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December 25, 2021, and December 26, 2020</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Clas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 A</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w:t>
            </w:r>
          </w:p>
        </w:tc>
        <w:tc>
          <w:tcPr>
            <w:tcW w:w="140" w:type="dxa"/>
            <w:vAlign w:val="bottom"/>
          </w:tcPr>
          <w:p>
            <w:pPr>
              <w:spacing w:after="0"/>
              <w:rPr>
                <w:sz w:val="12"/>
                <w:szCs w:val="12"/>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700" w:type="dxa"/>
            <w:vAlign w:val="bottom"/>
            <w:gridSpan w:val="3"/>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mon</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14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w:t>
            </w:r>
          </w:p>
        </w:tc>
        <w:tc>
          <w:tcPr>
            <w:tcW w:w="14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Commo</w:t>
            </w:r>
          </w:p>
        </w:tc>
        <w:tc>
          <w:tcPr>
            <w:tcW w:w="100" w:type="dxa"/>
            <w:vAlign w:val="bottom"/>
          </w:tcPr>
          <w:p>
            <w:pPr>
              <w:spacing w:after="0"/>
              <w:rPr>
                <w:sz w:val="12"/>
                <w:szCs w:val="12"/>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4"/>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Compreh</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88"/>
              </w:rPr>
              <w:t>k,</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ensive</w:t>
            </w:r>
          </w:p>
        </w:tc>
        <w:tc>
          <w:tcPr>
            <w:tcW w:w="760" w:type="dxa"/>
            <w:vAlign w:val="bottom"/>
            <w:gridSpan w:val="2"/>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700" w:type="dxa"/>
            <w:vAlign w:val="bottom"/>
            <w:gridSpan w:val="3"/>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60" w:type="dxa"/>
            <w:vAlign w:val="bottom"/>
          </w:tcPr>
          <w:p>
            <w:pPr>
              <w:spacing w:after="0"/>
              <w:rPr>
                <w:sz w:val="12"/>
                <w:szCs w:val="12"/>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28, 2019</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9,371</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Borders>
              <w:right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571,784</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165,400</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28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191,960</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191,960</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right w:val="single" w:sz="8" w:color="CFF0FC"/>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12,671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activities</w:t>
            </w:r>
          </w:p>
        </w:tc>
        <w:tc>
          <w:tcPr>
            <w:tcW w:w="580" w:type="dxa"/>
            <w:vAlign w:val="bottom"/>
            <w:vMerge w:val="continue"/>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Conversion from Class B to Class A</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(495 )</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plans liability adjustment, net of tax of $467</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58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2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26, 2020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10,005</w:t>
            </w:r>
          </w:p>
        </w:tc>
        <w:tc>
          <w:tcPr>
            <w:tcW w:w="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12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599,737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(252 ) $</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357,360</w:t>
            </w:r>
          </w:p>
        </w:tc>
        <w:tc>
          <w:tcPr>
            <w:tcW w:w="12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956,967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right w:val="single" w:sz="8" w:color="CFF0FC"/>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(6,730 )</w:t>
            </w: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(6,729 )</w:t>
            </w:r>
          </w:p>
        </w:tc>
        <w:tc>
          <w:tcPr>
            <w:tcW w:w="0" w:type="dxa"/>
            <w:vAlign w:val="bottom"/>
          </w:tcPr>
          <w:p>
            <w:pPr>
              <w:spacing w:after="0"/>
              <w:rPr>
                <w:sz w:val="1"/>
                <w:szCs w:val="1"/>
                <w:color w:val="auto"/>
              </w:rPr>
            </w:pPr>
          </w:p>
        </w:tc>
      </w:tr>
      <w:tr>
        <w:trPr>
          <w:trHeight w:val="185"/>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activities</w:t>
            </w:r>
          </w:p>
        </w:tc>
        <w:tc>
          <w:tcPr>
            <w:tcW w:w="580" w:type="dxa"/>
            <w:vAlign w:val="bottom"/>
            <w:vMerge w:val="continue"/>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Conversion from Class B to Class A</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(110 )</w:t>
            </w: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plans liability adjustment, net of tax of $20</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Impact of ASU 2019-12</w:t>
            </w:r>
          </w:p>
        </w:tc>
        <w:tc>
          <w:tcPr>
            <w:tcW w:w="5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(55 )</w:t>
            </w: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25, 2021</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10,184</w:t>
            </w:r>
          </w:p>
        </w:tc>
        <w:tc>
          <w:tcPr>
            <w:tcW w:w="140" w:type="dxa"/>
            <w:vAlign w:val="bottom"/>
            <w:tcBorders>
              <w:right w:val="single" w:sz="8" w:color="CFF0FC"/>
            </w:tcBorders>
            <w:vMerge w:val="restart"/>
            <w:shd w:val="clear" w:color="auto" w:fill="CFF0FC"/>
          </w:tcPr>
          <w:p>
            <w:pPr>
              <w:spacing w:after="0"/>
              <w:rPr>
                <w:sz w:val="11"/>
                <w:szCs w:val="11"/>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Borders>
              <w:right w:val="single" w:sz="8" w:color="CFF0FC"/>
            </w:tcBorders>
            <w:vMerge w:val="restart"/>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611,622</w:t>
            </w: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(194 ) $</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371,858</w:t>
            </w: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983,409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FF0FC"/>
          </w:tcPr>
          <w:p>
            <w:pPr>
              <w:spacing w:after="0"/>
              <w:rPr>
                <w:sz w:val="19"/>
                <w:szCs w:val="19"/>
                <w:color w:val="auto"/>
              </w:rPr>
            </w:pPr>
          </w:p>
        </w:tc>
        <w:tc>
          <w:tcPr>
            <w:tcW w:w="580" w:type="dxa"/>
            <w:vAlign w:val="bottom"/>
            <w:vMerge w:val="continue"/>
            <w:shd w:val="clear" w:color="auto" w:fill="CFF0FC"/>
          </w:tcPr>
          <w:p>
            <w:pPr>
              <w:spacing w:after="0"/>
              <w:rPr>
                <w:sz w:val="19"/>
                <w:szCs w:val="19"/>
                <w:color w:val="auto"/>
              </w:rPr>
            </w:pPr>
          </w:p>
        </w:tc>
        <w:tc>
          <w:tcPr>
            <w:tcW w:w="140" w:type="dxa"/>
            <w:vAlign w:val="bottom"/>
            <w:tcBorders>
              <w:right w:val="single" w:sz="8" w:color="CFF0FC"/>
            </w:tcBorders>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right w:val="single" w:sz="8" w:color="CFF0FC"/>
            </w:tcBorders>
            <w:vMerge w:val="continue"/>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4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700" w:type="dxa"/>
            <w:vAlign w:val="bottom"/>
            <w:gridSpan w:val="3"/>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280" w:type="dxa"/>
            <w:vAlign w:val="bottom"/>
            <w:tcBorders>
              <w:top w:val="single" w:sz="8" w:color="CFF0FC"/>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67,263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options exercised and restricted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activities</w:t>
            </w:r>
          </w:p>
        </w:tc>
        <w:tc>
          <w:tcPr>
            <w:tcW w:w="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5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plans liability adjustment, net of tax of $95</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58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(269 )</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2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December 31, 2022</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10,238</w:t>
            </w:r>
          </w:p>
        </w:tc>
        <w:tc>
          <w:tcPr>
            <w:tcW w:w="140" w:type="dxa"/>
            <w:vAlign w:val="bottom"/>
            <w:vMerge w:val="restart"/>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vMerge w:val="restart"/>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629,515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(210 ) $</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439,121</w:t>
            </w:r>
          </w:p>
        </w:tc>
        <w:tc>
          <w:tcPr>
            <w:tcW w:w="12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1,068,549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-3256915</wp:posOffset>
            </wp:positionV>
            <wp:extent cx="341185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11855" cy="13716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-2468245</wp:posOffset>
            </wp:positionV>
            <wp:extent cx="76835"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-2468245</wp:posOffset>
            </wp:positionV>
            <wp:extent cx="76835"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-2468245</wp:posOffset>
            </wp:positionV>
            <wp:extent cx="7747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-2468245</wp:posOffset>
            </wp:positionV>
            <wp:extent cx="68580" cy="240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-2468245</wp:posOffset>
            </wp:positionV>
            <wp:extent cx="68580"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-2468245</wp:posOffset>
            </wp:positionV>
            <wp:extent cx="6858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-2468245</wp:posOffset>
            </wp:positionV>
            <wp:extent cx="68580"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-1028065</wp:posOffset>
            </wp:positionV>
            <wp:extent cx="341185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11855" cy="13716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-239395</wp:posOffset>
            </wp:positionV>
            <wp:extent cx="76835"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-239395</wp:posOffset>
            </wp:positionV>
            <wp:extent cx="76835"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-239395</wp:posOffset>
            </wp:positionV>
            <wp:extent cx="77470"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-239395</wp:posOffset>
            </wp:positionV>
            <wp:extent cx="68580" cy="2400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-239395</wp:posOffset>
            </wp:positionV>
            <wp:extent cx="68580"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-239395</wp:posOffset>
            </wp:positionV>
            <wp:extent cx="68580" cy="240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-239395</wp:posOffset>
            </wp:positionV>
            <wp:extent cx="68580"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240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right"/>
              <w:ind w:right="42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420" w:type="dxa"/>
            <w:vAlign w:val="bottom"/>
            <w:gridSpan w:val="2"/>
          </w:tcPr>
          <w:p>
            <w:pPr>
              <w:jc w:val="center"/>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operating activities:</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67,263</w:t>
            </w:r>
          </w:p>
        </w:tc>
        <w:tc>
          <w:tcPr>
            <w:tcW w:w="2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14,553</w:t>
            </w:r>
          </w:p>
        </w:tc>
        <w:tc>
          <w:tcPr>
            <w:tcW w:w="100" w:type="dxa"/>
            <w:vAlign w:val="bottom"/>
          </w:tcPr>
          <w:p>
            <w:pPr>
              <w:spacing w:after="0"/>
              <w:rPr>
                <w:sz w:val="15"/>
                <w:szCs w:val="15"/>
                <w:color w:val="auto"/>
              </w:rPr>
            </w:pP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Impairment of intangible asset</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Impairment of brewery assets</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Gain on sale of property, plant, and equipment</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(237 )</w:t>
            </w: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(639 )</w:t>
            </w:r>
          </w:p>
        </w:tc>
        <w:tc>
          <w:tcPr>
            <w:tcW w:w="0" w:type="dxa"/>
            <w:vAlign w:val="bottom"/>
          </w:tcPr>
          <w:p>
            <w:pPr>
              <w:spacing w:after="0"/>
              <w:rPr>
                <w:sz w:val="1"/>
                <w:szCs w:val="1"/>
                <w:color w:val="auto"/>
              </w:rPr>
            </w:pPr>
          </w:p>
        </w:tc>
      </w:tr>
      <w:tr>
        <w:trPr>
          <w:trHeight w:val="176"/>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 in right-of-use assets</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 non-cash expense (income)</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(5,225 )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(2,042 )</w:t>
            </w: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23,071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(24,014 )</w:t>
            </w:r>
          </w:p>
        </w:tc>
        <w:tc>
          <w:tcPr>
            <w:tcW w:w="0" w:type="dxa"/>
            <w:vAlign w:val="bottom"/>
          </w:tcPr>
          <w:p>
            <w:pPr>
              <w:spacing w:after="0"/>
              <w:rPr>
                <w:sz w:val="1"/>
                <w:szCs w:val="1"/>
                <w:color w:val="auto"/>
              </w:rPr>
            </w:pPr>
          </w:p>
        </w:tc>
      </w:tr>
      <w:tr>
        <w:trPr>
          <w:trHeight w:val="175"/>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(21,224 )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(24,463 )</w:t>
            </w:r>
          </w:p>
        </w:tc>
        <w:tc>
          <w:tcPr>
            <w:tcW w:w="0" w:type="dxa"/>
            <w:vAlign w:val="bottom"/>
          </w:tcPr>
          <w:p>
            <w:pPr>
              <w:spacing w:after="0"/>
              <w:rPr>
                <w:sz w:val="1"/>
                <w:szCs w:val="1"/>
                <w:color w:val="auto"/>
              </w:rPr>
            </w:pPr>
          </w:p>
        </w:tc>
      </w:tr>
      <w:tr>
        <w:trPr>
          <w:trHeight w:val="176"/>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Prepaid expenses, income tax receivable, and other current assets</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38,652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(49,073 )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(9,531 )</w:t>
            </w:r>
          </w:p>
        </w:tc>
        <w:tc>
          <w:tcPr>
            <w:tcW w:w="0" w:type="dxa"/>
            <w:vAlign w:val="bottom"/>
          </w:tcPr>
          <w:p>
            <w:pPr>
              <w:spacing w:after="0"/>
              <w:rPr>
                <w:sz w:val="1"/>
                <w:szCs w:val="1"/>
                <w:color w:val="auto"/>
              </w:rPr>
            </w:pPr>
          </w:p>
        </w:tc>
      </w:tr>
      <w:tr>
        <w:trPr>
          <w:trHeight w:val="175"/>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Third-party production prepayments</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(16,635 )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(53,851 )</w:t>
            </w:r>
          </w:p>
        </w:tc>
        <w:tc>
          <w:tcPr>
            <w:tcW w:w="0" w:type="dxa"/>
            <w:vAlign w:val="bottom"/>
          </w:tcPr>
          <w:p>
            <w:pPr>
              <w:spacing w:after="0"/>
              <w:rPr>
                <w:sz w:val="1"/>
                <w:szCs w:val="1"/>
                <w:color w:val="auto"/>
              </w:rPr>
            </w:pPr>
          </w:p>
        </w:tc>
      </w:tr>
      <w:tr>
        <w:trPr>
          <w:trHeight w:val="176"/>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(14,031 )</w:t>
            </w: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(5,699 )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0" w:type="dxa"/>
            <w:vAlign w:val="bottom"/>
          </w:tcPr>
          <w:p>
            <w:pPr>
              <w:spacing w:after="0"/>
              <w:rPr>
                <w:sz w:val="1"/>
                <w:szCs w:val="1"/>
                <w:color w:val="auto"/>
              </w:rPr>
            </w:pPr>
          </w:p>
        </w:tc>
      </w:tr>
      <w:tr>
        <w:trPr>
          <w:trHeight w:val="176"/>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(2,219 )</w:t>
            </w:r>
          </w:p>
        </w:tc>
        <w:tc>
          <w:tcPr>
            <w:tcW w:w="2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(27,361 )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(50,358 )</w:t>
            </w: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38,894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 in operating lease liabilities</w:t>
            </w:r>
          </w:p>
        </w:tc>
        <w:tc>
          <w:tcPr>
            <w:tcW w:w="14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(6,516 )</w:t>
            </w:r>
          </w:p>
        </w:tc>
        <w:tc>
          <w:tcPr>
            <w:tcW w:w="2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(8,229 )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(3,786 )</w:t>
            </w:r>
          </w:p>
        </w:tc>
        <w:tc>
          <w:tcPr>
            <w:tcW w:w="0" w:type="dxa"/>
            <w:vAlign w:val="bottom"/>
          </w:tcPr>
          <w:p>
            <w:pPr>
              <w:spacing w:after="0"/>
              <w:rPr>
                <w:sz w:val="1"/>
                <w:szCs w:val="1"/>
                <w:color w:val="auto"/>
              </w:rPr>
            </w:pPr>
          </w:p>
        </w:tc>
      </w:tr>
      <w:tr>
        <w:trPr>
          <w:trHeight w:val="175"/>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(274 )</w:t>
            </w: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(3,604 )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199,945</w:t>
            </w: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56,297</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253,407</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4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(90,582 )</w:t>
            </w:r>
          </w:p>
        </w:tc>
        <w:tc>
          <w:tcPr>
            <w:tcW w:w="2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(147,919 )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(139,996 )</w:t>
            </w:r>
          </w:p>
        </w:tc>
        <w:tc>
          <w:tcPr>
            <w:tcW w:w="0" w:type="dxa"/>
            <w:vAlign w:val="bottom"/>
          </w:tcPr>
          <w:p>
            <w:pPr>
              <w:spacing w:after="0"/>
              <w:rPr>
                <w:sz w:val="1"/>
                <w:szCs w:val="1"/>
                <w:color w:val="auto"/>
              </w:rPr>
            </w:pPr>
          </w:p>
        </w:tc>
      </w:tr>
      <w:tr>
        <w:trPr>
          <w:trHeight w:val="176"/>
        </w:trPr>
        <w:tc>
          <w:tcPr>
            <w:tcW w:w="6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4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(88,506</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(146,617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(139,117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(used in) financing activities:</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exercise of stock options and sale of investment shares</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10,465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cash paid on note payable and finance leases</w:t>
            </w:r>
          </w:p>
        </w:tc>
        <w:tc>
          <w:tcPr>
            <w:tcW w:w="14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(1,672 )</w:t>
            </w:r>
          </w:p>
        </w:tc>
        <w:tc>
          <w:tcPr>
            <w:tcW w:w="2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(1,570 )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(1,260 )</w:t>
            </w:r>
          </w:p>
        </w:tc>
        <w:tc>
          <w:tcPr>
            <w:tcW w:w="0" w:type="dxa"/>
            <w:vAlign w:val="bottom"/>
          </w:tcPr>
          <w:p>
            <w:pPr>
              <w:spacing w:after="0"/>
              <w:rPr>
                <w:sz w:val="1"/>
                <w:szCs w:val="1"/>
                <w:color w:val="auto"/>
              </w:rPr>
            </w:pPr>
          </w:p>
        </w:tc>
      </w:tr>
      <w:tr>
        <w:trPr>
          <w:trHeight w:val="175"/>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borrowed on line of credit</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on line of credit</w:t>
            </w:r>
          </w:p>
        </w:tc>
        <w:tc>
          <w:tcPr>
            <w:tcW w:w="140" w:type="dxa"/>
            <w:vAlign w:val="bottom"/>
          </w:tcPr>
          <w:p>
            <w:pPr>
              <w:spacing w:after="0"/>
              <w:rPr>
                <w:sz w:val="15"/>
                <w:szCs w:val="15"/>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(30,000 )</w:t>
            </w:r>
          </w:p>
        </w:tc>
        <w:tc>
          <w:tcPr>
            <w:tcW w:w="200" w:type="dxa"/>
            <w:vAlign w:val="bottom"/>
          </w:tcPr>
          <w:p>
            <w:pPr>
              <w:spacing w:after="0"/>
              <w:rPr>
                <w:sz w:val="15"/>
                <w:szCs w:val="15"/>
                <w:color w:val="auto"/>
              </w:rPr>
            </w:pPr>
          </w:p>
        </w:tc>
        <w:tc>
          <w:tcPr>
            <w:tcW w:w="1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(100,000 )</w:t>
            </w:r>
          </w:p>
        </w:tc>
        <w:tc>
          <w:tcPr>
            <w:tcW w:w="0" w:type="dxa"/>
            <w:vAlign w:val="bottom"/>
          </w:tcPr>
          <w:p>
            <w:pPr>
              <w:spacing w:after="0"/>
              <w:rPr>
                <w:sz w:val="1"/>
                <w:szCs w:val="1"/>
                <w:color w:val="auto"/>
              </w:rPr>
            </w:pPr>
          </w:p>
        </w:tc>
      </w:tr>
      <w:tr>
        <w:trPr>
          <w:trHeight w:val="175"/>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 of tax withholding on stock-based payment awards and investment shares</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(3,474 )</w:t>
            </w:r>
          </w:p>
        </w:tc>
        <w:tc>
          <w:tcPr>
            <w:tcW w:w="2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(15,536 )</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(1,692 )</w:t>
            </w:r>
          </w:p>
        </w:tc>
        <w:tc>
          <w:tcPr>
            <w:tcW w:w="0" w:type="dxa"/>
            <w:vAlign w:val="bottom"/>
          </w:tcPr>
          <w:p>
            <w:pPr>
              <w:spacing w:after="0"/>
              <w:rPr>
                <w:sz w:val="1"/>
                <w:szCs w:val="1"/>
                <w:color w:val="auto"/>
              </w:rPr>
            </w:pPr>
          </w:p>
        </w:tc>
      </w:tr>
      <w:tr>
        <w:trPr>
          <w:trHeight w:val="20"/>
        </w:trPr>
        <w:tc>
          <w:tcPr>
            <w:tcW w:w="65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(6,641 )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14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114,239</w:t>
            </w:r>
          </w:p>
        </w:tc>
        <w:tc>
          <w:tcPr>
            <w:tcW w:w="2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(96,961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66,321</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180,560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66,321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163,282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taxes paid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16,980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53,889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Income taxes refunded</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45,124</w:t>
            </w:r>
          </w:p>
        </w:tc>
        <w:tc>
          <w:tcPr>
            <w:tcW w:w="260" w:type="dxa"/>
            <w:vAlign w:val="bottom"/>
          </w:tcPr>
          <w:p>
            <w:pPr>
              <w:spacing w:after="0"/>
              <w:rPr>
                <w:sz w:val="13"/>
                <w:szCs w:val="13"/>
                <w:color w:val="auto"/>
              </w:rPr>
            </w:pPr>
          </w:p>
        </w:tc>
        <w:tc>
          <w:tcPr>
            <w:tcW w:w="2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12,668</w:t>
            </w:r>
          </w:p>
        </w:tc>
        <w:tc>
          <w:tcPr>
            <w:tcW w:w="100" w:type="dxa"/>
            <w:vAlign w:val="bottom"/>
          </w:tcPr>
          <w:p>
            <w:pPr>
              <w:spacing w:after="0"/>
              <w:rPr>
                <w:sz w:val="13"/>
                <w:szCs w:val="13"/>
                <w:color w:val="auto"/>
              </w:rPr>
            </w:pPr>
          </w:p>
        </w:tc>
        <w:tc>
          <w:tcPr>
            <w:tcW w:w="300" w:type="dxa"/>
            <w:vAlign w:val="bottom"/>
            <w:gridSpan w:val="2"/>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Cash paid for amounts included in measurement of lease liabilities</w:t>
            </w: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8,510</w:t>
            </w:r>
          </w:p>
        </w:tc>
        <w:tc>
          <w:tcPr>
            <w:tcW w:w="26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tcBorders>
              <w:bottom w:val="single" w:sz="8" w:color="CFF0FC"/>
            </w:tcBorders>
            <w:shd w:val="clear" w:color="auto" w:fill="CFF0FC"/>
          </w:tcPr>
          <w:p>
            <w:pPr>
              <w:ind w:left="380"/>
              <w:spacing w:after="0" w:line="156" w:lineRule="exact"/>
              <w:rPr>
                <w:sz w:val="20"/>
                <w:szCs w:val="20"/>
                <w:color w:val="auto"/>
              </w:rPr>
            </w:pPr>
            <w:r>
              <w:rPr>
                <w:rFonts w:ascii="Times New Roman" w:cs="Times New Roman" w:eastAsia="Times New Roman" w:hAnsi="Times New Roman"/>
                <w:sz w:val="14"/>
                <w:szCs w:val="14"/>
                <w:color w:val="auto"/>
              </w:rPr>
              <w:t>Operating cash flows for finance leases</w:t>
            </w:r>
          </w:p>
        </w:tc>
        <w:tc>
          <w:tcPr>
            <w:tcW w:w="1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71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380"/>
              <w:spacing w:after="0" w:line="156" w:lineRule="exact"/>
              <w:rPr>
                <w:sz w:val="20"/>
                <w:szCs w:val="20"/>
                <w:color w:val="auto"/>
              </w:rPr>
            </w:pPr>
            <w:r>
              <w:rPr>
                <w:rFonts w:ascii="Times New Roman" w:cs="Times New Roman" w:eastAsia="Times New Roman" w:hAnsi="Times New Roman"/>
                <w:sz w:val="14"/>
                <w:szCs w:val="14"/>
                <w:color w:val="auto"/>
              </w:rPr>
              <w:t>Financing cash flows for finance leases</w:t>
            </w:r>
          </w:p>
        </w:tc>
        <w:tc>
          <w:tcPr>
            <w:tcW w:w="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1,598</w:t>
            </w:r>
          </w:p>
        </w:tc>
        <w:tc>
          <w:tcPr>
            <w:tcW w:w="26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1,499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tcBorders>
              <w:bottom w:val="single" w:sz="8" w:color="CFF0FC"/>
            </w:tcBorders>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Right-of-use-assets obtained in exchange for operating lease obligations</w:t>
            </w:r>
          </w:p>
        </w:tc>
        <w:tc>
          <w:tcPr>
            <w:tcW w:w="1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(827</w:t>
            </w:r>
          </w:p>
        </w:tc>
        <w:tc>
          <w:tcPr>
            <w:tcW w:w="260" w:type="dxa"/>
            <w:vAlign w:val="bottom"/>
            <w:tcBorders>
              <w:bottom w:val="single" w:sz="8" w:color="CFF0FC"/>
            </w:tcBorders>
            <w:shd w:val="clear" w:color="auto" w:fill="CFF0FC"/>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2,309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12,081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50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Right-of-use-assets obtained in exchange for finance lease obligations</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2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3"/>
                <w:szCs w:val="13"/>
                <w:color w:val="auto"/>
              </w:rPr>
            </w:pPr>
          </w:p>
        </w:tc>
        <w:tc>
          <w:tcPr>
            <w:tcW w:w="300" w:type="dxa"/>
            <w:vAlign w:val="bottom"/>
            <w:gridSpan w:val="2"/>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2,689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500" w:type="dxa"/>
            <w:vAlign w:val="bottom"/>
            <w:shd w:val="clear" w:color="auto" w:fill="CFF0FC"/>
          </w:tcPr>
          <w:p>
            <w:pPr>
              <w:ind w:left="200"/>
              <w:spacing w:after="0" w:line="120" w:lineRule="exact"/>
              <w:rPr>
                <w:sz w:val="20"/>
                <w:szCs w:val="20"/>
                <w:color w:val="auto"/>
              </w:rPr>
            </w:pPr>
            <w:r>
              <w:rPr>
                <w:rFonts w:ascii="Times New Roman" w:cs="Times New Roman" w:eastAsia="Times New Roman" w:hAnsi="Times New Roman"/>
                <w:sz w:val="13"/>
                <w:szCs w:val="13"/>
                <w:color w:val="auto"/>
              </w:rPr>
              <w:t>Change in purchase of property, plant and equipment in accounts payable and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2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15,824</w:t>
            </w:r>
          </w:p>
        </w:tc>
        <w:tc>
          <w:tcPr>
            <w:tcW w:w="10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spacing w:after="0"/>
              <w:rPr>
                <w:sz w:val="10"/>
                <w:szCs w:val="10"/>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9,387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500" w:type="dxa"/>
            <w:vAlign w:val="bottom"/>
            <w:tcBorders>
              <w:bottom w:val="single" w:sz="8" w:color="CFF0FC"/>
            </w:tcBorders>
            <w:shd w:val="clear" w:color="auto" w:fill="CFF0FC"/>
          </w:tcPr>
          <w:p>
            <w:pPr>
              <w:ind w:left="300"/>
              <w:spacing w:after="0" w:line="125" w:lineRule="exact"/>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116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32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1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cash equivalents and restricted cash</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right"/>
              <w:ind w:right="42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420" w:type="dxa"/>
            <w:vAlign w:val="bottom"/>
            <w:gridSpan w:val="2"/>
          </w:tcPr>
          <w:p>
            <w:pPr>
              <w:jc w:val="center"/>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180,560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26,853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163,282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5"/>
                <w:szCs w:val="15"/>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6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statements of cash flows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180,560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66,321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163,282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-4071620</wp:posOffset>
            </wp:positionV>
            <wp:extent cx="7683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-4071620</wp:posOffset>
            </wp:positionV>
            <wp:extent cx="68580"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-4071620</wp:posOffset>
            </wp:positionV>
            <wp:extent cx="68580"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-3376930</wp:posOffset>
            </wp:positionV>
            <wp:extent cx="76835"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-3376930</wp:posOffset>
            </wp:positionV>
            <wp:extent cx="6858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-2699385</wp:posOffset>
            </wp:positionV>
            <wp:extent cx="7683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-2699385</wp:posOffset>
            </wp:positionV>
            <wp:extent cx="6858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-2228215</wp:posOffset>
            </wp:positionV>
            <wp:extent cx="218567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85670" cy="1371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-1979295</wp:posOffset>
            </wp:positionV>
            <wp:extent cx="218567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85670" cy="1625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-1456690</wp:posOffset>
            </wp:positionV>
            <wp:extent cx="2185670"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85670" cy="1625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-1182370</wp:posOffset>
            </wp:positionV>
            <wp:extent cx="218567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85670" cy="16256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-839470</wp:posOffset>
            </wp:positionV>
            <wp:extent cx="2185670" cy="4718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85670" cy="47180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BOSTON BEER COMPANY,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Organization and Basis of Presentation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Boston Beer Company, Inc. and certain subsidiaries (the “Company”) are engaged in the business of selling alcohol beverages throughout the United States and in selected international markets, under the trademarks “The Boston Beer Company®”, “Twisted Tea Brewing Company®”, “Hard Seltzer Beverage Company”, “Angry Orchard® Cider Company”, “Dogfish Head® Craft Brewery”, “Dogfish Head Distilling Co.”, “Angel City® Brewing Company”, “Coney Island® Brewing Company”, "Green Rebel Brewing Co.", and "Truly Distilling 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fiscal year is a fifty-two or fifty-three-week period ending on the last Saturday in December. The 2022 fiscal year consisted of fifty-three weeks, while the 2021 and 2020 fiscal years both consisted of fifty-two weeks.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all of which are wholly-owned.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United States generally accepted accounting principles (“GAAP”) requires management to make estimates and 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the Company bases estimates and assumptions on historical experience, currently available information, and various other factors that management believes to be reasonable under the circumstances. Actual results may differ materially from these estimates and assumptions. The accounting policies which the Company believes involve the most significant application of judgment or involve complex estimations are inventories and associated reserves, revenue reserves, assumptions surrounding the recoverability of long-lived assets, share-based compensation valuations, and income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Cash and cash equivalents at December 31, 2022 and December 25, 2021 included cash on-hand and money market instruments that are highly liquid investments. Cash and cash equivalents are carried at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was no restricted cash balance at December 31, 2022. At December 25, 2021 restricted cash included money received from a distributor pursuant to an indemnification agreement to consolidate distribution rights in a region in accordance with state regulations. Restricted cash is carried at cost, which approximates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primarily consist of trade receivables. The Company records an allowance for doubtful accounts that is based on historical trends, customer knowledge, any known disputes, and the aging of the accounts receivable balances combined with management’s estimate of future potential recoverability. Receivables are written off against the allowance after all attempts to collect a receivable have failed. The Company believes its allowance for doubtful accounts as of December 31, 2022 and December 25, 2021 are adequate, but actual write-offs could exceed the recorded allowance.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equivalents, restricted cash, and trade receivables. The Company places its cash equivalents and restricted cash with high credit quality financial institutions. As of December 31, 2022, the Company’s cash and cash equivalents were invested in investment-grade, highly liquid U.S. government agency corporate money market accounts.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sells primarily to a network of independent wholesalers in the United States and to a network of foreign wholesalers, importers or other agencies (collectively referred to as “Distributors”). In 2022, 2021, and 2020, sales to foreign Distributors were approximately 4% of total sales. Receivables arising from these sales are not collateralized; however, credit risk is minimized as a result of the large and diverse nature of the Company’s customer base. There were no individual customer accounts receivable balances outstanding at December 31, 2022 or December 25, 2021 that were in excess of 10% of the gross accounts receivable balance on those dates. No individual customers represented more than 10% of the Company’s revenues in fiscal years 2022, 2021, or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Fair Value of Financial Instruments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Company’s primary financial instruments at December 31, 2022 and December 25, 2021 consisted of cash equivalents, restricted cash, accounts receivable, and accounts payable. The Company determines the fair value of its financial assets and liabilities in accordance with Financial Accounting Standards Board (“FASB”) Accounting 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The Company believes that the carrying amount of its cash equivalents, restricted cash, accounts receivable, and accounts payable approximates fair value due to the short-term nature of these assets and liabilities. The Company is not exposed to significant interest, currency or credit risks arising from these financial assets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and Provision for Excess or Expired Inventory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Inventories consist of raw and packaging materials, work in process and finished goods. Raw materials, which principally consist of hops, malt, fruit juices, other brewing materials and packaging, are stated at the lower of cost (first-in, first-out basis) or net realizable value. The Company’s goal is to maintain on-hand a supply of approximately two years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Packaging design costs are expensed as incurred. The Company enters into multi-year purchase commitments in order to secure adequate supply of ingredients and packaging, to brew and package its products. Inventory on hand totaled $161.6 million at December 31, 2022.</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$35.9 million, $62.6 million, and $11.3 million in fiscal years 2022, 2021, and 2020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or fair value as of the date of acquisition. Expenditures for repairs and maintenance are expensed as incurred. Major renewals and betterments that extend the life of the property are capitalized. Depreciation is computed using the straight-line method based upon the estimated useful lives of the underlying assets as follows:</w:t>
      </w:r>
    </w:p>
    <w:p>
      <w:pPr>
        <w:sectPr>
          <w:pgSz w:w="11900" w:h="16838" w:orient="portrait"/>
          <w:cols w:equalWidth="0" w:num="1">
            <w:col w:w="11200"/>
          </w:cols>
          <w:pgMar w:left="320" w:top="360" w:right="379" w:bottom="1440" w:gutter="0" w:footer="0" w:header="0"/>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Kegs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144" w:lineRule="exact"/>
        <w:rPr>
          <w:sz w:val="20"/>
          <w:szCs w:val="20"/>
          <w:color w:val="auto"/>
        </w:rPr>
      </w:pPr>
    </w:p>
    <w:p>
      <w:pPr>
        <w:sectPr>
          <w:pgSz w:w="11900" w:h="16838" w:orient="portrait"/>
          <w:cols w:equalWidth="0" w:num="2">
            <w:col w:w="3460" w:space="720"/>
            <w:col w:w="7020"/>
          </w:cols>
          <w:pgMar w:left="320" w:top="36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 to 5 years</w:t>
      </w:r>
    </w:p>
    <w:p>
      <w:pPr>
        <w:spacing w:after="0" w:line="144" w:lineRule="exact"/>
        <w:rPr>
          <w:sz w:val="20"/>
          <w:szCs w:val="20"/>
          <w:color w:val="auto"/>
        </w:rPr>
      </w:pPr>
    </w:p>
    <w:p>
      <w:pPr>
        <w:sectPr>
          <w:pgSz w:w="11900" w:h="16838" w:orient="portrait"/>
          <w:cols w:equalWidth="0" w:num="2">
            <w:col w:w="3460" w:space="720"/>
            <w:col w:w="7020"/>
          </w:cols>
          <w:pgMar w:left="320" w:top="36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Office equipment and furniture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 to 7 years</w:t>
      </w:r>
    </w:p>
    <w:p>
      <w:pPr>
        <w:spacing w:after="0" w:line="144" w:lineRule="exact"/>
        <w:rPr>
          <w:sz w:val="20"/>
          <w:szCs w:val="20"/>
          <w:color w:val="auto"/>
        </w:rPr>
      </w:pPr>
    </w:p>
    <w:p>
      <w:pPr>
        <w:sectPr>
          <w:pgSz w:w="11900" w:h="16838" w:orient="portrait"/>
          <w:cols w:equalWidth="0" w:num="2">
            <w:col w:w="3460" w:space="720"/>
            <w:col w:w="7020"/>
          </w:cols>
          <w:pgMar w:left="320" w:top="36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Machinery and plant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 to 20 years</w:t>
      </w:r>
    </w:p>
    <w:p>
      <w:pPr>
        <w:spacing w:after="0" w:line="155" w:lineRule="exact"/>
        <w:rPr>
          <w:sz w:val="20"/>
          <w:szCs w:val="20"/>
          <w:color w:val="auto"/>
        </w:rPr>
      </w:pPr>
    </w:p>
    <w:p>
      <w:pPr>
        <w:sectPr>
          <w:pgSz w:w="11900" w:h="16838" w:orient="portrait"/>
          <w:cols w:equalWidth="0" w:num="2">
            <w:col w:w="3460" w:space="720"/>
            <w:col w:w="7020"/>
          </w:cols>
          <w:pgMar w:left="320" w:top="36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Lesser of the remaining term of the lease or estimated useful life of the asset</w:t>
      </w:r>
    </w:p>
    <w:p>
      <w:pPr>
        <w:spacing w:after="0" w:line="144" w:lineRule="exact"/>
        <w:rPr>
          <w:sz w:val="20"/>
          <w:szCs w:val="20"/>
          <w:color w:val="auto"/>
        </w:rPr>
      </w:pPr>
    </w:p>
    <w:p>
      <w:pPr>
        <w:sectPr>
          <w:pgSz w:w="11900" w:h="16838" w:orient="portrait"/>
          <w:cols w:equalWidth="0" w:num="2">
            <w:col w:w="3460" w:space="720"/>
            <w:col w:w="7020"/>
          </w:cols>
          <w:pgMar w:left="320" w:top="36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12 to 20 years, or the remaining useful life of the building, whichever is shorter</w:t>
      </w:r>
    </w:p>
    <w:p>
      <w:pPr>
        <w:spacing w:after="0" w:line="200" w:lineRule="exact"/>
        <w:rPr>
          <w:sz w:val="20"/>
          <w:szCs w:val="20"/>
          <w:color w:val="auto"/>
        </w:rPr>
      </w:pPr>
    </w:p>
    <w:p>
      <w:pPr>
        <w:sectPr>
          <w:pgSz w:w="11900" w:h="16838" w:orient="portrait"/>
          <w:cols w:equalWidth="0" w:num="2">
            <w:col w:w="3460" w:space="720"/>
            <w:col w:w="7020"/>
          </w:cols>
          <w:pgMar w:left="320" w:top="360" w:right="379" w:bottom="1440" w:gutter="0" w:footer="0" w:header="0"/>
          <w:type w:val="continuous"/>
        </w:sectPr>
      </w:pP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purposes of determining whether there are any impairment losses on brewery assets, as further discussed below, management has historically examined the carrying value of the Company’s identifiable long-lived assets, including their useful lives, semi-annually,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of brewery assets classified as property, plant, and equipment included in operating expenses was $2.6 million, $18.5 million and $4.4 million in fiscal years 2022, 2021, and 2020, respectively.</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consists of one operating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50" w:name="page51"/>
    <w:bookmarkEnd w:id="50"/>
    <w:p>
      <w:pPr>
        <w:spacing w:after="0" w:line="277" w:lineRule="auto"/>
        <w:rPr>
          <w:sz w:val="20"/>
          <w:szCs w:val="20"/>
          <w:color w:val="auto"/>
        </w:rPr>
      </w:pPr>
      <w:r>
        <w:rPr>
          <w:rFonts w:ascii="Times New Roman" w:cs="Times New Roman" w:eastAsia="Times New Roman" w:hAnsi="Times New Roman"/>
          <w:sz w:val="17"/>
          <w:szCs w:val="17"/>
          <w:color w:val="auto"/>
        </w:rPr>
        <w:t>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intangible assets consist primarily of a trademark and customer relationships obtained through the Company’s Dogfish Head acquisition. Customer relationships are amortized over their estimated useful lives. The Dogfish Head trademark which was determined to have an indefinite useful life is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spacing w:after="0" w:line="1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Significant judgement is required to estimate the fair value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market-based royalty rate, the discount rate, the tax rate and other factors. These assumptions reflect management’s estimates of future economic and competitive conditions and consider many factors including macroeconomic conditions, industry growth rates, competitive activities, as well as the impact the COVID-19 pandemic has had on the Company's Dogfish Head trademarked products. The assumptions and projections used in the estimate of fair value are consistent with those used in current operating plans and the Company believes they are reasonable.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Refundable Deposits on Kegs and Pallets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distributes its packaged hard seltzer, beer and hard cider primarily in cans and glass bottles and its draft beer in kegs and such cans, bottles, and kegs are shipped on pallets to Distributors. Most kegs and pallets are owned by the Company. Kegs are reflected in the Company’s balance sheets at cost and are depreciated over the estimated useful life of the keg, while pallets are expensed upon purchase. Upon shipment of beer to Distributors, the Company collects a refundable deposit on the kegs and certain pallets, which is included in current liabilities in the Company’s balance sheets. Upon return of the kegs and pallets to the Company, the deposit is refunded to the Distributor.</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experienced some loss of kegs and pallets and anticipates that some loss will occur in future periods due to the significant volume of kegs and pallets handled by each Distributor and retailer, the homogeneous nature of kegs and pallets owned by most brewers, and the relatively small deposit collected for each keg when compared with its market value. The Company believes that this is an industry-wide issue and that the Company’s loss experience is not atypical. The Company believes that the loss of kegs and pallets, after considering the forfeiture of related deposits, has not been material to the financial statements. The Company uses internal records, records maintained by Distributors, records maintained by other third-party vendors and historical information to estimate the physical count of kegs and pallets held by Distributors. These estimates affect the amount recorded as property, plant and equipment and current liabilities as of the date of the financial statements. The actual liability for refundable deposits could differ from these estimates. For the year ended December 31, 2022, the Company decreased its liability for refundable deposits, gross property, plant, and equipment and related accumulated depreciation by $0.4 million, $1.0 million and $1.0 million, respectively. For the year ended December 25, 2021, the Company decreased its liability for refundable deposits, gross property, plant, and equipment and related accumulated depreciation by $0.5 million, $0.9 million and $0.9 million, respectively. As of December 31, 2022, and December 25, 2021, the Company’s balance sheet includes $13.0 million and $13.4 million, respectively, in refundable deposits on kegs and pallets and $1.0 million and $0.2 million, respectively, in kegs, net of accumulated depreciation.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provides for deferred taxes using an asset and liability approach that requires the recognition of deferred tax assets and liabilities for the expected future tax consequences of events that have been recognized in the Company’s consolidated financial statements or tax returns. This results in differences between the book and tax basis of the Company’s assets, liabilities and carry-forwards, such as tax credits. In estimating future tax consequences, all expected future events,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1" w:name="page52"/>
    <w:bookmarkEnd w:id="51"/>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other than enactment of changes in the tax laws or rates, are generally considered. Valuation allowances are provided when recovery of deferred tax assets does not meet the more likely than not standards as defined in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calculation of the Company’s uncertain tax positions involves dealing with uncertainties in the application of tax regulations in several different state tax jurisdictions. The Company is periodically reviewed by tax authorities regarding the amount of taxes due. These reviews include inquiries regarding the timing and amount of deductions and the allocation of income among various tax jurisdictions. The Company records estimated reserves for exposures associated with positions that it takes on its income tax returns that do not meet the more likely than not standards as defined in ASC Topic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Classification of Customer Programs and Incentives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fiscal years 2022, 2021, and 2020 approximately 95% of the Company’s revenue was from shipments of its products to domestic Distributors and 4% from shipments to international Distributors, primarily located in Canada. Approximately 1% of the Company’s revenue is from retail beer, cider, food and merchandise sales at the Company’s retail locations.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31, 2022, and December 25, 2021, the Company had deferred revenue of $6.8 million and $8.0 million, respectively, related to product shipped prior to these dates for which the criteria to recognize revenue was not met as of these dates. These amounts are included in accrued expenses and other current liabilities in the accompanying consolidated balance sheets.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committed to maintaining the freshness of its products in the market. In certain circumstances and with the Company’s approval, the Company accepts and destroys stale beer that is returned by Distributors. The Company generally credits approximately fifty percent of the distributor’s cost of beer that has passed its freshness expiration date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31, 2022, and December 25, 2021, the stale beer reserve was $5.6 million and $6.0 million, respectively. These amounts are included in accrued expenses and other current liabilities in the accompanying consolidated balance sheets. Provision for stale beer recorded as reductions to revenue totaled $19.6 million, $9.5 million, and $8.4 million in fiscal years 2022, 2021, and 2020 respectively.</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$95.9 million, $126.1 million and $85.0 million in fiscal years 2022, 2021, and 2020, respectively. Estimates are based on historical and projected experience for each type of program or customer and have historically been in line with actual costs incurred.</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Customer promotional discount programs are entered into with Distributors for certain periods of time. Amounts paid to Distributors in connection with these programs in fiscal years 2022, 2021, and 2020 were $54.8 million, $72.7 million and $59.3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ind w:right="100"/>
        <w:spacing w:after="0" w:line="253" w:lineRule="auto"/>
        <w:rPr>
          <w:sz w:val="20"/>
          <w:szCs w:val="20"/>
          <w:color w:val="auto"/>
        </w:rPr>
      </w:pPr>
      <w:r>
        <w:rPr>
          <w:rFonts w:ascii="Times New Roman" w:cs="Times New Roman" w:eastAsia="Times New Roman" w:hAnsi="Times New Roman"/>
          <w:sz w:val="18"/>
          <w:szCs w:val="18"/>
          <w:color w:val="auto"/>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2022, 2021, and 2020 were $41.1 million, $53.4 million and $25.7 million, respectively. In fiscal years 2022, 2021, and 2020, the Company recorded certain of these costs in the total amount of $29.9 million, $42.0 million and $23.1.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Excise Taxes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responsible for compliance with TTB regulations, including making timely and accurate excise tax payments. The Company is subject to periodic compliance audits by the TTB. Individual states also impose excise taxes on alcohol beverages in varying amounts. The Company calculates its excise tax expense based upon units shipped and on its understanding of the applicable excise tax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following expenses are included in cost of goods sold in the accompanying consolidated statements of comprehensive income: raw material costs, packaging material costs, costs and income related to deposit activity, purchasing and receiving costs, manufacturing labor and overhead, brewing and processing costs, inspection costs relating to quality control, inbound freight charges, depreciation expense related to manufacturing equipment and warehousing costs, which include rent, labor and overhead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Costs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Costs incurred for the shipping of products to customers are included in advertising, promotional and selling expenses in the accompanying consolidated statements of comprehensive income. The Company incurred shipping costs of $165.5 million, $166.6 million, and $97.6 million in fiscal years 2022, 2021, and 2020,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Promotional, and Selling Expenses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expenses are included in advertising, promotional and selling expenses in the accompanying consolidated statements of comprehensive income: media advertising and production costs, sales and brand related expenses, sales and brand salary and benefit expenses, stock compensation, meals, travel and entertainment expenses, promotional activity expenses, shipping costs related to shipments of finished goods from manufacturing locations to distributor locations and point-of-sale items. Total advertising and sales promotional expenditures of $226.7 million, $291.3 million, and $211.2 million were included in advertising, promotional and selling expenses in the accompanying consolidated statements of comprehensive income for fiscal years 2022, 2021, and 2020, respectively.</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conducts certain advertising and promotional activities in its Distributors’ markets and the Distributors make contributions to the Company for such efforts. Reimbursements from Distributors for advertising and promotional activities are recorded as reductions to advertising, promotional and selling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17"/>
          <w:szCs w:val="17"/>
          <w:color w:val="auto"/>
        </w:rPr>
        <w:t>The following expenses are included in general and administrative expenses in the accompanying consolidated statements of comprehensive income: general and administrative salary and benefit expenses, stock compensation, insurance costs, consulting and professional service fees, rent and utility expenses, meals, travel and entertainment expenses for general and administrative employees, and other general and administrative overhead costs.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Stock-based compensation was $14.0 million, $18.6 million and $15.3 million in fiscal years 2022, 2021, and 2020, respectively.</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risk-free interest rate and expected exercise behavior. See Note Q for further discussion of the application of the option-pricing models.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common shares outstanding. Diluted net income per share is calculated by dividing net income by the weighted-average common shares and potentially dilutive securities outstanding during the period using the treasury stock method or the two-class method, whichever is more 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Slowdown of the Hard Seltzer Market Impact</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decline in volume trends for hard seltzer products has negatively impacted the Company's volume of depletions and shipments, as well as its projections for the future. The decline in volume trends resulted in several supply chain related costs recorded during the second half of fiscal 2021, described in further detail below, and also continued to negatively impact the Company’s financial results during fiscal 2022.</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25, 2021, the Company recorded Truly hard seltzer related excess and obsolete inventory reserves and other inventory related costs totaling $59.5 million related specifically to a decline in future volume projections, inclusive of estimated destruction costs of $6.1 million. These reserves were recorded for Truly finished goods inventory, Truly packaging, Truly flavorings and other raw materials that were not projected to be used or would expire prior to being shipped or being used in production. The actual inventory write-offs were not materially different than those estimates. The inventory related reserves were recorded within cost of goods sold.</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Due to the volume slowdown, the Company determined that some of its third-party production agreements were not needed. Several of these agreements included guaranteed payments and payments for capital expenditures incurred by the third-parties that the Company was still obligated to pay. During the year ended December 25, 2021, the Company recorded contract termination costs totaling $14.8 million, which were recorded within contract termination costs and other, to terminate certain third-party production agreements. Additionally, the Company wrote off $9.5 million of amounts prepaid pursuant to a third-party production agreement that the Company has no future plans to utilize.</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Due to the reduction in its production volume projections, the Company evaluated its construction in progress capital projects to determine which assets would generate future economic benefits and concluded that certain projects were impaired. The Company recognized impairment expense of $12.7 million related to projects that will be cancelled due to the volume slowdown. Additionally, the Company recognized a provision of $6.3 million for amounts owed to third-parties under non-cancellable purchase orders for components of the cancelled projects which was recorded within contract termination costs and other for the year ended December 25, 2021. The combined expense of $102.9 million recognized for the above items contributed to the Company's decline in operating profit for the year ended December 25, 2021.</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4" w:name="page55"/>
    <w:bookmarkEnd w:id="54"/>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an additional $4.8 million of contract termination costs relating to the 2022 termination of a third-party production contract that the Company determined was no longer necessary due to the slowdown of the hard seltzer market. The Company also incurred additional provisions for excess and obsolete inventories and higher brewery processing costs related to the continued further slowdown of the hard seltzer market during fiscal 2022.</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does expect to incur shortfall fees at certain of its ongoing third-party production facilities. These shortfall fees are explained in greater detail within Note J of these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Restricted Cash</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year ended December 25, 2021, in accordance with state regulations, the Company consolidated distributor rights within a geographical region by terminating the distribution rights of certain existing distributors (the "terminating distributors") and granting these distribution rights to one existing distributor in the region (the "continuing distributor"). As part of this consolidation process, the Company also entered into an indemnification agreement in March 2021 with the continuing distributor. As part of the agreement, the Company is indemnified by the continuing distributor for the fair market value of distribution rights paid to the terminating distributors and all related legal fees. In accordance with state regulations, the Company followed the notification process and the distribution rights transferred on December 22, 2021. The Company received the fair market value payments of $39.5 million from the continuing distributor on December 19, 2021 and this amount is recorded in restricted cash and accrued liabilities at December 25, 2021. The Company paid the terminating distributors the fair market value payments of $39.5 million on December 28,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Inventories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and finished goods which are stated at the lower of cost, determined on the first-in, first-out basis, or net realizable value. Raw materials principally consist of hops, malt, flavorings, fruit juices, other brewing materials and packaging. The Company’s goal is to maintain on hand a supply of at least one year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Inventories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00" w:type="dxa"/>
            <w:vAlign w:val="bottom"/>
          </w:tcPr>
          <w:p>
            <w:pPr>
              <w:spacing w:after="0"/>
              <w:rPr>
                <w:sz w:val="13"/>
                <w:szCs w:val="13"/>
                <w:color w:val="auto"/>
              </w:rPr>
            </w:pPr>
          </w:p>
        </w:tc>
      </w:tr>
      <w:tr>
        <w:trPr>
          <w:trHeight w:val="187"/>
        </w:trPr>
        <w:tc>
          <w:tcPr>
            <w:tcW w:w="8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4"/>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17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inventory:</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Raw materials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81,225</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78,545</w:t>
            </w:r>
          </w:p>
        </w:tc>
        <w:tc>
          <w:tcPr>
            <w:tcW w:w="100" w:type="dxa"/>
            <w:vAlign w:val="bottom"/>
          </w:tcPr>
          <w:p>
            <w:pPr>
              <w:spacing w:after="0"/>
              <w:rPr>
                <w:sz w:val="15"/>
                <w:szCs w:val="15"/>
                <w:color w:val="auto"/>
              </w:rPr>
            </w:pPr>
          </w:p>
        </w:tc>
      </w:tr>
      <w:tr>
        <w:trPr>
          <w:trHeight w:val="175"/>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Work in process</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20,374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17,764</w:t>
            </w:r>
          </w:p>
        </w:tc>
        <w:tc>
          <w:tcPr>
            <w:tcW w:w="100" w:type="dxa"/>
            <w:vAlign w:val="bottom"/>
            <w:shd w:val="clear" w:color="auto" w:fill="CFF0FC"/>
          </w:tcPr>
          <w:p>
            <w:pPr>
              <w:spacing w:after="0"/>
              <w:rPr>
                <w:sz w:val="15"/>
                <w:szCs w:val="15"/>
                <w:color w:val="auto"/>
              </w:rPr>
            </w:pPr>
          </w:p>
        </w:tc>
      </w:tr>
      <w:tr>
        <w:trPr>
          <w:trHeight w:val="175"/>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Finished goods</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52,809</w:t>
            </w:r>
          </w:p>
        </w:tc>
        <w:tc>
          <w:tcPr>
            <w:tcW w:w="100" w:type="dxa"/>
            <w:vAlign w:val="bottom"/>
          </w:tcPr>
          <w:p>
            <w:pPr>
              <w:spacing w:after="0"/>
              <w:rPr>
                <w:sz w:val="15"/>
                <w:szCs w:val="15"/>
                <w:color w:val="auto"/>
              </w:rPr>
            </w:pPr>
          </w:p>
        </w:tc>
      </w:tr>
      <w:tr>
        <w:trPr>
          <w:trHeight w:val="16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inventory</w:t>
            </w: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148,450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149,118</w:t>
            </w:r>
          </w:p>
        </w:tc>
        <w:tc>
          <w:tcPr>
            <w:tcW w:w="100" w:type="dxa"/>
            <w:vAlign w:val="bottom"/>
            <w:shd w:val="clear" w:color="auto" w:fill="CFF0FC"/>
          </w:tcPr>
          <w:p>
            <w:pPr>
              <w:spacing w:after="0"/>
              <w:rPr>
                <w:sz w:val="14"/>
                <w:szCs w:val="14"/>
                <w:color w:val="auto"/>
              </w:rPr>
            </w:pP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inventory</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12,655</w:t>
            </w:r>
          </w:p>
        </w:tc>
        <w:tc>
          <w:tcPr>
            <w:tcW w:w="100" w:type="dxa"/>
            <w:vAlign w:val="bottom"/>
          </w:tcPr>
          <w:p>
            <w:pPr>
              <w:spacing w:after="0"/>
              <w:rPr>
                <w:sz w:val="15"/>
                <w:szCs w:val="15"/>
                <w:color w:val="auto"/>
              </w:rPr>
            </w:pPr>
          </w:p>
        </w:tc>
      </w:tr>
      <w:tr>
        <w:trPr>
          <w:trHeight w:val="209"/>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inventory</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161,642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161,773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25, 2021, the Company has recorded inventory obsolescence reserves of $22.0 million and $43.1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 advertising, promotional and selling costs</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8,878</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11,193</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taxes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5"/>
                <w:szCs w:val="15"/>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Prepaid software and consulting fees</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4,698</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insurance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0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27,461</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21,462</w:t>
            </w:r>
          </w:p>
        </w:tc>
        <w:tc>
          <w:tcPr>
            <w:tcW w:w="10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-144780</wp:posOffset>
            </wp:positionV>
            <wp:extent cx="6858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G.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25,</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Machinery and plant equipment</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760,895</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729,251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and building improvements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237,561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207,565</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75,260</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70,422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Kegs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58,492</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59,794</w:t>
            </w:r>
          </w:p>
        </w:tc>
        <w:tc>
          <w:tcPr>
            <w:tcW w:w="100" w:type="dxa"/>
            <w:vAlign w:val="bottom"/>
          </w:tcPr>
          <w:p>
            <w:pPr>
              <w:spacing w:after="0"/>
              <w:rPr>
                <w:sz w:val="15"/>
                <w:szCs w:val="15"/>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Office equipment and furniture</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36,935</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30,085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25,668</w:t>
            </w:r>
          </w:p>
        </w:tc>
        <w:tc>
          <w:tcPr>
            <w:tcW w:w="100" w:type="dxa"/>
            <w:vAlign w:val="bottom"/>
          </w:tcPr>
          <w:p>
            <w:pPr>
              <w:spacing w:after="0"/>
              <w:rPr>
                <w:sz w:val="15"/>
                <w:szCs w:val="15"/>
                <w:color w:val="auto"/>
              </w:rPr>
            </w:pPr>
          </w:p>
        </w:tc>
      </w:tr>
      <w:tr>
        <w:trPr>
          <w:trHeight w:val="1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Assets under construction</w:t>
            </w: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41,323</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35,619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gross</w:t>
            </w:r>
          </w:p>
        </w:tc>
        <w:tc>
          <w:tcPr>
            <w:tcW w:w="2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1,236,243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1,158,404</w:t>
            </w:r>
          </w:p>
        </w:tc>
        <w:tc>
          <w:tcPr>
            <w:tcW w:w="100" w:type="dxa"/>
            <w:vAlign w:val="bottom"/>
          </w:tcPr>
          <w:p>
            <w:pPr>
              <w:spacing w:after="0"/>
              <w:rPr>
                <w:sz w:val="14"/>
                <w:szCs w:val="14"/>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(568,334 )</w:t>
            </w: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(493,589 )</w:t>
            </w:r>
          </w:p>
        </w:tc>
      </w:tr>
      <w:tr>
        <w:trPr>
          <w:trHeight w:val="16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667,909</w:t>
            </w:r>
          </w:p>
        </w:tc>
        <w:tc>
          <w:tcPr>
            <w:tcW w:w="260" w:type="dxa"/>
            <w:vAlign w:val="bottom"/>
            <w:tcBorders>
              <w:top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664,815</w:t>
            </w:r>
          </w:p>
        </w:tc>
        <w:tc>
          <w:tcPr>
            <w:tcW w:w="100" w:type="dxa"/>
            <w:vAlign w:val="bottom"/>
            <w:tcBorders>
              <w:top w:val="single" w:sz="8" w:color="CFF0FC"/>
            </w:tcBorders>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-376555</wp:posOffset>
            </wp:positionV>
            <wp:extent cx="68580"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related to these assets of $81.1 million, $71.8 million, and $65.4 million, in fiscal years 2022,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evaluates its assets for impairment when events indicate that an asset or asset group may have suffered impairment. During fiscal years 2022, 2021, and 2020, the Company recorded impairment charges on brewery assets classified as property, plant, and equipment of $2.6 million, $18.5 million, and $4.4 million, respectively. The increase in impairment charges during fiscal year 2021 relates to write-downs of equipment related to the slowdown of the hard seltzer category.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Leases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various lease agreements in place for facilities and equipment. Terms of these leases include, in some instances, scheduled rent increases, renewals, purchase options, and maintenance costs, and vary by lease. These lease obligations expire at various dates through 2034. As the rate implicit in each lease is not readily determinable, the Company uses its incremental borrowing rate based on information available at lease commencement to determine the present value of the lease payments. Leases with an initial term of 12 months or less (“short-term leases”) are not recorded on the balance sheet and are recognized on a straight-line basis over the lease term. Total right-of-use ("ROU") assets and lease liabilities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36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0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0" w:type="dxa"/>
            <w:vAlign w:val="bottom"/>
          </w:tcPr>
          <w:p>
            <w:pPr>
              <w:spacing w:after="0"/>
              <w:rPr>
                <w:sz w:val="11"/>
                <w:szCs w:val="11"/>
                <w:color w:val="auto"/>
              </w:rPr>
            </w:pPr>
          </w:p>
        </w:tc>
      </w:tr>
      <w:tr>
        <w:trPr>
          <w:trHeight w:val="187"/>
        </w:trPr>
        <w:tc>
          <w:tcPr>
            <w:tcW w:w="40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w:t>
            </w:r>
          </w:p>
        </w:tc>
        <w:tc>
          <w:tcPr>
            <w:tcW w:w="1660" w:type="dxa"/>
            <w:vAlign w:val="bottom"/>
            <w:gridSpan w:val="4"/>
          </w:tcPr>
          <w:p>
            <w:pPr>
              <w:jc w:val="center"/>
              <w:ind w:right="988"/>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4"/>
                <w:szCs w:val="14"/>
                <w:color w:val="auto"/>
              </w:rPr>
            </w:pPr>
          </w:p>
        </w:tc>
      </w:tr>
      <w:tr>
        <w:trPr>
          <w:trHeight w:val="175"/>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3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43,768</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52,774</w:t>
            </w:r>
          </w:p>
        </w:tc>
        <w:tc>
          <w:tcPr>
            <w:tcW w:w="100" w:type="dxa"/>
            <w:vAlign w:val="bottom"/>
          </w:tcPr>
          <w:p>
            <w:pPr>
              <w:spacing w:after="0"/>
              <w:rPr>
                <w:sz w:val="15"/>
                <w:szCs w:val="15"/>
                <w:color w:val="auto"/>
              </w:rPr>
            </w:pPr>
          </w:p>
        </w:tc>
      </w:tr>
      <w:tr>
        <w:trPr>
          <w:trHeight w:val="175"/>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shd w:val="clear" w:color="auto" w:fill="CFF0FC"/>
          </w:tcPr>
          <w:p>
            <w:pPr>
              <w:spacing w:after="0"/>
              <w:rPr>
                <w:sz w:val="15"/>
                <w:szCs w:val="15"/>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3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4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100" w:type="dxa"/>
            <w:vAlign w:val="bottom"/>
          </w:tcPr>
          <w:p>
            <w:pPr>
              <w:spacing w:after="0"/>
              <w:rPr>
                <w:sz w:val="15"/>
                <w:szCs w:val="15"/>
                <w:color w:val="auto"/>
              </w:rPr>
            </w:pPr>
          </w:p>
        </w:tc>
      </w:tr>
      <w:tr>
        <w:trPr>
          <w:trHeight w:val="175"/>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shd w:val="clear" w:color="auto" w:fill="CFF0FC"/>
          </w:tcPr>
          <w:p>
            <w:pPr>
              <w:spacing w:after="0"/>
              <w:rPr>
                <w:sz w:val="15"/>
                <w:szCs w:val="15"/>
                <w:color w:val="auto"/>
              </w:rPr>
            </w:pPr>
          </w:p>
        </w:tc>
      </w:tr>
      <w:tr>
        <w:trPr>
          <w:trHeight w:val="17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45,274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53,849</w:t>
            </w:r>
          </w:p>
        </w:tc>
        <w:tc>
          <w:tcPr>
            <w:tcW w:w="100" w:type="dxa"/>
            <w:vAlign w:val="bottom"/>
            <w:shd w:val="clear" w:color="auto" w:fill="CFF0FC"/>
          </w:tcPr>
          <w:p>
            <w:pPr>
              <w:spacing w:after="0"/>
              <w:rPr>
                <w:sz w:val="15"/>
                <w:szCs w:val="15"/>
                <w:color w:val="auto"/>
              </w:rPr>
            </w:pPr>
          </w:p>
        </w:tc>
      </w:tr>
      <w:tr>
        <w:trPr>
          <w:trHeight w:val="188"/>
        </w:trPr>
        <w:tc>
          <w:tcPr>
            <w:tcW w:w="4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Pr>
          <w:p>
            <w:pPr>
              <w:spacing w:after="0"/>
              <w:rPr>
                <w:sz w:val="16"/>
                <w:szCs w:val="16"/>
                <w:color w:val="auto"/>
              </w:rPr>
            </w:pPr>
          </w:p>
        </w:tc>
      </w:tr>
      <w:tr>
        <w:trPr>
          <w:trHeight w:val="41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gross value and accumulated depreciation of ROU assets related to finance leases were as follows: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0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40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4"/>
          </w:tcPr>
          <w:p>
            <w:pPr>
              <w:jc w:val="right"/>
              <w:ind w:right="50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0" w:type="dxa"/>
            <w:vAlign w:val="bottom"/>
          </w:tcPr>
          <w:p>
            <w:pPr>
              <w:spacing w:after="0"/>
              <w:rPr>
                <w:sz w:val="11"/>
                <w:szCs w:val="11"/>
                <w:color w:val="auto"/>
              </w:rPr>
            </w:pPr>
          </w:p>
        </w:tc>
      </w:tr>
      <w:tr>
        <w:trPr>
          <w:trHeight w:val="187"/>
        </w:trPr>
        <w:tc>
          <w:tcPr>
            <w:tcW w:w="40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value</w:t>
            </w:r>
          </w:p>
        </w:tc>
        <w:tc>
          <w:tcPr>
            <w:tcW w:w="36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2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100" w:type="dxa"/>
            <w:vAlign w:val="bottom"/>
            <w:shd w:val="clear" w:color="auto" w:fill="CFF0FC"/>
          </w:tcPr>
          <w:p>
            <w:pPr>
              <w:spacing w:after="0"/>
              <w:rPr>
                <w:sz w:val="15"/>
                <w:szCs w:val="15"/>
                <w:color w:val="auto"/>
              </w:rPr>
            </w:pPr>
          </w:p>
        </w:tc>
      </w:tr>
      <w:tr>
        <w:trPr>
          <w:trHeight w:val="17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(4,574 )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(2,984 )</w:t>
            </w:r>
          </w:p>
        </w:tc>
      </w:tr>
      <w:tr>
        <w:trPr>
          <w:trHeight w:val="209"/>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Carrying value</w:t>
            </w:r>
          </w:p>
        </w:tc>
        <w:tc>
          <w:tcPr>
            <w:tcW w:w="36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628"/>
        </w:trPr>
        <w:tc>
          <w:tcPr>
            <w:tcW w:w="4080" w:type="dxa"/>
            <w:vAlign w:val="bottom"/>
          </w:tcPr>
          <w:p>
            <w:pPr>
              <w:spacing w:after="0"/>
              <w:rPr>
                <w:sz w:val="24"/>
                <w:szCs w:val="24"/>
                <w:color w:val="auto"/>
              </w:rPr>
            </w:pPr>
          </w:p>
        </w:tc>
        <w:tc>
          <w:tcPr>
            <w:tcW w:w="3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-521970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Components of lease cost for the fiscal year-ended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00" w:type="dxa"/>
            <w:vAlign w:val="bottom"/>
          </w:tcPr>
          <w:p>
            <w:pPr>
              <w:spacing w:after="0"/>
              <w:rPr>
                <w:sz w:val="11"/>
                <w:szCs w:val="11"/>
                <w:color w:val="auto"/>
              </w:rPr>
            </w:pPr>
          </w:p>
        </w:tc>
      </w:tr>
      <w:tr>
        <w:trPr>
          <w:trHeight w:val="187"/>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9,764</w:t>
            </w:r>
          </w:p>
        </w:tc>
        <w:tc>
          <w:tcPr>
            <w:tcW w:w="100" w:type="dxa"/>
            <w:vAlign w:val="bottom"/>
          </w:tcPr>
          <w:p>
            <w:pPr>
              <w:spacing w:after="0"/>
              <w:rPr>
                <w:sz w:val="15"/>
                <w:szCs w:val="15"/>
                <w:color w:val="auto"/>
              </w:rPr>
            </w:pPr>
          </w:p>
        </w:tc>
      </w:tr>
      <w:tr>
        <w:trPr>
          <w:trHeight w:val="176"/>
        </w:trPr>
        <w:tc>
          <w:tcPr>
            <w:tcW w:w="6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Variable lease costs not included in liability</w:t>
            </w: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100" w:type="dxa"/>
            <w:vAlign w:val="bottom"/>
          </w:tcPr>
          <w:p>
            <w:pPr>
              <w:spacing w:after="0"/>
              <w:rPr>
                <w:sz w:val="14"/>
                <w:szCs w:val="14"/>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Finance lease cost:</w:t>
            </w: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5"/>
                <w:szCs w:val="15"/>
                <w:color w:val="auto"/>
              </w:rPr>
            </w:pPr>
          </w:p>
        </w:tc>
      </w:tr>
      <w:tr>
        <w:trPr>
          <w:trHeight w:val="176"/>
        </w:trPr>
        <w:tc>
          <w:tcPr>
            <w:tcW w:w="6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1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tcPr>
          <w:p>
            <w:pPr>
              <w:spacing w:after="0"/>
              <w:rPr>
                <w:sz w:val="14"/>
                <w:szCs w:val="14"/>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-624840</wp:posOffset>
            </wp:positionV>
            <wp:extent cx="6858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-624840</wp:posOffset>
            </wp:positionV>
            <wp:extent cx="6858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-144780</wp:posOffset>
            </wp:positionV>
            <wp:extent cx="6858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-144780</wp:posOffset>
            </wp:positionV>
            <wp:extent cx="6858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Additionally, during 2022, the Company recorded impairment charges on right-of use assets of $0.2 million, included within impairment of brewery assets within the Company's consolidated statements of comprehensive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2022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4"/>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80" w:type="dxa"/>
            <w:vAlign w:val="bottom"/>
            <w:gridSpan w:val="4"/>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Remaining Term</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gridSpan w:val="3"/>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90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10,582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61,791</w:t>
            </w: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Less imputed interest (based on 3.4% weighted-average</w:t>
            </w:r>
          </w:p>
        </w:tc>
        <w:tc>
          <w:tcPr>
            <w:tcW w:w="18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(7,651 )</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(31 )</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discount rate)</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54,140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Goodwill and Intangible Assets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guidance for goodwill impairment testing allows an entity to assess qualitative factors to determine whether the existence of events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No impairment of goodwill was recorded in any period.</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The Company’s intangible assets consist primarily of a trademark and customer relationships obtained through the Company’s Dogfish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 acquisition. Customer relationships are amortized over their estimated useful lives. The Dogfish Head trademark which was determined to have an indefinite useful life is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annual impairment testing date is September 1st of each fiscal year. During fiscal 2022, the Company evaluated the continuing negative trends of the Dogfish Head brand, including slower growth rates resulting from increased competition and updated its long-term financial forecasts for the Dogfish Head brand. These updated forecasts for the brand included reductions in revenues from the continuing negative trends in the brands’ beer products and the overall slowing craft beer industry sector which were partially offset by increases in revenues from the brands’ emerging canned cocktail products. As a result of performing this assessment, the Dogfish Head trademark asset with a carrying value of $98.5 million was written down to its estimated fair value of $71.4 million, resulting in an impairment of $27.1 million which was recorded during the third quarter of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as of December 31, 2022 and December 25, 2021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 of December 25, 2021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8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8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60" w:type="dxa"/>
            <w:vAlign w:val="bottom"/>
          </w:tcPr>
          <w:p>
            <w:pPr>
              <w:spacing w:after="0"/>
              <w:rPr>
                <w:sz w:val="15"/>
                <w:szCs w:val="15"/>
                <w:color w:val="auto"/>
              </w:rPr>
            </w:pPr>
          </w:p>
        </w:tc>
        <w:tc>
          <w:tcPr>
            <w:tcW w:w="8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6"/>
                <w:szCs w:val="16"/>
                <w:color w:val="auto"/>
              </w:rPr>
            </w:pPr>
          </w:p>
        </w:tc>
        <w:tc>
          <w:tcPr>
            <w:tcW w:w="8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(886 )</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(633 )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Indefinite</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73,410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73,410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9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77,210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76,324</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104,310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Amortization expense was approximately $253,000 in fiscal 2022, 2021, and 2020. The Company expects to record amortization expense as follows over the five subsequent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100" w:type="dxa"/>
            <w:vAlign w:val="bottom"/>
          </w:tcPr>
          <w:p>
            <w:pPr>
              <w:spacing w:after="0"/>
              <w:rPr>
                <w:sz w:val="16"/>
                <w:szCs w:val="16"/>
                <w:color w:val="auto"/>
              </w:rPr>
            </w:pPr>
          </w:p>
        </w:tc>
      </w:tr>
      <w:tr>
        <w:trPr>
          <w:trHeight w:val="16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4"/>
                <w:szCs w:val="14"/>
                <w:color w:val="auto"/>
              </w:rPr>
            </w:pPr>
          </w:p>
        </w:tc>
      </w:tr>
      <w:tr>
        <w:trPr>
          <w:trHeight w:val="17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5"/>
                <w:szCs w:val="15"/>
                <w:color w:val="auto"/>
              </w:rPr>
            </w:pPr>
          </w:p>
        </w:tc>
      </w:tr>
      <w:tr>
        <w:trPr>
          <w:trHeight w:val="175"/>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5"/>
                <w:szCs w:val="15"/>
                <w:color w:val="auto"/>
              </w:rPr>
            </w:pPr>
          </w:p>
        </w:tc>
      </w:tr>
      <w:tr>
        <w:trPr>
          <w:trHeight w:val="17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5"/>
                <w:szCs w:val="15"/>
                <w:color w:val="auto"/>
              </w:rPr>
            </w:pPr>
          </w:p>
        </w:tc>
      </w:tr>
      <w:tr>
        <w:trPr>
          <w:trHeight w:val="17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5"/>
                <w:szCs w:val="15"/>
                <w:color w:val="auto"/>
              </w:rPr>
            </w:pPr>
          </w:p>
        </w:tc>
      </w:tr>
      <w:tr>
        <w:trPr>
          <w:trHeight w:val="17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5"/>
                <w:szCs w:val="15"/>
                <w:color w:val="auto"/>
              </w:rPr>
            </w:pPr>
          </w:p>
        </w:tc>
      </w:tr>
      <w:tr>
        <w:trPr>
          <w:trHeight w:val="209"/>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amortization to be recorded</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Third-Party Production Prepayments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For fiscal years 2022, 2021, and 2020 the Company brewed and packaged approximately 65%, 56%, and 65%, respectively, of its volume at Company-owned breweries. The Company brewed and packaged approximately 26%, 32% and 33% of its volume across various City Brewing Company, LLC locations for fiscal 2022, 2021, and 2020, respectively. In the normal course of its business, the Company has historically entered into various production arrangements with other brewing companies. Pursuant to these arrangements, the Company generally supplies raw materials and packaging to those brewing companies and incurs conversion fees for labor at the time the liquid is produced and packaged. The Company has made up-front payments that were used for capital improvements at these third-party production facilities that it expenses over the period of the contracts.</w:t>
      </w:r>
    </w:p>
    <w:p>
      <w:pPr>
        <w:spacing w:after="0" w:line="18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During fiscal 2021, as a result of lower than anticipated demand for certain Truly brand styles and packages, the Company adjusted its volume plans for production at certain third-party facilities. The Company terminated relationships with some of its third-party production suppliers and recorded $19.6 million of costs related to terminating these contracts. In addition, the Company wrote off $9.5 million of amounts prepaid pursuant to a third-party production agreement that the Company has no future plans to utilize. During fiscal 2022, the Company recorded an additional $4.8 million of contract termination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ind w:right="320"/>
        <w:spacing w:after="0" w:line="282" w:lineRule="auto"/>
        <w:rPr>
          <w:sz w:val="20"/>
          <w:szCs w:val="20"/>
          <w:color w:val="auto"/>
        </w:rPr>
      </w:pPr>
      <w:r>
        <w:rPr>
          <w:rFonts w:ascii="Times New Roman" w:cs="Times New Roman" w:eastAsia="Times New Roman" w:hAnsi="Times New Roman"/>
          <w:sz w:val="18"/>
          <w:szCs w:val="18"/>
          <w:color w:val="auto"/>
        </w:rPr>
        <w:t>relating to the termination of a third-party production contract related to the slowdown of the hard seltzer market. Refer to Note C of these consolidated financial statements for further details.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fiscal 2021, the Company amended its master transaction agreement with City Brewing Company, LLC ("City Brewing") to ensure access to capacity at a new location and continued access at certain existing locations. The amendment became effective during the second quarter of fiscal year 2021, upon the closing of the purchase of the new location by City Brewing. As part of the master transaction agreement, the Company paid $10.0 million that was used for capital improvements at the new location during the third quarter of fiscal year 2021 and an additional $17.9 million to ensure access to capacity during the fourth quarter of 2021. The agreement additionally includes monthly shortfall fees beginning January 1, 2023.</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Total third-party production prepayments were $61.3 million and $88.3 million as of December 31, 2022 and December 25, 2021, respectively. The Company will expense the total prepaid amount of $61.3 million as of December 31, 2022, all of which relates to the master transaction agreement described above and other agreements with City Brewing, as a component of cost of goods sold over the contractual period ending December 31, 2025.</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At current production volume projections, the Company believes that it will fall short of its future annual volume commitments at certain third-party production facilities, including those that are part of the master transaction agreement described above, and will incur shortfall fees. The Company expenses the shortfall fees during the contractual period when such fees are incurred as a component of cost of goods sold. During 2022, the Company recorded $3.0 million shortfall fees. As of December 31, 2022, if volume for the remaining term of the production arrangements was zero, the contractual shortfall fees, with advance notice as specified in the related contractual agreements, would total approximately $127 million over the duration of the contracts which have expiration dates through December 31, 2031. At current volume projections, the Company anticipates that it will recognize approximately $72 million of shortfall fees and expects to record those expenses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Expected Shortfall Fees to be Incurred</w:t>
            </w:r>
          </w:p>
        </w:tc>
        <w:tc>
          <w:tcPr>
            <w:tcW w:w="10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5"/>
                <w:szCs w:val="15"/>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shd w:val="clear" w:color="auto" w:fill="CFF0FC"/>
          </w:tcPr>
          <w:p>
            <w:pPr>
              <w:spacing w:after="0"/>
              <w:rPr>
                <w:sz w:val="15"/>
                <w:szCs w:val="15"/>
                <w:color w:val="auto"/>
              </w:rPr>
            </w:pP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tcPr>
          <w:p>
            <w:pPr>
              <w:spacing w:after="0"/>
              <w:rPr>
                <w:sz w:val="15"/>
                <w:szCs w:val="15"/>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shd w:val="clear" w:color="auto" w:fill="CFF0FC"/>
          </w:tcPr>
          <w:p>
            <w:pPr>
              <w:spacing w:after="0"/>
              <w:rPr>
                <w:sz w:val="15"/>
                <w:szCs w:val="15"/>
                <w:color w:val="auto"/>
              </w:rPr>
            </w:pP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r>
      <w:tr>
        <w:trPr>
          <w:trHeight w:val="209"/>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shortfall fees expected to be incurred</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Coworker wages, benefits, and reimbursements</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31,449</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21,476</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Advertising, promotional, and selling expenses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25,867</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inventory and production related costs</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17,986</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18,587</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deposits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13,521</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taxes</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7,229</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8,049</w:t>
            </w:r>
          </w:p>
        </w:tc>
        <w:tc>
          <w:tcPr>
            <w:tcW w:w="100" w:type="dxa"/>
            <w:vAlign w:val="bottom"/>
          </w:tcPr>
          <w:p>
            <w:pPr>
              <w:spacing w:after="0"/>
              <w:rPr>
                <w:sz w:val="15"/>
                <w:szCs w:val="15"/>
                <w:color w:val="auto"/>
              </w:rPr>
            </w:pPr>
          </w:p>
        </w:tc>
      </w:tr>
      <w:tr>
        <w:trPr>
          <w:trHeight w:val="1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returns</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6,045</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for wholesaler transaction (see Note D)</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39,468</w:t>
            </w:r>
          </w:p>
        </w:tc>
        <w:tc>
          <w:tcPr>
            <w:tcW w:w="100" w:type="dxa"/>
            <w:vAlign w:val="bottom"/>
          </w:tcPr>
          <w:p>
            <w:pPr>
              <w:spacing w:after="0"/>
              <w:rPr>
                <w:sz w:val="15"/>
                <w:szCs w:val="15"/>
                <w:color w:val="auto"/>
              </w:rPr>
            </w:pP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10,064</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21,199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111,153</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161,552</w:t>
            </w:r>
          </w:p>
        </w:tc>
        <w:tc>
          <w:tcPr>
            <w:tcW w:w="10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-145415</wp:posOffset>
            </wp:positionV>
            <wp:extent cx="68580"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 Revolving Line of Credit</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the Company amended its $150.0 million credit facility agreement, which now has a term not scheduled to expire until December 16, 2027. Under the terms of the amended agreement, the Company may elect an interest rate for borrowings under the credit facility based on the applicable secured overnight financing rate ("SOFR") plus 1.1%. At December 31, 2022, the applicable SOFR was 4.3%. The Company incurs an annual commitment fee of 0.2% on the unused portion of the facility and is obligated to meet certain financial covenants, which are measured using earnings before interest, tax, depreciation, and amortization (“EBITDA”) based ratios. The Company’s EBITDA to interest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ind w:right="140"/>
        <w:spacing w:after="0" w:line="258" w:lineRule="auto"/>
        <w:rPr>
          <w:sz w:val="20"/>
          <w:szCs w:val="20"/>
          <w:color w:val="auto"/>
        </w:rPr>
      </w:pPr>
      <w:r>
        <w:rPr>
          <w:rFonts w:ascii="Times New Roman" w:cs="Times New Roman" w:eastAsia="Times New Roman" w:hAnsi="Times New Roman"/>
          <w:sz w:val="18"/>
          <w:szCs w:val="18"/>
          <w:color w:val="auto"/>
        </w:rPr>
        <w:t>ratio was 2,331.0 as of December 31, 2022, compared to a minimum allowable ratio of 2.0 and the Company’s total funded debt to EBITDA ratio was 0.0 as of December 31, 2022, compared to a maximum allowable ratio of 2.5. During the year ended December 31, 2022, the Company borrowed and repaid $30.0 million on the credit facility and paid a total of approximately $18,000 in related interest. There were no borrowings, repayments, or interest payments during 2021. During the year ended December 26, 2020, the Company borrowed and repaid $100.0 million on the credit facility and paid a total of $0.2 million in related interest. There were no borrowings outstanding under the credit facility as of December 31, 2022.</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are also certain restrictive covenants set forth in the credit agreement. Pursuant to the negative covenants, the Company has agreed that it will not: enter into any indebtedness or guarantees other than those specified by the lender, enter into any sale and leaseback transactions, merge, consolidate, or dispose of significant assets without the lender’s prior written consent, make or maintain any investments other than those permitted in the credit agreement, or enter into any transactions with affiliates outside of the ordinary course of business. In addition, the credit agreement requires the Company to obtain prior written consent from the lender on distributions on account of, or in repurchase, retirement or purchase of its capital stock or other equity interests with the exception of the following: (a) distributions of capital stock from subsidiaries to The Boston Beer Company, Inc. and Boston Beer Corporation (a subsidiary of The Boston Beer Company, Inc.), (b) repurchase from former employees of non-vested investment shares of Class A Common Stock, issued under the Employee Equity Incentive Plan, and (c) redemption of shares of Class A Common Stock as approved by the Board of Directors and payment of cash dividends to its holders of common stock. Borrowings under the credit facility may be used for working capital, capital expenditures and general corporate purposes of the Company and its subsidiaries. In the event of a default that has not been cured, the credit facility would terminate and any unpaid principal and accrued interest would become due and payable.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income tax provision (benefit)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Federal</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10,453</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(4,473 )</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25,115</w:t>
            </w:r>
          </w:p>
        </w:tc>
        <w:tc>
          <w:tcPr>
            <w:tcW w:w="100" w:type="dxa"/>
            <w:vAlign w:val="bottom"/>
          </w:tcPr>
          <w:p>
            <w:pPr>
              <w:spacing w:after="0"/>
              <w:rPr>
                <w:sz w:val="15"/>
                <w:szCs w:val="15"/>
                <w:color w:val="auto"/>
              </w:rPr>
            </w:pPr>
          </w:p>
        </w:tc>
      </w:tr>
      <w:tr>
        <w:trPr>
          <w:trHeight w:val="17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State</w:t>
            </w:r>
          </w:p>
        </w:tc>
        <w:tc>
          <w:tcPr>
            <w:tcW w:w="88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4,683</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(2,395 )</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34,570</w:t>
            </w:r>
          </w:p>
        </w:tc>
        <w:tc>
          <w:tcPr>
            <w:tcW w:w="100" w:type="dxa"/>
            <w:vAlign w:val="bottom"/>
          </w:tcPr>
          <w:p>
            <w:pPr>
              <w:spacing w:after="0"/>
              <w:rPr>
                <w:sz w:val="14"/>
                <w:szCs w:val="14"/>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Federal</w:t>
            </w: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(2,762 )</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16,363</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State</w:t>
            </w:r>
          </w:p>
        </w:tc>
        <w:tc>
          <w:tcPr>
            <w:tcW w:w="8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(2,487 )</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shd w:val="clear" w:color="auto" w:fill="CFF0FC"/>
          </w:tcPr>
          <w:p>
            <w:pPr>
              <w:spacing w:after="0"/>
              <w:rPr>
                <w:sz w:val="15"/>
                <w:szCs w:val="15"/>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(5,249 )</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17,700</w:t>
            </w:r>
          </w:p>
        </w:tc>
        <w:tc>
          <w:tcPr>
            <w:tcW w:w="100" w:type="dxa"/>
            <w:vAlign w:val="bottom"/>
          </w:tcPr>
          <w:p>
            <w:pPr>
              <w:spacing w:after="0"/>
              <w:rPr>
                <w:sz w:val="14"/>
                <w:szCs w:val="14"/>
                <w:color w:val="auto"/>
              </w:rPr>
            </w:pPr>
          </w:p>
        </w:tc>
      </w:tr>
      <w:tr>
        <w:trPr>
          <w:trHeight w:val="209"/>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income tax provision (benefit)</w:t>
            </w:r>
          </w:p>
        </w:tc>
        <w:tc>
          <w:tcPr>
            <w:tcW w:w="880" w:type="dxa"/>
            <w:vAlign w:val="bottom"/>
            <w:tcBorders>
              <w:top w:val="single" w:sz="8" w:color="auto"/>
              <w:bottom w:val="single" w:sz="8" w:color="auto"/>
            </w:tcBorders>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24,173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(7,644</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52,270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-719455</wp:posOffset>
            </wp:positionV>
            <wp:extent cx="68580" cy="1200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-719455</wp:posOffset>
            </wp:positionV>
            <wp:extent cx="68580" cy="120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-264795</wp:posOffset>
            </wp:positionV>
            <wp:extent cx="68580"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-264795</wp:posOffset>
            </wp:positionV>
            <wp:extent cx="68580"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to statutory rates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gridSpan w:val="2"/>
          </w:tcPr>
          <w:p>
            <w:pPr>
              <w:ind w:left="70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Statutory rate</w:t>
            </w:r>
          </w:p>
        </w:tc>
        <w:tc>
          <w:tcPr>
            <w:tcW w:w="9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r>
      <w:tr>
        <w:trPr>
          <w:trHeight w:val="175"/>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Deduction relating to excess stock-based compensation</w:t>
            </w:r>
          </w:p>
        </w:tc>
        <w:tc>
          <w:tcPr>
            <w:tcW w:w="6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(0.9 )</w:t>
            </w:r>
          </w:p>
        </w:tc>
        <w:tc>
          <w:tcPr>
            <w:tcW w:w="9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(153.8 )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20" w:type="dxa"/>
            <w:vAlign w:val="bottom"/>
          </w:tcPr>
          <w:p>
            <w:pPr>
              <w:spacing w:after="0"/>
              <w:rPr>
                <w:sz w:val="15"/>
                <w:szCs w:val="15"/>
                <w:color w:val="auto"/>
              </w:rPr>
            </w:pPr>
          </w:p>
        </w:tc>
      </w:tr>
      <w:tr>
        <w:trPr>
          <w:trHeight w:val="176"/>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Non-deductible meals &amp; entertainment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unrecognized tax benefits (including interest and penalty)</w:t>
            </w:r>
          </w:p>
        </w:tc>
        <w:tc>
          <w:tcPr>
            <w:tcW w:w="1580" w:type="dxa"/>
            <w:vAlign w:val="bottom"/>
            <w:gridSpan w:val="3"/>
            <w:shd w:val="clear" w:color="auto" w:fill="CFF0FC"/>
          </w:tcPr>
          <w:p>
            <w:pPr>
              <w:jc w:val="right"/>
              <w:ind w:right="1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(8.7 )</w:t>
            </w:r>
          </w:p>
        </w:tc>
        <w:tc>
          <w:tcPr>
            <w:tcW w:w="148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5"/>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Federal and state provision to return</w:t>
            </w:r>
          </w:p>
        </w:tc>
        <w:tc>
          <w:tcPr>
            <w:tcW w:w="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(0.2 )</w:t>
            </w:r>
          </w:p>
        </w:tc>
        <w:tc>
          <w:tcPr>
            <w:tcW w:w="960" w:type="dxa"/>
            <w:vAlign w:val="bottom"/>
          </w:tcPr>
          <w:p>
            <w:pPr>
              <w:spacing w:after="0"/>
              <w:rPr>
                <w:sz w:val="15"/>
                <w:szCs w:val="15"/>
                <w:color w:val="auto"/>
              </w:rPr>
            </w:pPr>
          </w:p>
        </w:tc>
        <w:tc>
          <w:tcPr>
            <w:tcW w:w="6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(7.1 )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Pr>
          <w:p>
            <w:pPr>
              <w:spacing w:after="0"/>
              <w:rPr>
                <w:sz w:val="15"/>
                <w:szCs w:val="15"/>
                <w:color w:val="auto"/>
              </w:rPr>
            </w:pPr>
          </w:p>
        </w:tc>
      </w:tr>
      <w:tr>
        <w:trPr>
          <w:trHeight w:val="175"/>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(0.6 )</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6560" w:type="dxa"/>
            <w:vAlign w:val="bottom"/>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6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 at: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100" w:type="dxa"/>
            <w:vAlign w:val="bottom"/>
          </w:tcPr>
          <w:p>
            <w:pPr>
              <w:spacing w:after="0"/>
              <w:rPr>
                <w:sz w:val="16"/>
                <w:szCs w:val="16"/>
                <w:color w:val="auto"/>
              </w:rPr>
            </w:pPr>
          </w:p>
        </w:tc>
      </w:tr>
      <w:tr>
        <w:trPr>
          <w:trHeight w:val="169"/>
        </w:trPr>
        <w:tc>
          <w:tcPr>
            <w:tcW w:w="8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9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13,994</w:t>
            </w:r>
          </w:p>
        </w:tc>
        <w:tc>
          <w:tcPr>
            <w:tcW w:w="100" w:type="dxa"/>
            <w:vAlign w:val="bottom"/>
          </w:tcPr>
          <w:p>
            <w:pPr>
              <w:spacing w:after="0"/>
              <w:rPr>
                <w:sz w:val="15"/>
                <w:szCs w:val="15"/>
                <w:color w:val="auto"/>
              </w:rPr>
            </w:pP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16,236</w:t>
            </w:r>
          </w:p>
        </w:tc>
        <w:tc>
          <w:tcPr>
            <w:tcW w:w="100" w:type="dxa"/>
            <w:vAlign w:val="bottom"/>
          </w:tcPr>
          <w:p>
            <w:pPr>
              <w:spacing w:after="0"/>
              <w:rPr>
                <w:sz w:val="15"/>
                <w:szCs w:val="15"/>
                <w:color w:val="auto"/>
              </w:rPr>
            </w:pPr>
          </w:p>
        </w:tc>
      </w:tr>
      <w:tr>
        <w:trPr>
          <w:trHeight w:val="175"/>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Inventory reserves</w:t>
            </w:r>
          </w:p>
        </w:tc>
        <w:tc>
          <w:tcPr>
            <w:tcW w:w="9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8,595</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14,343</w:t>
            </w:r>
          </w:p>
        </w:tc>
        <w:tc>
          <w:tcPr>
            <w:tcW w:w="100" w:type="dxa"/>
            <w:vAlign w:val="bottom"/>
            <w:shd w:val="clear" w:color="auto" w:fill="CFF0FC"/>
          </w:tcPr>
          <w:p>
            <w:pPr>
              <w:spacing w:after="0"/>
              <w:rPr>
                <w:sz w:val="15"/>
                <w:szCs w:val="15"/>
                <w:color w:val="auto"/>
              </w:rPr>
            </w:pPr>
          </w:p>
        </w:tc>
      </w:tr>
      <w:tr>
        <w:trPr>
          <w:trHeight w:val="176"/>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100" w:type="dxa"/>
            <w:vAlign w:val="bottom"/>
          </w:tcPr>
          <w:p>
            <w:pPr>
              <w:spacing w:after="0"/>
              <w:rPr>
                <w:sz w:val="15"/>
                <w:szCs w:val="15"/>
                <w:color w:val="auto"/>
              </w:rPr>
            </w:pPr>
          </w:p>
        </w:tc>
      </w:tr>
      <w:tr>
        <w:trPr>
          <w:trHeight w:val="17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carryforwards</w:t>
            </w:r>
          </w:p>
        </w:tc>
        <w:tc>
          <w:tcPr>
            <w:tcW w:w="9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100" w:type="dxa"/>
            <w:vAlign w:val="bottom"/>
            <w:shd w:val="clear" w:color="auto" w:fill="CFF0FC"/>
          </w:tcPr>
          <w:p>
            <w:pPr>
              <w:spacing w:after="0"/>
              <w:rPr>
                <w:sz w:val="15"/>
                <w:szCs w:val="15"/>
                <w:color w:val="auto"/>
              </w:rPr>
            </w:pPr>
          </w:p>
        </w:tc>
      </w:tr>
      <w:tr>
        <w:trPr>
          <w:trHeight w:val="175"/>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tcPr>
          <w:p>
            <w:pPr>
              <w:spacing w:after="0"/>
              <w:rPr>
                <w:sz w:val="15"/>
                <w:szCs w:val="15"/>
                <w:color w:val="auto"/>
              </w:rPr>
            </w:pPr>
          </w:p>
        </w:tc>
      </w:tr>
      <w:tr>
        <w:trPr>
          <w:trHeight w:val="17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commitments for inventory at vendor locations</w:t>
            </w:r>
          </w:p>
        </w:tc>
        <w:tc>
          <w:tcPr>
            <w:tcW w:w="9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100" w:type="dxa"/>
            <w:vAlign w:val="bottom"/>
            <w:shd w:val="clear" w:color="auto" w:fill="CFF0FC"/>
          </w:tcPr>
          <w:p>
            <w:pPr>
              <w:spacing w:after="0"/>
              <w:rPr>
                <w:sz w:val="15"/>
                <w:szCs w:val="15"/>
                <w:color w:val="auto"/>
              </w:rPr>
            </w:pPr>
          </w:p>
        </w:tc>
      </w:tr>
      <w:tr>
        <w:trPr>
          <w:trHeight w:val="175"/>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 credit carryforwards</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Pr>
          <w:p>
            <w:pPr>
              <w:spacing w:after="0"/>
              <w:rPr>
                <w:sz w:val="15"/>
                <w:szCs w:val="15"/>
                <w:color w:val="auto"/>
              </w:rPr>
            </w:pPr>
          </w:p>
        </w:tc>
      </w:tr>
      <w:tr>
        <w:trPr>
          <w:trHeight w:val="17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destruction costs</w:t>
            </w:r>
          </w:p>
        </w:tc>
        <w:tc>
          <w:tcPr>
            <w:tcW w:w="9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shd w:val="clear" w:color="auto" w:fill="CFF0FC"/>
          </w:tcPr>
          <w:p>
            <w:pPr>
              <w:spacing w:after="0"/>
              <w:rPr>
                <w:sz w:val="15"/>
                <w:szCs w:val="15"/>
                <w:color w:val="auto"/>
              </w:rPr>
            </w:pPr>
          </w:p>
        </w:tc>
      </w:tr>
      <w:tr>
        <w:trPr>
          <w:trHeight w:val="176"/>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5"/>
                <w:szCs w:val="15"/>
                <w:color w:val="auto"/>
              </w:rPr>
            </w:pPr>
          </w:p>
        </w:tc>
      </w:tr>
      <w:tr>
        <w:trPr>
          <w:trHeight w:val="169"/>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40,052</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53,322</w:t>
            </w:r>
          </w:p>
        </w:tc>
        <w:tc>
          <w:tcPr>
            <w:tcW w:w="100" w:type="dxa"/>
            <w:vAlign w:val="bottom"/>
            <w:shd w:val="clear" w:color="auto" w:fill="CFF0FC"/>
          </w:tcPr>
          <w:p>
            <w:pPr>
              <w:spacing w:after="0"/>
              <w:rPr>
                <w:sz w:val="14"/>
                <w:szCs w:val="14"/>
                <w:color w:val="auto"/>
              </w:rPr>
            </w:pPr>
          </w:p>
        </w:tc>
      </w:tr>
      <w:tr>
        <w:trPr>
          <w:trHeight w:val="176"/>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Valuation allowance</w:t>
            </w:r>
          </w:p>
        </w:tc>
        <w:tc>
          <w:tcPr>
            <w:tcW w:w="9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(4,600 )</w:t>
            </w:r>
          </w:p>
        </w:tc>
        <w:tc>
          <w:tcPr>
            <w:tcW w:w="5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(3,341 )</w:t>
            </w:r>
          </w:p>
        </w:tc>
      </w:tr>
      <w:tr>
        <w:trPr>
          <w:trHeight w:val="169"/>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deferred tax assets, net of valuation allowance</w:t>
            </w:r>
          </w:p>
        </w:tc>
        <w:tc>
          <w:tcPr>
            <w:tcW w:w="96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35,452</w:t>
            </w:r>
          </w:p>
        </w:tc>
        <w:tc>
          <w:tcPr>
            <w:tcW w:w="10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49,981</w:t>
            </w:r>
          </w:p>
        </w:tc>
        <w:tc>
          <w:tcPr>
            <w:tcW w:w="100" w:type="dxa"/>
            <w:vAlign w:val="bottom"/>
            <w:shd w:val="clear" w:color="auto" w:fill="CFF0FC"/>
          </w:tcPr>
          <w:p>
            <w:pPr>
              <w:spacing w:after="0"/>
              <w:rPr>
                <w:sz w:val="14"/>
                <w:szCs w:val="14"/>
                <w:color w:val="auto"/>
              </w:rPr>
            </w:pPr>
          </w:p>
        </w:tc>
      </w:tr>
      <w:tr>
        <w:trPr>
          <w:trHeight w:val="175"/>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9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(103,561 )</w:t>
            </w:r>
          </w:p>
        </w:tc>
        <w:tc>
          <w:tcPr>
            <w:tcW w:w="5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(102,696 )</w:t>
            </w:r>
          </w:p>
        </w:tc>
      </w:tr>
      <w:tr>
        <w:trPr>
          <w:trHeight w:val="175"/>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Right-of-use assets</w:t>
            </w:r>
          </w:p>
        </w:tc>
        <w:tc>
          <w:tcPr>
            <w:tcW w:w="9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(11,375 )</w:t>
            </w:r>
          </w:p>
        </w:tc>
        <w:tc>
          <w:tcPr>
            <w:tcW w:w="5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(14,035 )</w:t>
            </w:r>
          </w:p>
        </w:tc>
      </w:tr>
      <w:tr>
        <w:trPr>
          <w:trHeight w:val="17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Intangible assets amortization</w:t>
            </w:r>
          </w:p>
        </w:tc>
        <w:tc>
          <w:tcPr>
            <w:tcW w:w="9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(10,373 )</w:t>
            </w:r>
          </w:p>
        </w:tc>
        <w:tc>
          <w:tcPr>
            <w:tcW w:w="5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(15,024 )</w:t>
            </w:r>
          </w:p>
        </w:tc>
      </w:tr>
      <w:tr>
        <w:trPr>
          <w:trHeight w:val="176"/>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9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(6,735 )</w:t>
            </w:r>
          </w:p>
        </w:tc>
        <w:tc>
          <w:tcPr>
            <w:tcW w:w="5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(5,721 )</w:t>
            </w:r>
          </w:p>
        </w:tc>
      </w:tr>
      <w:tr>
        <w:trPr>
          <w:trHeight w:val="169"/>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96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(132,044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8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(137,476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8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color w:val="auto"/>
              </w:rPr>
              <w:t>(96,592 )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(87,495 )</w:t>
            </w:r>
          </w:p>
        </w:tc>
      </w:tr>
      <w:tr>
        <w:trPr>
          <w:trHeight w:val="20"/>
        </w:trPr>
        <w:tc>
          <w:tcPr>
            <w:tcW w:w="8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-145415</wp:posOffset>
            </wp:positionV>
            <wp:extent cx="68580" cy="146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policy is to classify interest and penalties related to income tax matters in income tax expense. Interest and penalties included in the provision for income taxes amounted to $0 in each of the fiscal years 2022, 2021, and 2020. Accrued interest and penalties amounted to $0.2 million at December 31, 2022 and December 25,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12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Increases related to current period tax positions</w:t>
            </w: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(Decreases) increases related to prior period tax positions</w:t>
            </w:r>
          </w:p>
        </w:tc>
        <w:tc>
          <w:tcPr>
            <w:tcW w:w="1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(30 )</w:t>
            </w: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Decreases related to lapse of statute of limitations</w:t>
            </w:r>
          </w:p>
        </w:tc>
        <w:tc>
          <w:tcPr>
            <w:tcW w:w="1120" w:type="dxa"/>
            <w:vAlign w:val="bottom"/>
          </w:tcPr>
          <w:p>
            <w:pPr>
              <w:spacing w:after="0"/>
              <w:rPr>
                <w:sz w:val="15"/>
                <w:szCs w:val="15"/>
                <w:color w:val="auto"/>
              </w:rPr>
            </w:pPr>
          </w:p>
        </w:tc>
        <w:tc>
          <w:tcPr>
            <w:tcW w:w="7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(675 )</w:t>
            </w: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120" w:type="dxa"/>
            <w:vAlign w:val="bottom"/>
            <w:tcBorders>
              <w:top w:val="single" w:sz="8" w:color="auto"/>
              <w:bottom w:val="single" w:sz="8" w:color="auto"/>
            </w:tcBorders>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2022 and December 25, 2021 are potential net benefits of $0.2 million and $0.2 million, respectively, that would favorably impact the effective tax rate if recognized. Unrecognized tax benefits are included in accrued expenses in the accompanying consolidated balance sheets and adjusted in the period in which new information about a tax position becomes available or the final outcome differs from the amount recorded.</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Company’s 2019, 2020, and 2021 federal income tax returns remain subject to examination by IRS. The Company’s state income tax returns remain subject to examination for three or four years depending on the state’s statute of limitations. In addition, the Company is generally obligated to report changes in taxable income arising from federal income tax audits. The Company is not currently under any income tax audits as of December 31, 2022.</w:t>
      </w:r>
    </w:p>
    <w:p>
      <w:pPr>
        <w:spacing w:after="0" w:line="15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Company’s deferred tax assets include a valuation allowance of $4.6 million, compared to $3.3 million at December 25, 2021. The valuation allowance as of December 31, 2022 and December 25, 2021 were primarily related to stock-based compensation expected by management to be non-deductible under Internal Revenue Code, Section 162(m). The net increase in total valuation allowance was $1.3 million from December 25, 2021 to December 31, 2022, compared to a net increase of $1.3 million from December 26, 2020 to December 25,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projected cash outflows under non-cancellable contractual obligations for the remaining years under the contracts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Ingredients and packaging (excluding hops and</w:t>
            </w: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136,129</w:t>
            </w:r>
          </w:p>
        </w:tc>
        <w:tc>
          <w:tcPr>
            <w:tcW w:w="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136,129</w:t>
            </w:r>
          </w:p>
        </w:tc>
        <w:tc>
          <w:tcPr>
            <w:tcW w:w="4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malt)</w:t>
            </w:r>
          </w:p>
        </w:tc>
        <w:tc>
          <w:tcPr>
            <w:tcW w:w="20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Brand support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Hops and malt</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43,468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33,572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machinery</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18,831</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10,704</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303,608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260,757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22,301</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-145415</wp:posOffset>
            </wp:positionV>
            <wp:extent cx="7747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-145415</wp:posOffset>
            </wp:positionV>
            <wp:extent cx="7747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-145415</wp:posOffset>
            </wp:positionV>
            <wp:extent cx="76835"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-145415</wp:posOffset>
            </wp:positionV>
            <wp:extent cx="6858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-145415</wp:posOffset>
            </wp:positionV>
            <wp:extent cx="6858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-145415</wp:posOffset>
            </wp:positionV>
            <wp:extent cx="6858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accounting policy for inventory and non-cancellable purchase commitments is to recognize a loss by establishing a reserve to the extent inventory levels and commitments exceed forecasted needs. The computation of the excess inventory requires management to make certain assumptions regarding future sales growth, product mix, cancellation costs and supply, among others. Actual results may differ materially from management’s estimates. The Company continues to manage inventory levels and purchase commitments in an effort to maximize utilization. However, changes in management’s assumptions regarding future sales growth, product mix and hops market conditions could result in future material losses.</w:t>
      </w:r>
    </w:p>
    <w:p>
      <w:pPr>
        <w:spacing w:after="0" w:line="18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 utilizes several varieties of hops in the production of its products. To ensure adequate supplies of these varieties, the Company enters into advance multi-year purchase commitments based on forecasted future hop requirements, among other factors. These purchase commitments extend through crop year 2025 and specify both the quantities and prices, denominated in U.S. Dollar, Euros, New Zealand Dollars and British Pounds, to which the Company is committed. Hops purchase commitments outstanding at December 31, 2022 totaled $15.7 million, based on the exchange rates on that date.</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does not use forward currency exchange contracts and intends to purchase future hops using the exchange rate at the time of purchase. These contracts were deemed necessary in order to bring hop inventory levels and purchase commitments into balance with the Company’s current brewing volume and hop usage forecasts. In addition, these contracts enable the Company to secure its position for future supply with hop vendors in the face of some competitive buying activity.</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Currently, the Company has entered into contracts for barley and wheat used in the Company’s malt with four major suppliers. The contracts cover the Company’s barley, wheat, and malt requirements for 2023 and extend through crop year 2023. These purchase commitments outstanding at December 31, 2022 totaled $27.7 million.</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anticipates paying shortfall fees at certain of its third-party production locations in future periods. See Note J for further discussion of the Company's third-party production arrangements and the anticipated shortfall fees. The anticipated shortfall fees are not included in the contractual obligations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and in the future may be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the loss can be estimated. Material pending legal proceedings are discussed below.</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Securities Litigation. On September 14, 2021, a purported class action lawsuit was filed by an individual shareholder in the United States District Court for the Southern District of New York against the Company and three of its officers. The complaint alleges claims under Sections 10(b) and 20(a) of the Securities Exchange Act of 1934 between April 22, 2021 and September 8, 2021. The plaintiff claims that defendants made materially false and/or misleading statements or failed to disclose material adverse facts about the Company’s business, operations, and prospects. On October 8, 2021, a nearly identical complaint was filed against the Company by an individual shareholder in the United States District Court for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ind w:right="220"/>
        <w:spacing w:after="0" w:line="256" w:lineRule="auto"/>
        <w:rPr>
          <w:sz w:val="20"/>
          <w:szCs w:val="20"/>
          <w:color w:val="auto"/>
        </w:rPr>
      </w:pPr>
      <w:r>
        <w:rPr>
          <w:rFonts w:ascii="Times New Roman" w:cs="Times New Roman" w:eastAsia="Times New Roman" w:hAnsi="Times New Roman"/>
          <w:sz w:val="18"/>
          <w:szCs w:val="18"/>
          <w:color w:val="auto"/>
        </w:rPr>
        <w:t>Southern District of New York. The Court consolidated the two actions and on December 14, 2021 appointed a lead plaintiff, who filed an amended complaint on January 13, 2022. The Company’s motion to dismiss the plaintiff’s complaint in the previously reported class action alleging claims under Sections 10(b) and 20(a) of the Securities Exchange Act of 1934 was granted by the Court on December 5, 2022. The plaintiff filed a notice of appeal on January 5, 2023 and the plaintiff’s opening brief is due April 11, 2023. The Company’s response will be due on July 11, 2023. The Company intends to continue to vigorously defend against these claims. Any ultimate outcome of this matter will depend on the nature and outcome of plaintiff’s appeal and estimating a range of potential loss, should the plaintiff’s appeal be granted, is not possible at this time.</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Supplier Dispute. On December 31, 2022, Ardagh Metal Packaging USA Corp. (“Ardagh”) filed an action against the Company alleging, among other things, that the Company had failed to purchase contractual minimum volumes of certain aluminum beverage can containers in 2021 and 2022. The Company denies that it breached the terms of the parties’ contract and intends to defend against the Ardagh claims vigorously. Ardagh and the Company have agreed to engage in mediation and to stay the legal proceedings by a period of 60 days to permit the mediation to proceed. A range of potential loss cannot be estimated at this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Fair Value Measurements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9" w:lineRule="exact"/>
        <w:rPr>
          <w:sz w:val="20"/>
          <w:szCs w:val="20"/>
          <w:color w:val="auto"/>
        </w:rPr>
      </w:pPr>
    </w:p>
    <w:p>
      <w:pPr>
        <w:ind w:left="760" w:right="60" w:hanging="378"/>
        <w:spacing w:after="0" w:line="26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Level 1 inputs are quoted prices (unadjusted) in active markets for identical assets or liabilities that the reporting entity has the ability to access at the measurement date.</w:t>
      </w:r>
    </w:p>
    <w:p>
      <w:pPr>
        <w:ind w:left="760" w:right="16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1"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Level 3 inputs are unobservable inputs for the asset or liability in which there is little, if any, market activity for the asset or liability at the measurement date.</w:t>
      </w:r>
    </w:p>
    <w:p>
      <w:pPr>
        <w:spacing w:after="0" w:line="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investments in money market funds are measured at fair value on a recurring basis (at least annually)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receivables and payables are carried at their cost, which approximates fair value, because of their short-term nature.</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At December 31, 2022 and December 25, 2021, the Company had funds invested in a “Triple A” rated money market fund. The Company considers the “Triple A” rated money market fund to be a large, highly-rated investment-grade institution. As of December 31, 2022 and December 25, 2021, the Company’s cash and cash equivalents balance was $180.6 million and $26.9 million, respectively, including money market funds amounting to $174.2 million and $5.8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w:t>
      </w:r>
    </w:p>
    <w:p>
      <w:pPr>
        <w:spacing w:after="0" w:line="22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fair value of the Company's Dogfish Head trademark intangible assets is classified within Level 3 of the fair value hierarchy because there are no observable inputs of market activity. When performing a quantitative assessment for impairment of the trademark asset, the Company measures the amount of impairment by calculating the amount by which the carrying value of the trademark asset exceeds its estimated fair value. The estimated fair value is determined based on an income approach using the relief from royalty method, which assumes that, in lieu of ownership, a third party would be willing to pay a royalty in order to exploit the related benefits of the trademark asset. The cash flow projections the Company uses to estimate the fair value of its Dogfish Head trademark intangible asset involves several assumptions, including (i) projected revenue growth, (ii) an estimated royalty rate, (iii) after-tax royalty savings expected from ownership of the trademark and (iv) a discount rate used to derive the estimated fair value of the trademark asset.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P. Common Stock and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Class B Common Stock is freely convertible into one share of Class A Common Stock, upon request of any Class B holder, and participates equally in earnings.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distributions with respect to the Company’s capital stock are restricted by the Company’s credit agreement, with the exception of distributions of capital stock from subsidiaries to The Boston Beer Company, Inc. and Boston Beer Corporation, repurchase from former employees of non-vested investment shares of Class A Common Stock issued under the Company’s equity incentive plan, redemption of certain shares of Class A Common Stock as approved by the Board of Directors and payment of cash dividends to its holders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Compensation Plan</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Company’s Employee Equity Incentive Plan (the “Equity Plan”) currently provides for the grant of discretionary options, restricted stock awards and restricted stock units to employees, and provides for shares to be sold to employees of the Company at a discounted purchase price under its investment share program. The Equity Plan is administered by the Board of Directors of the Company, based on recommendations received from the Compensation Committee of the Board of Directors. The Compensation Committee consists of three independent directors. In determining the quantities and types of awards for grant, the Compensation Committee periodically reviews the objectives of the Company’s compensation system and takes into account the position and responsibilities of the employee being considered, the nature and value to the Company of his or her service and accomplishments, his or her present and potential contributions to the success of the Company, the value of the type of awards to the employee and such other factors as the Compensation Committee deems relevant.</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 options and related vesting requirements and terms are granted at the Board of Directors’ discretion, but generally vest ratably over three to five-year periods and, with respect to certain options granted to members of senior management, based on the Company’s performance. Generally, the maximum contractual term of stock options is ten years, although the Board of Directors may grant options that exceed the ten-year term. During fiscal years 2022, 2021, and 2020, the Company granted options to purchase 17,114 shares, 18,998 shares, 21,992 shares, respectively, of its Class A Common Stock to employees at market value on the grant dates. All of the total 2022 stock option grants were performance-based.</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fiscal years 2022, 2021, and 2020, the Company granted 32,744 shares, 12,867 shares, and 33,403 shares, respectively, of restricted stock units to certain senior managers and key employees. All of the 2022 restricted stock unit grants are service-based and vest ratably over service periods of three to five years.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Equity Plan also has an investment share program which permits employees who have been with the Company for at least one year to purchase shares of Class A Common Stock at a discount from current market value of 0% to 40%, based on the employee’s tenure with the Company. Investment shares vest ratably over service periods of five years. Participants may pay for these shares either up front or through payroll deductions over an eleven-month period during the year of purchase. During fiscal years 2022, 2021, and 2020, employees elected to purchase an aggregate of 10,845 investment shares, 4,954 investment shares, and 9,127 investment shares, respectively.</w:t>
      </w:r>
    </w:p>
    <w:p>
      <w:pPr>
        <w:spacing w:after="0" w:line="18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has reserved 6.7 million shares of Class A Common Stock for issuance pursuant to the Equity Plan, of which 1.0 million shares were available for grant as of December 31, 2022. Shares reserved for issuance under cancelled employee stock options and forfeited restricted stock are returned to the reserve under the Equity Plan for future grants or purchases.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purchases unvested investment shares from employees who have left the Company at the lesser of (i) the price paid for the shares when the employee acquired the shares or (ii) the fair market value of the shares as of the date next preceding the date on which the shares are called for redemption by the Company. These shares are also returned to the reserve under the Equity Plan for future grants or 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Options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a stock option plan for non-employee directors of the Company (the “Non-Employee Director Plan”), pursuant to which each non-employee director of the Company is granted an option to purchase shares of the Company’s Class A Common Stock upon election or re-election to the Board of Directors. Stock options issued to non-employee directors vest upon grant and have a maximum contractual term of ten years. During fiscal years 2022, 2021, and 2020 the Company granted options to purchase an aggregate of 3,810 shares, 1,422 shares, and 4,410 shares of the Company’s Class A Common Stock to non-employee directors, respectively.</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has reserved 0.6 million shares of Class A Common Stock for issuance pursuant to the Non-Employee Director Plan, of which 0.1 million shares were available for grant as of December 31, 2022. Shares under any cancelled non-employee directors’ stock options or options that expire unexercised are returned to the reserve under the Non-Employee Director Plan for future grants.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stock options under the Equity Plan and the Non-Employee Director Plan is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at December 25,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221,354</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310.38</w:t>
            </w:r>
          </w:p>
        </w:tc>
        <w:tc>
          <w:tcPr>
            <w:tcW w:w="20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378.55</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Exercised</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(30,164 )</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188.46</w:t>
            </w: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Cancelled/Forfeited</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(7,869 )</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339.25</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204,245</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334.26</w:t>
            </w:r>
          </w:p>
        </w:tc>
        <w:tc>
          <w:tcPr>
            <w:tcW w:w="2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Exercisable at December 31, 2022</w:t>
            </w:r>
          </w:p>
        </w:tc>
        <w:tc>
          <w:tcPr>
            <w:tcW w:w="11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118,829</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251.08</w:t>
            </w:r>
          </w:p>
        </w:tc>
        <w:tc>
          <w:tcPr>
            <w:tcW w:w="20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4.46</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11,561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Vested and expected to vest at December 31, 2022</w:t>
            </w:r>
          </w:p>
        </w:tc>
        <w:tc>
          <w:tcPr>
            <w:tcW w:w="11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174,154</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319.56</w:t>
            </w:r>
          </w:p>
        </w:tc>
        <w:tc>
          <w:tcPr>
            <w:tcW w:w="2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4.83</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14,653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-299720</wp:posOffset>
            </wp:positionV>
            <wp:extent cx="2717165"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17165"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Of the total options outstanding at December 31, 2022, 17,114 shares were performance-based options for which the performance criteria had yet to be achieved and 7,147 shares were performance-based options for which the performance criteria had been met but yet to be approved for vesting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estimate fair values of stock options on the date of grants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r>
      <w:tr>
        <w:trPr>
          <w:trHeight w:val="17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7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2.11 %</w:t>
            </w: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1.45 %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20" w:type="dxa"/>
            <w:vAlign w:val="bottom"/>
          </w:tcPr>
          <w:p>
            <w:pPr>
              <w:spacing w:after="0"/>
              <w:rPr>
                <w:sz w:val="15"/>
                <w:szCs w:val="15"/>
                <w:color w:val="auto"/>
              </w:rPr>
            </w:pPr>
          </w:p>
        </w:tc>
      </w:tr>
      <w:tr>
        <w:trPr>
          <w:trHeight w:val="175"/>
        </w:trPr>
        <w:tc>
          <w:tcPr>
            <w:tcW w:w="7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7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0 %</w:t>
            </w:r>
          </w:p>
        </w:tc>
        <w:tc>
          <w:tcPr>
            <w:tcW w:w="15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20" w:type="dxa"/>
            <w:vAlign w:val="bottom"/>
          </w:tcPr>
          <w:p>
            <w:pPr>
              <w:spacing w:after="0"/>
              <w:rPr>
                <w:sz w:val="15"/>
                <w:szCs w:val="15"/>
                <w:color w:val="auto"/>
              </w:rPr>
            </w:pPr>
          </w:p>
        </w:tc>
      </w:tr>
      <w:tr>
        <w:trPr>
          <w:trHeight w:val="17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Exercise factor</w:t>
            </w:r>
          </w:p>
        </w:tc>
        <w:tc>
          <w:tcPr>
            <w:tcW w:w="7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3.0 times</w:t>
            </w:r>
          </w:p>
        </w:tc>
        <w:tc>
          <w:tcPr>
            <w:tcW w:w="15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2.6 times</w:t>
            </w:r>
          </w:p>
        </w:tc>
        <w:tc>
          <w:tcPr>
            <w:tcW w:w="148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2.1 times</w:t>
            </w:r>
          </w:p>
        </w:tc>
        <w:tc>
          <w:tcPr>
            <w:tcW w:w="20" w:type="dxa"/>
            <w:vAlign w:val="bottom"/>
          </w:tcPr>
          <w:p>
            <w:pPr>
              <w:spacing w:after="0"/>
              <w:rPr>
                <w:sz w:val="15"/>
                <w:szCs w:val="15"/>
                <w:color w:val="auto"/>
              </w:rPr>
            </w:pPr>
          </w:p>
        </w:tc>
      </w:tr>
      <w:tr>
        <w:trPr>
          <w:trHeight w:val="175"/>
        </w:trPr>
        <w:tc>
          <w:tcPr>
            <w:tcW w:w="7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Discount for post-vesting restrictions</w:t>
            </w:r>
          </w:p>
        </w:tc>
        <w:tc>
          <w:tcPr>
            <w:tcW w:w="7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0.0 %</w:t>
            </w:r>
          </w:p>
        </w:tc>
        <w:tc>
          <w:tcPr>
            <w:tcW w:w="15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0.0 %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tcPr>
          <w:p>
            <w:pPr>
              <w:spacing w:after="0"/>
              <w:rPr>
                <w:sz w:val="15"/>
                <w:szCs w:val="15"/>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Expected volatility is based on the Company’s historical realized volatility. The risk-free interest rate represents the implied yields available from the U.S. Treasury zero-coupon yield curve over the contractual term of the option when using the trinomial option-pricing model. Expected dividend yield is 0% because the Company has not paid dividends in the past and currently has no known intention to do so in the future. Exercise factor and discount for post-vesting restrictions are based on the Company’s historical experience.</w:t>
      </w:r>
    </w:p>
    <w:p>
      <w:pPr>
        <w:spacing w:after="0" w:line="180"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total fair value of options vested during fiscal years 2022, 2021, and 2020 was $6.6 million, $6.3 million, and $4.8 million, respectively. The aggregate intrinsic value of stock options exercised during fiscal years 2022, 2021, and 2020 was $6.9 million, $28.9 million, and $45.9 million, respectively.</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Shares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vesting activities of shares issued under the investment share program and restricted stock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Non-vested at December 25,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88,848</w:t>
            </w:r>
          </w:p>
        </w:tc>
        <w:tc>
          <w:tcPr>
            <w:tcW w:w="28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Vested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(32,476 )</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Forfeited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(8,750 )</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Non-vested at December 31, 2022</w:t>
            </w:r>
          </w:p>
        </w:tc>
        <w:tc>
          <w:tcPr>
            <w:tcW w:w="1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91,211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423.60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awards is based on the Company’s traded stock price on the date of the grants. Fair value of investment shares is calculated using the trinomial option-pricing model.</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32,476 shares vested in 2022 with a weighted average fair value of $292.27, 42,038 shares vested in 2021 with a weighted average fair value of $227.40, and 45,860 shares vested in 2020 with a weighted average fair value of $214.23.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stock-based compensation expense included in operating expenses in the accompanying consolidated statements of comprehensive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6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Amounts included in advertising, promotional, and</w:t>
            </w:r>
          </w:p>
        </w:tc>
        <w:tc>
          <w:tcPr>
            <w:tcW w:w="880" w:type="dxa"/>
            <w:vAlign w:val="bottom"/>
            <w:vMerge w:val="restart"/>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40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5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selling expenses</w:t>
            </w:r>
          </w:p>
        </w:tc>
        <w:tc>
          <w:tcPr>
            <w:tcW w:w="880" w:type="dxa"/>
            <w:vAlign w:val="bottom"/>
            <w:vMerge w:val="continue"/>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Amounts included in general and administrative</w:t>
            </w:r>
          </w:p>
        </w:tc>
        <w:tc>
          <w:tcPr>
            <w:tcW w:w="8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8,804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13,003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expenses</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18,615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66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Amounts related to performance-based stock awards</w:t>
            </w:r>
          </w:p>
        </w:tc>
        <w:tc>
          <w:tcPr>
            <w:tcW w:w="880" w:type="dxa"/>
            <w:vAlign w:val="bottom"/>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4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5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included in total stock-based compensation expense</w:t>
            </w:r>
          </w:p>
        </w:tc>
        <w:tc>
          <w:tcPr>
            <w:tcW w:w="8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-231140</wp:posOffset>
            </wp:positionV>
            <wp:extent cx="2074545" cy="2317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74545" cy="231775"/>
                    </a:xfrm>
                    <a:prstGeom prst="rect">
                      <a:avLst/>
                    </a:prstGeom>
                    <a:noFill/>
                  </pic:spPr>
                </pic:pic>
              </a:graphicData>
            </a:graphic>
          </wp:anchor>
        </w:drawing>
      </w:r>
    </w:p>
    <w:p>
      <w:pPr>
        <w:spacing w:after="0" w:line="1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uses the straight-line attribution method in recognizing stock-based compensation expense for awards that vest based on service conditions. For awards that vest subject to performance conditions, compensation expense is recognized ratably for each tranche of the award over the performance period if it is probable that performance conditions will be met.</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expense, less estimated forfeitures. The estimated forfeiture rate was 19.0%, 13.0%, and 13.0% for 2022, 2021, and 2020, respectively. The estimated forfeiture rate is based upon historical experience and the Company periodically reviews this rate to ensure proper projection of future forfeitures.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Based on equity awards outstanding as of December 31, 2022, there is $23.7 million of unrecognized compensation costs, net of estimated forfeitures, related to unvested share-based compensation arrangements that are expected to vest. Such costs are expected to be recognized over a weighted-average period of 2.0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In 1998, the Board of Directors authorized management to implement a stock repurchase program. As of December 31, 2022, the Company has repurchased a cumulative total of approximately 13.8 million. There were no stock repurchases during fiscal years 2022, 2021, or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Employee Retirement Plans and Post-Retirement Medical Benefits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workforce comprises mostly of non-union employees who are employed by Boston Beer Corporation, American Craft Brewery LLC, or Angry Orchard Cider Company, LLC. As of December 31, 2022, the Company had three unions at its Cincinnati Brewery: Local 1, Local 20, and Teamsters Local Union. No. 1199 (“Local Union 1199”). The Company has different retirement and post-retirement plans available to each group of employees. The Boston Beer Company 401(k) Plan (the “Boston Beer 401(k) Plan”) covers most non-union employees and all members of Local Union 1199. The Samuel Adams Cincinnati Brewery 401(k) Plan for Represented Employees (the “SACB 401(k) Plan”) covers members of Local 1 and Local 20. The Company additionally provides a supplement to eligible retirees from Local 1, Local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20, and Local Union 1199 to assist with the cost of Medicare gap coverage after their retirement on account of age or permanent disability (collectively, the “Retiree Medical Plan”). The Company previously offered a pension plan (the “Local 1199 Pension Plan”) to members of Local Union 1199 until the plan was terminated effective January 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Boston Beer 401(k) Plan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Boston Beer 401(k) Plan, which was established by the Company in 1993, is a Company-sponsored defined contribution. Most non-union employees and all members of the Local 1199 union are eligible to participate in the Plan immediately upon employment. Participants may make voluntary contributions up to 60% of their annual compensation, subject to IRS limitations. The Company matches each participant’s contribution. A maximum of 5% of compensation is taken into account in determining the amount of the match. In January 2020, the Company amended the Boston Beer 401(k) Plan to update the Company match as follows: 100% of the first 3% of the eligible compensation participants contribute. Thereafter, the Company matches 50% of the next 2% of the eligible compensation participants contribute. The Company’s contributions to the Boston Beer 401(k) Plan amounted to $7.6 million, $7.4 million, and $6.4 million in fiscal years 2022, 2021, and 2020,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SACB 401(k) Plan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“SACB 401(k) Plan”, which was established by the Company in 1997, is a Company-sponsored defined contribution plan. It is available to all members of Local 1 and Local 20 upon commencement of employment or, if later, attaining age 21. Participants may make voluntary contributions up to 60% of their annual compensation to the SACB 401(k) Plan, subject to IRS limitations. Company contributions for fiscal years 2022, 2021, and 2020 were insignificant.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Retiree Medical Plan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qualify for this benefit, an eligible employee must have worked for at least 20 years for the Company or its predecessor at the Company’s Cincinnati Brewery as a part of one of its three unions, must have been enrolled in the Company’s group medical insurance plan for at least 5 years before retirement, and, in the case of retirees from Local 20, for at least 7 of the last 10 years of their employment, and must be eligible for Medicare benefits under the Social Security Act. The accumulated post-retirement benefit obligation was determined using a discount rate of 5.22% at December 31, 2022 and 2.86% at December 25, 2021 and a 2.50% health care cost increase based on the Cincinnati Consumer Price Index for the years 2022 and 2021. The effect of a 1% increase and the effect of a 1% decrease in the assumed health care cost trend rates on the aggregate of the service and interest cost components of net periodic post-retirement health care benefit costs and on the accumulated post-retirement benefit obligation for health care benefits would not be significant.</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comprehensive medical plan offered to currently employed members of Local 20 remains available to them should they retire after reaching age 57, and before reaching age 65, with at least 20 years of service with the Company or its predecessor at the Company’s Cincinnati Brewery. These eligible retirees may choose to continue to be covered under the Company’s comprehensive group medical plan until they reach the age when they are eligible for Medicare health benefits under the Social Security Act or coverage under a comparable State health benefit plan. Eligible retirees pay 100% of the cost of the coverage.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funded status of the Retiree Medical Plan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Retiree Medical Plan</w:t>
            </w: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00" w:type="dxa"/>
            <w:vAlign w:val="bottom"/>
          </w:tcPr>
          <w:p>
            <w:pPr>
              <w:spacing w:after="0"/>
              <w:rPr>
                <w:sz w:val="11"/>
                <w:szCs w:val="11"/>
                <w:color w:val="auto"/>
              </w:rPr>
            </w:pPr>
          </w:p>
        </w:tc>
        <w:tc>
          <w:tcPr>
            <w:tcW w:w="1560" w:type="dxa"/>
            <w:vAlign w:val="bottom"/>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60" w:type="dxa"/>
            <w:vAlign w:val="bottom"/>
          </w:tcPr>
          <w:p>
            <w:pPr>
              <w:jc w:val="right"/>
              <w:ind w:right="588"/>
              <w:spacing w:after="0" w:line="13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0" w:type="dxa"/>
            <w:vAlign w:val="bottom"/>
          </w:tcPr>
          <w:p>
            <w:pPr>
              <w:spacing w:after="0"/>
              <w:rPr>
                <w:sz w:val="11"/>
                <w:szCs w:val="11"/>
                <w:color w:val="auto"/>
              </w:rPr>
            </w:pPr>
          </w:p>
        </w:tc>
      </w:tr>
      <w:tr>
        <w:trPr>
          <w:trHeight w:val="187"/>
        </w:trPr>
        <w:tc>
          <w:tcPr>
            <w:tcW w:w="6600" w:type="dxa"/>
            <w:vAlign w:val="bottom"/>
          </w:tcPr>
          <w:p>
            <w:pPr>
              <w:spacing w:after="0"/>
              <w:rPr>
                <w:sz w:val="16"/>
                <w:szCs w:val="16"/>
                <w:color w:val="auto"/>
              </w:rPr>
            </w:pPr>
          </w:p>
        </w:tc>
        <w:tc>
          <w:tcPr>
            <w:tcW w:w="15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Benefit obligation at end of period</w:t>
            </w:r>
          </w:p>
        </w:tc>
        <w:tc>
          <w:tcPr>
            <w:tcW w:w="1560" w:type="dxa"/>
            <w:vAlign w:val="bottom"/>
            <w:tcBorders>
              <w:bottom w:val="single" w:sz="8" w:color="auto"/>
            </w:tcBorders>
            <w:shd w:val="clear" w:color="auto" w:fill="CFF0FC"/>
          </w:tcPr>
          <w:p>
            <w:pPr>
              <w:jc w:val="right"/>
              <w:ind w:right="13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Unfunded Status</w:t>
            </w:r>
          </w:p>
        </w:tc>
        <w:tc>
          <w:tcPr>
            <w:tcW w:w="156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86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4"/>
                <w:szCs w:val="14"/>
                <w:color w:val="auto"/>
              </w:rPr>
            </w:pPr>
          </w:p>
        </w:tc>
      </w:tr>
      <w:tr>
        <w:trPr>
          <w:trHeight w:val="20"/>
        </w:trPr>
        <w:tc>
          <w:tcPr>
            <w:tcW w:w="66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-144780</wp:posOffset>
            </wp:positionV>
            <wp:extent cx="68580" cy="145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Local 1199 Pension Plan</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Local 1199 Pension Plan was a Company-sponsored defined benefit pension plan. It was established in 1991 and was open to all union employees who are covered by the Company’s collective bargaining agreement with Local Union 1199, or persons on leave from the Company who were employed by Local Union 1199, and in either case who had completed 12 consecutive months of employment with at least 750 hours worked. The defined benefit was determined based on years of service since July 1991. On April 21, 2019, the Company reached an agreement with the Local Union 1199 to terminate the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ind w:right="220"/>
        <w:spacing w:after="0" w:line="261" w:lineRule="auto"/>
        <w:rPr>
          <w:sz w:val="20"/>
          <w:szCs w:val="20"/>
          <w:color w:val="auto"/>
        </w:rPr>
      </w:pPr>
      <w:r>
        <w:rPr>
          <w:rFonts w:ascii="Times New Roman" w:cs="Times New Roman" w:eastAsia="Times New Roman" w:hAnsi="Times New Roman"/>
          <w:sz w:val="18"/>
          <w:szCs w:val="18"/>
          <w:color w:val="auto"/>
        </w:rPr>
        <w:t>Local Union No. 1199 Pension Plan effective January 1, 2020 through either lump sum payments or the purchase of third-party annuities. On May 28, 2020, the Company received a positive determination letter for the termination of the plan from the IRS. During 2020, the Company completed the termination of the plan and recorded an expense of $2.0 million as a result of the termination. The Company made contributions of $2.9 million and $0.3 million in fiscal years 2020 and 2019, respectively. As of December 26, 2020, there was no unfunded projected pension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Net Income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Common Share - Basic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net income per share using the two-class method: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26,</w:t>
            </w:r>
          </w:p>
        </w:tc>
      </w:tr>
      <w:tr>
        <w:trPr>
          <w:trHeight w:val="175"/>
        </w:trPr>
        <w:tc>
          <w:tcPr>
            <w:tcW w:w="7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187"/>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6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15"/>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67,263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14,553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191,960</w:t>
            </w:r>
          </w:p>
        </w:tc>
        <w:tc>
          <w:tcPr>
            <w:tcW w:w="100" w:type="dxa"/>
            <w:vAlign w:val="bottom"/>
            <w:shd w:val="clear" w:color="auto" w:fill="CFF0FC"/>
          </w:tcPr>
          <w:p>
            <w:pPr>
              <w:spacing w:after="0"/>
              <w:rPr>
                <w:sz w:val="18"/>
                <w:szCs w:val="18"/>
                <w:color w:val="auto"/>
              </w:rPr>
            </w:pPr>
          </w:p>
        </w:tc>
      </w:tr>
      <w:tr>
        <w:trPr>
          <w:trHeight w:val="156"/>
        </w:trPr>
        <w:tc>
          <w:tcPr>
            <w:tcW w:w="744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Allocation of net income for basic:</w:t>
            </w: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5"/>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55,812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153,106</w:t>
            </w:r>
          </w:p>
        </w:tc>
        <w:tc>
          <w:tcPr>
            <w:tcW w:w="100" w:type="dxa"/>
            <w:vAlign w:val="bottom"/>
            <w:shd w:val="clear" w:color="auto" w:fill="CFF0FC"/>
          </w:tcPr>
          <w:p>
            <w:pPr>
              <w:spacing w:after="0"/>
              <w:rPr>
                <w:sz w:val="15"/>
                <w:szCs w:val="15"/>
                <w:color w:val="auto"/>
              </w:rPr>
            </w:pPr>
          </w:p>
        </w:tc>
      </w:tr>
      <w:tr>
        <w:trPr>
          <w:trHeight w:val="176"/>
        </w:trPr>
        <w:tc>
          <w:tcPr>
            <w:tcW w:w="7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37,690</w:t>
            </w:r>
          </w:p>
        </w:tc>
        <w:tc>
          <w:tcPr>
            <w:tcW w:w="100" w:type="dxa"/>
            <w:vAlign w:val="bottom"/>
          </w:tcPr>
          <w:p>
            <w:pPr>
              <w:spacing w:after="0"/>
              <w:rPr>
                <w:sz w:val="15"/>
                <w:szCs w:val="15"/>
                <w:color w:val="auto"/>
              </w:rPr>
            </w:pPr>
          </w:p>
        </w:tc>
      </w:tr>
      <w:tr>
        <w:trPr>
          <w:trHeight w:val="175"/>
        </w:trPr>
        <w:tc>
          <w:tcPr>
            <w:tcW w:w="7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Unvested participating shares</w:t>
            </w: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4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191,960</w:t>
            </w:r>
          </w:p>
        </w:tc>
        <w:tc>
          <w:tcPr>
            <w:tcW w:w="100" w:type="dxa"/>
            <w:vAlign w:val="bottom"/>
          </w:tcPr>
          <w:p>
            <w:pPr>
              <w:spacing w:after="0"/>
              <w:rPr>
                <w:sz w:val="14"/>
                <w:szCs w:val="14"/>
                <w:color w:val="auto"/>
              </w:rPr>
            </w:pPr>
          </w:p>
        </w:tc>
      </w:tr>
      <w:tr>
        <w:trPr>
          <w:trHeight w:val="17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for basic:</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9,734</w:t>
            </w:r>
          </w:p>
        </w:tc>
        <w:tc>
          <w:tcPr>
            <w:tcW w:w="100" w:type="dxa"/>
            <w:vAlign w:val="bottom"/>
          </w:tcPr>
          <w:p>
            <w:pPr>
              <w:spacing w:after="0"/>
              <w:rPr>
                <w:sz w:val="15"/>
                <w:szCs w:val="15"/>
                <w:color w:val="auto"/>
              </w:rPr>
            </w:pPr>
          </w:p>
        </w:tc>
      </w:tr>
      <w:tr>
        <w:trPr>
          <w:trHeight w:val="17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Class B Common Stock*</w:t>
            </w: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shd w:val="clear" w:color="auto" w:fill="CFF0FC"/>
          </w:tcPr>
          <w:p>
            <w:pPr>
              <w:spacing w:after="0"/>
              <w:rPr>
                <w:sz w:val="15"/>
                <w:szCs w:val="15"/>
                <w:color w:val="auto"/>
              </w:rPr>
            </w:pPr>
          </w:p>
        </w:tc>
      </w:tr>
      <w:tr>
        <w:trPr>
          <w:trHeight w:val="175"/>
        </w:trPr>
        <w:tc>
          <w:tcPr>
            <w:tcW w:w="7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Unvested participating shares</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r>
      <w:tr>
        <w:trPr>
          <w:trHeight w:val="169"/>
        </w:trPr>
        <w:tc>
          <w:tcPr>
            <w:tcW w:w="7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12,204</w:t>
            </w:r>
          </w:p>
        </w:tc>
        <w:tc>
          <w:tcPr>
            <w:tcW w:w="100" w:type="dxa"/>
            <w:vAlign w:val="bottom"/>
            <w:shd w:val="clear" w:color="auto" w:fill="CFF0FC"/>
          </w:tcPr>
          <w:p>
            <w:pPr>
              <w:spacing w:after="0"/>
              <w:rPr>
                <w:sz w:val="14"/>
                <w:szCs w:val="14"/>
                <w:color w:val="auto"/>
              </w:rPr>
            </w:pPr>
          </w:p>
        </w:tc>
      </w:tr>
      <w:tr>
        <w:trPr>
          <w:trHeight w:val="176"/>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 for basic:</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7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Class A Common Stock</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44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Class B Common Stock</w:t>
            </w: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5.46</w:t>
            </w:r>
          </w:p>
        </w:tc>
        <w:tc>
          <w:tcPr>
            <w:tcW w:w="2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1.19</w:t>
            </w:r>
          </w:p>
        </w:tc>
        <w:tc>
          <w:tcPr>
            <w:tcW w:w="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15.73</w:t>
            </w:r>
          </w:p>
        </w:tc>
        <w:tc>
          <w:tcPr>
            <w:tcW w:w="100" w:type="dxa"/>
            <w:vAlign w:val="bottom"/>
          </w:tcPr>
          <w:p>
            <w:pPr>
              <w:spacing w:after="0"/>
              <w:rPr>
                <w:sz w:val="13"/>
                <w:szCs w:val="13"/>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-1542415</wp:posOffset>
            </wp:positionV>
            <wp:extent cx="163703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37030" cy="13716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-1071245</wp:posOffset>
            </wp:positionV>
            <wp:extent cx="77470" cy="1200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-1071245</wp:posOffset>
            </wp:positionV>
            <wp:extent cx="68580" cy="1200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1200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-162560</wp:posOffset>
            </wp:positionV>
            <wp:extent cx="1637030" cy="163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637030" cy="163195"/>
                    </a:xfrm>
                    <a:prstGeom prst="rect">
                      <a:avLst/>
                    </a:prstGeom>
                    <a:noFill/>
                  </pic:spPr>
                </pic:pic>
              </a:graphicData>
            </a:graphic>
          </wp:anchor>
        </w:drawing>
      </w:r>
    </w:p>
    <w:p>
      <w:pPr>
        <w:ind w:right="600"/>
        <w:spacing w:after="0" w:line="260" w:lineRule="auto"/>
        <w:rPr>
          <w:sz w:val="20"/>
          <w:szCs w:val="20"/>
          <w:color w:val="auto"/>
        </w:rPr>
      </w:pPr>
      <w:r>
        <w:rPr>
          <w:rFonts w:ascii="Times New Roman" w:cs="Times New Roman" w:eastAsia="Times New Roman" w:hAnsi="Times New Roman"/>
          <w:sz w:val="18"/>
          <w:szCs w:val="18"/>
          <w:color w:val="auto"/>
        </w:rPr>
        <w:t>*Changes in Class B Common Stock resulted from the conversion to Class A Common stock during fiscal 2022, 2021, and 2020 as disclosed in the Company's consolidated statements of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Common Share - Diluted</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calculates diluted net income per share for common stock using the more dilutive of (1) the treasury stock method, or (2) the two-class method, which assumes the participating securities are not exercised or converted.</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diluted net income per share, assuming the conversion of all Class B Common Stock into Class A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Fifty-three weeks ended December 31, 2022</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Earnings to</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4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reported - basic</w:t>
            </w:r>
          </w:p>
        </w:tc>
        <w:tc>
          <w:tcPr>
            <w:tcW w:w="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55,812</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10,221</w:t>
            </w:r>
          </w:p>
        </w:tc>
        <w:tc>
          <w:tcPr>
            <w:tcW w:w="7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 effect of dilutive potential common shares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Share-based awards</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 B Common Stock</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effect of unvested participating shares</w:t>
            </w:r>
          </w:p>
        </w:tc>
        <w:tc>
          <w:tcPr>
            <w:tcW w:w="4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80" w:type="dxa"/>
            <w:vAlign w:val="bottom"/>
            <w:tcBorders>
              <w:bottom w:val="single" w:sz="8" w:color="auto"/>
            </w:tcBorders>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67,106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12,345</w:t>
            </w:r>
          </w:p>
        </w:tc>
        <w:tc>
          <w:tcPr>
            <w:tcW w:w="7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Fifty-two weeks ended December 25, 2021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Earnings to</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reported - basic</w:t>
            </w: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10,121</w:t>
            </w:r>
          </w:p>
        </w:tc>
        <w:tc>
          <w:tcPr>
            <w:tcW w:w="7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 effect of dilutive potential common shares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Share-based awards</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 B Common Stock</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effect of unvested participating shares</w:t>
            </w:r>
          </w:p>
        </w:tc>
        <w:tc>
          <w:tcPr>
            <w:tcW w:w="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14,553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12,436</w:t>
            </w:r>
          </w:p>
        </w:tc>
        <w:tc>
          <w:tcPr>
            <w:tcW w:w="7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-1542415</wp:posOffset>
            </wp:positionV>
            <wp:extent cx="6858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-1542415</wp:posOffset>
            </wp:positionV>
            <wp:extent cx="68580" cy="146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-145415</wp:posOffset>
            </wp:positionV>
            <wp:extent cx="77470"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-145415</wp:posOffset>
            </wp:positionV>
            <wp:extent cx="68580"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Fifty-two weeks ended December 26, 2020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Earnings to</w:t>
            </w:r>
          </w:p>
        </w:tc>
        <w:tc>
          <w:tcPr>
            <w:tcW w:w="240" w:type="dxa"/>
            <w:vAlign w:val="bottom"/>
          </w:tcPr>
          <w:p>
            <w:pPr>
              <w:spacing w:after="0"/>
              <w:rPr>
                <w:sz w:val="11"/>
                <w:szCs w:val="11"/>
                <w:color w:val="auto"/>
              </w:rPr>
            </w:pPr>
          </w:p>
        </w:tc>
        <w:tc>
          <w:tcPr>
            <w:tcW w:w="12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240" w:type="dxa"/>
            <w:vAlign w:val="bottom"/>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reported - basic</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153,106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9,734</w:t>
            </w:r>
          </w:p>
        </w:tc>
        <w:tc>
          <w:tcPr>
            <w:tcW w:w="7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 effect of dilutive potential common shares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Share-based awards</w:t>
            </w: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 B Common Stock</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effect of unvested participating shares</w:t>
            </w: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income per common share - diluted</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190,810</w:t>
            </w:r>
          </w:p>
        </w:tc>
        <w:tc>
          <w:tcPr>
            <w:tcW w:w="15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12,283</w:t>
            </w:r>
          </w:p>
        </w:tc>
        <w:tc>
          <w:tcPr>
            <w:tcW w:w="7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-144780</wp:posOffset>
            </wp:positionV>
            <wp:extent cx="77470" cy="145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-144780</wp:posOffset>
            </wp:positionV>
            <wp:extent cx="68580"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Basic net income per common share for each share of Class A Common Stock and Class B Common Stock is $5.46, $1.19, and $15.73 for the fiscal years 2022, 2021, and 2020, respectively, as each share of Class A and Class B participates equally in earnings. Shares of Class B are convertible at any time into shares of Class A on a one-for-one basis at the option of the stockholder.</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Weighted average stock options to purchase approximately 17,000 shares of Class A Common Stock were outstanding during fiscal 2022 and 2021 but not included in computing diluted income per share because their effects were anti-dilutive. No stock options were excluded during fiscal 2020. Additionally, approximately 1,000 performance awards during fiscal 2022 and fiscal 2021 were outstanding but not included in computing dilutive income per share because the performance criteria of these stock options were not met at the respective fiscal year ends. No performance awards or performance-based stock options were excluded during fiscal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Accumulated Other Comprehensive Loss</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Accumulated other comprehensive loss represents amounts of unrecognized actuarial gains or losses related to the Company sponsored defined benefit pension plan and post-retirement medical plan, net of tax effect, and cumulative currency translation adjustments. Changes in accumulated other comprehensive loss represent actuarial losses or gains, net of tax effect, recognized as components of net periodic benefit costs and currency translation adjustments due to tax rate changes in the period. The following table details the changes in accumulated other comprehensive loss for 2022, 2021, and 2020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9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9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7"/>
        </w:trPr>
        <w:tc>
          <w:tcPr>
            <w:tcW w:w="9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28, 2019</w:t>
            </w: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0"/>
        </w:trPr>
        <w:tc>
          <w:tcPr>
            <w:tcW w:w="92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Deferred pension and other post-retirement benefit costs,</w:t>
            </w:r>
          </w:p>
        </w:tc>
        <w:tc>
          <w:tcPr>
            <w:tcW w:w="280" w:type="dxa"/>
            <w:vAlign w:val="bottom"/>
          </w:tcPr>
          <w:p>
            <w:pPr>
              <w:spacing w:after="0"/>
              <w:rPr>
                <w:sz w:val="10"/>
                <w:szCs w:val="10"/>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9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 benefit of $502</w:t>
            </w:r>
          </w:p>
        </w:tc>
        <w:tc>
          <w:tcPr>
            <w:tcW w:w="2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Deferred benefit costs, net of taxes of $35</w:t>
            </w:r>
          </w:p>
        </w:tc>
        <w:tc>
          <w:tcPr>
            <w:tcW w:w="28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75"/>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26, 2020</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56"/>
        </w:trPr>
        <w:tc>
          <w:tcPr>
            <w:tcW w:w="92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Amortization of Deferred benefit costs, net of taxes of $20</w:t>
            </w:r>
          </w:p>
        </w:tc>
        <w:tc>
          <w:tcPr>
            <w:tcW w:w="280" w:type="dxa"/>
            <w:vAlign w:val="bottom"/>
          </w:tcPr>
          <w:p>
            <w:pPr>
              <w:spacing w:after="0"/>
              <w:rPr>
                <w:sz w:val="13"/>
                <w:szCs w:val="13"/>
                <w:color w:val="auto"/>
              </w:rPr>
            </w:pPr>
          </w:p>
        </w:tc>
        <w:tc>
          <w:tcPr>
            <w:tcW w:w="16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8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20"/>
        </w:trPr>
        <w:tc>
          <w:tcPr>
            <w:tcW w:w="9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25, 2021</w:t>
            </w:r>
          </w:p>
        </w:tc>
        <w:tc>
          <w:tcPr>
            <w:tcW w:w="2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(194 )</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Amortization of Deferred benefit costs, net of taxes of $95</w:t>
            </w:r>
          </w:p>
        </w:tc>
        <w:tc>
          <w:tcPr>
            <w:tcW w:w="28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28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0" w:type="dxa"/>
            <w:vAlign w:val="bottom"/>
          </w:tcPr>
          <w:p>
            <w:pPr>
              <w:spacing w:after="0"/>
              <w:rPr>
                <w:sz w:val="1"/>
                <w:szCs w:val="1"/>
                <w:color w:val="auto"/>
              </w:rPr>
            </w:pPr>
          </w:p>
        </w:tc>
      </w:tr>
      <w:tr>
        <w:trPr>
          <w:trHeight w:val="20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2311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46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T. Valuation and Qualifying Accounts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maintains reserves against accounts receivable for doubtful accounts and inventory for obsolete and slow-moving inventory. The Company also maintains reserves against accounts receivable for distributor promotional allowances. In addition, the Company maintains a reserve for estimated returns of stale beer, which is included in accrued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2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3"/>
                <w:szCs w:val="13"/>
                <w:color w:val="auto"/>
              </w:rPr>
            </w:pPr>
          </w:p>
        </w:tc>
        <w:tc>
          <w:tcPr>
            <w:tcW w:w="13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8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Allowance for Doubtful Accounts</w:t>
            </w:r>
          </w:p>
        </w:tc>
        <w:tc>
          <w:tcPr>
            <w:tcW w:w="12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(In</w:t>
            </w:r>
          </w:p>
        </w:tc>
        <w:tc>
          <w:tcPr>
            <w:tcW w:w="1800" w:type="dxa"/>
            <w:vAlign w:val="bottom"/>
            <w:gridSpan w:val="3"/>
          </w:tcPr>
          <w:p>
            <w:pPr>
              <w:jc w:val="right"/>
              <w:ind w:right="1208"/>
              <w:spacing w:after="0"/>
              <w:rPr>
                <w:sz w:val="20"/>
                <w:szCs w:val="20"/>
                <w:color w:val="auto"/>
              </w:rPr>
            </w:pPr>
            <w:r>
              <w:rPr>
                <w:rFonts w:ascii="Times New Roman" w:cs="Times New Roman" w:eastAsia="Times New Roman" w:hAnsi="Times New Roman"/>
                <w:sz w:val="14"/>
                <w:szCs w:val="14"/>
                <w:color w:val="auto"/>
                <w:w w:val="82"/>
              </w:rPr>
              <w:t>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shd w:val="clear" w:color="auto" w:fill="CFF0FC"/>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46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(261 )</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460" w:type="dxa"/>
            <w:vAlign w:val="bottom"/>
            <w:gridSpan w:val="2"/>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(364 )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280" w:type="dxa"/>
            <w:vAlign w:val="bottom"/>
            <w:shd w:val="clear" w:color="auto" w:fill="CFF0FC"/>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6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3"/>
                <w:szCs w:val="13"/>
                <w:color w:val="auto"/>
              </w:rPr>
            </w:pPr>
          </w:p>
        </w:tc>
        <w:tc>
          <w:tcPr>
            <w:tcW w:w="13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Discount Accrual</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(Recovery) *</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left="828"/>
              <w:spacing w:after="0"/>
              <w:rPr>
                <w:sz w:val="20"/>
                <w:szCs w:val="20"/>
                <w:color w:val="auto"/>
              </w:rPr>
            </w:pPr>
            <w:r>
              <w:rPr>
                <w:rFonts w:ascii="Times New Roman" w:cs="Times New Roman" w:eastAsia="Times New Roman" w:hAnsi="Times New Roman"/>
                <w:sz w:val="14"/>
                <w:szCs w:val="14"/>
                <w:color w:val="auto"/>
                <w:w w:val="97"/>
              </w:rPr>
              <w:t>(In</w:t>
            </w: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11,221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center"/>
              <w:ind w:left="848"/>
              <w:spacing w:after="0"/>
              <w:rPr>
                <w:sz w:val="20"/>
                <w:szCs w:val="20"/>
                <w:color w:val="auto"/>
              </w:rPr>
            </w:pPr>
            <w:r>
              <w:rPr>
                <w:rFonts w:ascii="Times New Roman" w:cs="Times New Roman" w:eastAsia="Times New Roman" w:hAnsi="Times New Roman"/>
                <w:sz w:val="14"/>
                <w:szCs w:val="14"/>
                <w:color w:val="auto"/>
                <w:w w:val="98"/>
              </w:rPr>
              <w:t>54,825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(57,867 )</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center"/>
              <w:ind w:left="848"/>
              <w:spacing w:after="0"/>
              <w:rPr>
                <w:sz w:val="20"/>
                <w:szCs w:val="20"/>
                <w:color w:val="auto"/>
              </w:rPr>
            </w:pPr>
            <w:r>
              <w:rPr>
                <w:rFonts w:ascii="Times New Roman" w:cs="Times New Roman" w:eastAsia="Times New Roman" w:hAnsi="Times New Roman"/>
                <w:sz w:val="14"/>
                <w:szCs w:val="14"/>
                <w:color w:val="auto"/>
                <w:w w:val="98"/>
              </w:rPr>
              <w:t>72,680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(70,816 )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6,272</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center"/>
              <w:ind w:left="848"/>
              <w:spacing w:after="0"/>
              <w:rPr>
                <w:sz w:val="20"/>
                <w:szCs w:val="20"/>
                <w:color w:val="auto"/>
              </w:rPr>
            </w:pPr>
            <w:r>
              <w:rPr>
                <w:rFonts w:ascii="Times New Roman" w:cs="Times New Roman" w:eastAsia="Times New Roman" w:hAnsi="Times New Roman"/>
                <w:sz w:val="14"/>
                <w:szCs w:val="14"/>
                <w:color w:val="auto"/>
                <w:w w:val="98"/>
              </w:rPr>
              <w:t>59,279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(56,194 )</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3"/>
                <w:szCs w:val="13"/>
                <w:color w:val="auto"/>
              </w:rPr>
            </w:pPr>
          </w:p>
        </w:tc>
        <w:tc>
          <w:tcPr>
            <w:tcW w:w="13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Inventory Obsolescence Reserve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left="828"/>
              <w:spacing w:after="0"/>
              <w:rPr>
                <w:sz w:val="20"/>
                <w:szCs w:val="20"/>
                <w:color w:val="auto"/>
              </w:rPr>
            </w:pPr>
            <w:r>
              <w:rPr>
                <w:rFonts w:ascii="Times New Roman" w:cs="Times New Roman" w:eastAsia="Times New Roman" w:hAnsi="Times New Roman"/>
                <w:sz w:val="14"/>
                <w:szCs w:val="14"/>
                <w:color w:val="auto"/>
                <w:w w:val="97"/>
              </w:rPr>
              <w:t>(In</w:t>
            </w: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43,055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center"/>
              <w:ind w:left="848"/>
              <w:spacing w:after="0"/>
              <w:rPr>
                <w:sz w:val="20"/>
                <w:szCs w:val="20"/>
                <w:color w:val="auto"/>
              </w:rPr>
            </w:pPr>
            <w:r>
              <w:rPr>
                <w:rFonts w:ascii="Times New Roman" w:cs="Times New Roman" w:eastAsia="Times New Roman" w:hAnsi="Times New Roman"/>
                <w:sz w:val="14"/>
                <w:szCs w:val="14"/>
                <w:color w:val="auto"/>
                <w:w w:val="98"/>
              </w:rPr>
              <w:t>35,867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(56,946 )</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center"/>
              <w:ind w:left="848"/>
              <w:spacing w:after="0"/>
              <w:rPr>
                <w:sz w:val="20"/>
                <w:szCs w:val="20"/>
                <w:color w:val="auto"/>
              </w:rPr>
            </w:pPr>
            <w:r>
              <w:rPr>
                <w:rFonts w:ascii="Times New Roman" w:cs="Times New Roman" w:eastAsia="Times New Roman" w:hAnsi="Times New Roman"/>
                <w:sz w:val="14"/>
                <w:szCs w:val="14"/>
                <w:color w:val="auto"/>
                <w:w w:val="98"/>
              </w:rPr>
              <w:t>62,616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(25,892 )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center"/>
              <w:ind w:left="848"/>
              <w:spacing w:after="0"/>
              <w:rPr>
                <w:sz w:val="20"/>
                <w:szCs w:val="20"/>
                <w:color w:val="auto"/>
              </w:rPr>
            </w:pPr>
            <w:r>
              <w:rPr>
                <w:rFonts w:ascii="Times New Roman" w:cs="Times New Roman" w:eastAsia="Times New Roman" w:hAnsi="Times New Roman"/>
                <w:sz w:val="14"/>
                <w:szCs w:val="14"/>
                <w:color w:val="auto"/>
                <w:w w:val="98"/>
              </w:rPr>
              <w:t>11,248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(11,292 )</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Net Provision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20" w:type="dxa"/>
            <w:vAlign w:val="bottom"/>
          </w:tcPr>
          <w:p>
            <w:pPr>
              <w:spacing w:after="0"/>
              <w:rPr>
                <w:sz w:val="13"/>
                <w:szCs w:val="13"/>
                <w:color w:val="auto"/>
              </w:rPr>
            </w:pPr>
          </w:p>
        </w:tc>
        <w:tc>
          <w:tcPr>
            <w:tcW w:w="13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Charged Against</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Stale Beer Reserve</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(In</w:t>
            </w: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19,589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(20,054 )</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(6,584 )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(7,147 )</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Licensing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Beam Suntory Licensing Agreement</w:t>
      </w:r>
    </w:p>
    <w:p>
      <w:pPr>
        <w:spacing w:after="0" w:line="2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July 14, 2021, the Company signed two collaboration agreements with Jim Beam Brands Co. (“Jim Beam”) to develop, market and sell alcohol beverages. These agreements are perpetual, with regular assessments of the partnership performance every 5 years, beginning in Year 5, giving rise to the option to continue agreement terms or terminate the partnership. Under the first of these agreements, the Company is responsible for developing and bringing to market through its distribution network one or more flavored malt beverage products under brand name(s) from the Jim Beam portfolio, beginning with the Sauza brand. Under the second agreement, Jim Beam is responsible for developing and bringing to market through its distribution network one or more full bottled distilled spirits products under brand(s) from the Company’s portfolio, beginning with the Truly brand.</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parties began shipping beverages to customers under these agreements during the first quarter of 2022. Under the first agreement, the Company is required to make payments to Jim Beam for their share of the brand contribution of the flavored malt beverages sold by the Company. The brand contribution amounts due to Beam are recorded as a component of costs of goods sold. Under the second agreement, Jim Beam is required to make payments to the Company for the Company’s share of the brand contribution of the full-strength bottled distilled spirits sold by Jim Beam. The Company and Jim Beam also reimburse each other for certain marketing costs as they are incurred. These marketing costs are recorded in advertising, promotional and selling expenses. The Company’s sales of Jim Beam branded flavored malt beverages to third parties and the brand contribution payments received or owed the Company by Jim Beam for the use of the Company’s brand names are recorded within net revenue. Total net revenue recognized under these agreements amounted to less than 1% of the Company's total net revenues during the year ended December 31,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Pepsi Licensing Agreement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9, 2021, the Company signed a series of agreements with PepsiCo, Inc. (“Pepsi”) to develop, market and sell alcohol beverages. The term of this agreement is perpetual, with provisions to terminate within the initial 2 years for a limited number of reasons. Under this agreement the Company is responsible for developing, manufacturing, and marketing a flavored malt beverage product under Pepsi’s MTN DEW® brand. As part of the agreements, Pepsi provides certain proprietary ingredients and also licenses the Company the use of its MTN DEW® and Hard MTN DEW® trademarks in connection with manufacturing, promoting, marketing, and distributing the developed product through the Pepsi distribution network. The Company retains the right to distribute the developed product through its own distribution network for customers in the on-premise channel.</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began shipping flavored malt beverages to Pepsi during the first quarter of 2022. Pursuant to the terms of the agreements, the Company makes payments to Pepsi for proprietary ingredients, freight costs to ship the product to Pepsi, and certain marketing services. The cost of the proprietary ingredients above fair market value are recorded within net revenue at the time revenue is recognized for the flavored malt beverages sold to Pepsi and were $2.5 million during 2022. Freight costs and marketing costs are recorded in advertising, promotional and selling expenses. The excess cost over fair market value of proprietary ingredients on hand at the end of the period are classified within prepaid expenses and other current assets as of December 31, 2022. The excess over fair market value for inventory on hand was $0.4 million as of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Related Party Transactions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entered into a lease with the Dogfish Head founders and other owners of buildings used in certain of the Company’s restaurant operations. The lease is for ten years with renewal options. The total payments due under the initial ten year term is $3.6 million. Total related party expense recognized was approximately $366,000, $348,000 and $348,000 for fiscal 2022, 2021, and 2020, respectively. Other related party expenses and transactions totaled less than $0.1 million for fiscal 2022, 2021, and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 Subsequent Events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occurring after the balance sheet date, December 31, 2022, through the issuance of these financial statements and concluded that there were no events of which management was aware that occurred that would require any adjustment to or disclosure in the accompanying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the Chief Financial Officer, carried out an evaluation of the effectiveness of the Company’s disclosure controls and procedures (as such term is defined in Rules 13a-15(e) and 15d-15(e) under the Securities Exchange Act of 1934, as amended) as of the end of the period covered by this report. Based on this evaluation, the Company’s Chief Executive Officer and Chief Financial Officer concluded that the Company’s disclosure controls and procedures were effective in alerting them in a timely manner to material information required to be disclosed in the Company’s reports filed with or submitted to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such term is defined in Exchange Act Rules 13a-15(f). The Company’s internal control system was designed to provide reasonable assurance to the Company’s management and Board of Directors regarding the preparation and fair presentation of published financial statements.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assessed the effectiveness of the Company’s internal control over financial reporting as of December 31, 2022. In making this assessment, the Company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Control—Integrated Framework (2013 framework)</w:t>
      </w:r>
      <w:r>
        <w:rPr>
          <w:rFonts w:ascii="Times New Roman" w:cs="Times New Roman" w:eastAsia="Times New Roman" w:hAnsi="Times New Roman"/>
          <w:sz w:val="18"/>
          <w:szCs w:val="18"/>
          <w:color w:val="auto"/>
        </w:rPr>
        <w:t>. Based on its assessment, the Company believes that, as of December 31, 2022, the Company’s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is effective based on those criteria.</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Deloitte &amp; Touche LLP, an independent registered public accounting firm, as stated in their report.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changes in the Company’s internal control over financial reporting occurred during the quarter ended December 31, 2022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The Boston Beer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Boston Beer Company,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22, 2023, expressed an unqualified opinion on those financial statements.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 xml:space="preserve">In December 2002, the Board of Directors of the Company adopted a (i) Code of Business Conduct and Ethics that applies to its Chief Executive Officer and its Chief Financial Officer, and (ii) Corporate Governance Guidelines. The Code of Business Conduct and Ethics was amended effective August 1, 2007 to provide for a third-party whistleblower hotline. These, as well as the charters of each of the Board Committees, are posted on the Company’s investor relations website, </w:t>
      </w:r>
      <w:r>
        <w:rPr>
          <w:rFonts w:ascii="Times New Roman" w:cs="Times New Roman" w:eastAsia="Times New Roman" w:hAnsi="Times New Roman"/>
          <w:sz w:val="18"/>
          <w:szCs w:val="18"/>
          <w:i w:val="1"/>
          <w:iCs w:val="1"/>
          <w:color w:val="auto"/>
        </w:rPr>
        <w:t>www.bostonbeer.com</w:t>
      </w:r>
      <w:r>
        <w:rPr>
          <w:rFonts w:ascii="Times New Roman" w:cs="Times New Roman" w:eastAsia="Times New Roman" w:hAnsi="Times New Roman"/>
          <w:sz w:val="18"/>
          <w:szCs w:val="18"/>
          <w:color w:val="auto"/>
        </w:rPr>
        <w:t>, and are available in print to any shareholder who requests them. Such requests should be directed to the Investor Relations Department, The Boston Beer Company, Inc., One Design Center Place, Suite 850, Boston, MA 02210. The Company intends to disclose any amendment to, or waiver from, a provision of its code of ethics that applies to the Company’s Chief Executive Officer or Chief Financial Officer and that relates to any element of the Code of Ethics definition enumerated in Item 406 of Regulation S-K by posting such information on the Company’s website.</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is hereby incorporated by reference from the registrant’s definitive Proxy Statement for the 2023 Annual Meeting to be held on May 17,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hereby incorporated by reference from the registrant’s definitive Proxy Statement for the 2023 Annual Meeting to be held on May 17,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Ownership</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with respect to security ownership of certain beneficial owners and management is hereby incorporated by reference from the registrant’s definitive Proxy Statement for the 2023 Annual Meeting to be held on May 17,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3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1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204,245</w:t>
            </w:r>
          </w:p>
        </w:tc>
        <w:tc>
          <w:tcPr>
            <w:tcW w:w="4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334.26</w:t>
            </w:r>
          </w:p>
        </w:tc>
        <w:tc>
          <w:tcPr>
            <w:tcW w:w="1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1,023,907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Security Holders</w:t>
            </w:r>
          </w:p>
        </w:tc>
        <w:tc>
          <w:tcPr>
            <w:tcW w:w="1880" w:type="dxa"/>
            <w:vAlign w:val="bottom"/>
            <w:gridSpan w:val="2"/>
            <w:vMerge w:val="continue"/>
            <w:shd w:val="clear" w:color="auto" w:fill="CFF0FC"/>
          </w:tcPr>
          <w:p>
            <w:pPr>
              <w:spacing w:after="0"/>
              <w:rPr>
                <w:sz w:val="16"/>
                <w:szCs w:val="16"/>
                <w:color w:val="auto"/>
              </w:rPr>
            </w:pPr>
          </w:p>
        </w:tc>
        <w:tc>
          <w:tcPr>
            <w:tcW w:w="460" w:type="dxa"/>
            <w:vAlign w:val="bottom"/>
            <w:gridSpan w:val="2"/>
            <w:vMerge w:val="continue"/>
            <w:shd w:val="clear" w:color="auto" w:fill="CFF0FC"/>
          </w:tcPr>
          <w:p>
            <w:pPr>
              <w:spacing w:after="0"/>
              <w:rPr>
                <w:sz w:val="16"/>
                <w:szCs w:val="16"/>
                <w:color w:val="auto"/>
              </w:rPr>
            </w:pPr>
          </w:p>
        </w:tc>
        <w:tc>
          <w:tcPr>
            <w:tcW w:w="1500" w:type="dxa"/>
            <w:vAlign w:val="bottom"/>
            <w:vMerge w:val="continue"/>
            <w:shd w:val="clear" w:color="auto" w:fill="CFF0FC"/>
          </w:tcPr>
          <w:p>
            <w:pPr>
              <w:spacing w:after="0"/>
              <w:rPr>
                <w:sz w:val="16"/>
                <w:szCs w:val="16"/>
                <w:color w:val="auto"/>
              </w:rPr>
            </w:pPr>
          </w:p>
        </w:tc>
        <w:tc>
          <w:tcPr>
            <w:tcW w:w="19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3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120" w:type="dxa"/>
            <w:vAlign w:val="bottom"/>
          </w:tcPr>
          <w:p>
            <w:pPr>
              <w:spacing w:after="0"/>
              <w:rPr>
                <w:sz w:val="12"/>
                <w:szCs w:val="12"/>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Security Holders</w:t>
            </w:r>
          </w:p>
        </w:tc>
        <w:tc>
          <w:tcPr>
            <w:tcW w:w="12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1880" w:type="dxa"/>
            <w:vAlign w:val="bottom"/>
            <w:gridSpan w:val="2"/>
          </w:tcPr>
          <w:p>
            <w:pPr>
              <w:spacing w:after="0"/>
              <w:rPr>
                <w:sz w:val="14"/>
                <w:szCs w:val="14"/>
                <w:color w:val="auto"/>
              </w:rPr>
            </w:pPr>
          </w:p>
        </w:tc>
        <w:tc>
          <w:tcPr>
            <w:tcW w:w="460" w:type="dxa"/>
            <w:vAlign w:val="bottom"/>
            <w:gridSpan w:val="2"/>
          </w:tcPr>
          <w:p>
            <w:pPr>
              <w:spacing w:after="0"/>
              <w:rPr>
                <w:sz w:val="14"/>
                <w:szCs w:val="14"/>
                <w:color w:val="auto"/>
              </w:rPr>
            </w:pPr>
          </w:p>
        </w:tc>
        <w:tc>
          <w:tcPr>
            <w:tcW w:w="1500" w:type="dxa"/>
            <w:vAlign w:val="bottom"/>
          </w:tcPr>
          <w:p>
            <w:pPr>
              <w:spacing w:after="0"/>
              <w:rPr>
                <w:sz w:val="14"/>
                <w:szCs w:val="14"/>
                <w:color w:val="auto"/>
              </w:rPr>
            </w:pPr>
          </w:p>
        </w:tc>
        <w:tc>
          <w:tcPr>
            <w:tcW w:w="19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204,245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334.26</w:t>
            </w:r>
          </w:p>
        </w:tc>
        <w:tc>
          <w:tcPr>
            <w:tcW w:w="2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1,023,907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hereby incorporated by reference from the registrant’s definitive Proxy Statement for the 2023 Annual Meeting to be held on May 17,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hereby incorporated by reference from the registrant’s definitive Proxy Statement for the 2023 Annual Meeting to be held on May 17,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are filed as a part of this report:</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3"/>
        </w:trPr>
        <w:tc>
          <w:tcPr>
            <w:tcW w:w="1040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7"/>
        </w:trPr>
        <w:tc>
          <w:tcPr>
            <w:tcW w:w="42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14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994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December 31, 2022 and December 25, 2021</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EE"/>
            </w:tcBorders>
            <w:gridSpan w:val="2"/>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2022, December 25, 2021, and December 26,</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0000FF"/>
                <w:w w:val="94"/>
              </w:rPr>
              <w:t>2020</w:t>
            </w:r>
          </w:p>
        </w:tc>
        <w:tc>
          <w:tcPr>
            <w:tcW w:w="3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December 25, 2021, and December 26,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2"/>
            <w:shd w:val="clear" w:color="auto" w:fill="0000FF"/>
          </w:tcPr>
          <w:p>
            <w:pPr>
              <w:spacing w:after="0" w:line="20" w:lineRule="exact"/>
              <w:rPr>
                <w:sz w:val="1"/>
                <w:szCs w:val="1"/>
                <w:color w:val="auto"/>
              </w:rPr>
            </w:pPr>
          </w:p>
        </w:tc>
        <w:tc>
          <w:tcPr>
            <w:tcW w:w="56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December 25, 2021, and December 26,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FF"/>
            </w:tcBorders>
            <w:gridSpan w:val="2"/>
            <w:shd w:val="clear" w:color="auto" w:fill="0000FF"/>
          </w:tcPr>
          <w:p>
            <w:pPr>
              <w:spacing w:after="0" w:line="20" w:lineRule="exact"/>
              <w:rPr>
                <w:sz w:val="1"/>
                <w:szCs w:val="1"/>
                <w:color w:val="auto"/>
              </w:rPr>
            </w:pPr>
          </w:p>
        </w:tc>
        <w:tc>
          <w:tcPr>
            <w:tcW w:w="564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0" w:type="dxa"/>
            <w:vAlign w:val="bottom"/>
          </w:tcPr>
          <w:p>
            <w:pPr>
              <w:spacing w:after="0"/>
              <w:rPr>
                <w:sz w:val="20"/>
                <w:szCs w:val="20"/>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 of the Securities and Exchange Commission have been omitted because they are inapplicable or the required information is shown in the consolidated financial statements, or notes thereto, included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Form 10-K: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20" w:type="dxa"/>
            <w:vAlign w:val="bottom"/>
          </w:tcPr>
          <w:p>
            <w:pPr>
              <w:spacing w:after="0"/>
              <w:rPr>
                <w:sz w:val="21"/>
                <w:szCs w:val="21"/>
                <w:color w:val="auto"/>
              </w:rPr>
            </w:pPr>
          </w:p>
        </w:tc>
        <w:tc>
          <w:tcPr>
            <w:tcW w:w="7640" w:type="dxa"/>
            <w:vAlign w:val="bottom"/>
            <w:gridSpan w:val="9"/>
          </w:tcPr>
          <w:p>
            <w:pPr>
              <w:ind w:left="25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51"/>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2.1</w:t>
            </w:r>
          </w:p>
        </w:tc>
        <w:tc>
          <w:tcPr>
            <w:tcW w:w="9960" w:type="dxa"/>
            <w:vAlign w:val="bottom"/>
            <w:gridSpan w:val="10"/>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Agreement and Plan of Merger, dated May 8, 2019, with Dogfish Head Holding Company, Canoe Acquisition Corp., and solely with</w:t>
              </w:r>
            </w:hyperlink>
          </w:p>
        </w:tc>
      </w:tr>
      <w:tr>
        <w:trPr>
          <w:trHeight w:val="20"/>
        </w:trPr>
        <w:tc>
          <w:tcPr>
            <w:tcW w:w="128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respect to the indemnification obligations set forth in the Merger Agreement, Samuel A. Calagione III and Mariah D. Calagione</w:t>
              </w:r>
            </w:hyperlink>
          </w:p>
        </w:tc>
      </w:tr>
      <w:tr>
        <w:trPr>
          <w:trHeight w:val="20"/>
        </w:trPr>
        <w:tc>
          <w:tcPr>
            <w:tcW w:w="128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(incorporated by reference to Exhibit 2.1 to the Company’s Form 8-K filed on May 9, 2019).</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w:t>
            </w:r>
          </w:p>
        </w:tc>
        <w:tc>
          <w:tcPr>
            <w:tcW w:w="9960" w:type="dxa"/>
            <w:vAlign w:val="bottom"/>
            <w:gridSpan w:val="10"/>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Membership Unit Purchase Agreement, dated May 8, 2019, by and among The Boston Beer Company, Inc., Dogfish East of the</w:t>
              </w:r>
            </w:hyperlink>
          </w:p>
        </w:tc>
      </w:tr>
      <w:tr>
        <w:trPr>
          <w:trHeight w:val="20"/>
        </w:trPr>
        <w:tc>
          <w:tcPr>
            <w:tcW w:w="128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Mississippi LP, and solely with respect to indemnification obligations set forth therein, Samuel A. Calagione III and Mariah D. Calagione</w:t>
              </w:r>
            </w:hyperlink>
          </w:p>
        </w:tc>
      </w:tr>
      <w:tr>
        <w:trPr>
          <w:trHeight w:val="20"/>
        </w:trPr>
        <w:tc>
          <w:tcPr>
            <w:tcW w:w="128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(incorporated by reference to Exhibit 2.2 to the Company’s Form 8-K filed on May 9, 2019).</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2.3</w:t>
            </w:r>
          </w:p>
        </w:tc>
        <w:tc>
          <w:tcPr>
            <w:tcW w:w="9960" w:type="dxa"/>
            <w:vAlign w:val="bottom"/>
            <w:gridSpan w:val="10"/>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Membership Unit Purchase Agreement, dated as of May 8, 2019, by and among The Boston Beer Company, Inc. and DFH Investors LLC</w:t>
              </w:r>
            </w:hyperlink>
          </w:p>
        </w:tc>
      </w:tr>
      <w:tr>
        <w:trPr>
          <w:trHeight w:val="20"/>
        </w:trPr>
        <w:tc>
          <w:tcPr>
            <w:tcW w:w="128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(incorporated by reference to Exhibit 2.3 to the Company’s Form 8-K filed on May 9, 2019).</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92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w:t>
            </w:r>
          </w:p>
        </w:tc>
        <w:tc>
          <w:tcPr>
            <w:tcW w:w="9960" w:type="dxa"/>
            <w:vAlign w:val="bottom"/>
            <w:gridSpan w:val="10"/>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Amended and Restated By-Laws of the Company, dated June 2, 1998 (incorporated by reference to Exhibit 3.5 to the Company’s Form</w:t>
              </w:r>
            </w:hyperlink>
          </w:p>
        </w:tc>
      </w:tr>
      <w:tr>
        <w:trPr>
          <w:trHeight w:val="20"/>
        </w:trPr>
        <w:tc>
          <w:tcPr>
            <w:tcW w:w="128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10-Q filed on August 10, 1998).</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w:t>
            </w:r>
          </w:p>
        </w:tc>
        <w:tc>
          <w:tcPr>
            <w:tcW w:w="9960" w:type="dxa"/>
            <w:vAlign w:val="bottom"/>
            <w:gridSpan w:val="10"/>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Restated Articles of Organization of the Company, dated November 17, 1995, as amended August 4, 1998 (incorporated by reference to</w:t>
              </w:r>
            </w:hyperlink>
          </w:p>
        </w:tc>
      </w:tr>
      <w:tr>
        <w:trPr>
          <w:trHeight w:val="20"/>
        </w:trPr>
        <w:tc>
          <w:tcPr>
            <w:tcW w:w="1280" w:type="dxa"/>
            <w:vAlign w:val="bottom"/>
          </w:tcPr>
          <w:p>
            <w:pPr>
              <w:spacing w:after="0" w:line="20" w:lineRule="exact"/>
              <w:rPr>
                <w:sz w:val="1"/>
                <w:szCs w:val="1"/>
                <w:color w:val="auto"/>
              </w:rPr>
            </w:pPr>
          </w:p>
        </w:tc>
        <w:tc>
          <w:tcPr>
            <w:tcW w:w="49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Exhibit 3.6 to the Company’s Form 10-Q filed on August 10, 1998).</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394"/>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4.1</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 of Class A Common Stock Certificate (incorporated by reference to Exhibit 4.1 to the Company’s Registration Statement No. 33-</w:t>
            </w:r>
          </w:p>
        </w:tc>
      </w:tr>
      <w:tr>
        <w:trPr>
          <w:trHeight w:val="234"/>
        </w:trPr>
        <w:tc>
          <w:tcPr>
            <w:tcW w:w="1280" w:type="dxa"/>
            <w:vAlign w:val="bottom"/>
          </w:tcPr>
          <w:p>
            <w:pPr>
              <w:spacing w:after="0"/>
              <w:rPr>
                <w:sz w:val="20"/>
                <w:szCs w:val="20"/>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96164). (P)</w:t>
            </w:r>
          </w:p>
        </w:tc>
      </w:tr>
      <w:tr>
        <w:trPr>
          <w:trHeight w:val="351"/>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4.2</w:t>
            </w:r>
          </w:p>
        </w:tc>
        <w:tc>
          <w:tcPr>
            <w:tcW w:w="9960" w:type="dxa"/>
            <w:vAlign w:val="bottom"/>
            <w:gridSpan w:val="10"/>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Description of the Registrant’s Securities Registered Pursuant to Section 12 of the Securities Exchange Act of 1934 (incorporated by</w:t>
              </w:r>
            </w:hyperlink>
          </w:p>
        </w:tc>
      </w:tr>
      <w:tr>
        <w:trPr>
          <w:trHeight w:val="20"/>
        </w:trPr>
        <w:tc>
          <w:tcPr>
            <w:tcW w:w="1280" w:type="dxa"/>
            <w:vAlign w:val="bottom"/>
          </w:tcPr>
          <w:p>
            <w:pPr>
              <w:spacing w:after="0" w:line="20" w:lineRule="exact"/>
              <w:rPr>
                <w:sz w:val="1"/>
                <w:szCs w:val="1"/>
                <w:color w:val="auto"/>
              </w:rPr>
            </w:pPr>
          </w:p>
        </w:tc>
        <w:tc>
          <w:tcPr>
            <w:tcW w:w="5900" w:type="dxa"/>
            <w:vAlign w:val="bottom"/>
            <w:tcBorders>
              <w:right w:val="single" w:sz="8" w:color="0000FF"/>
            </w:tcBorders>
            <w:gridSpan w:val="3"/>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0"/>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reference to Exhibit 4.1 to the Company’s Form 10-K filed on February 19, 2020)</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900" w:type="dxa"/>
            <w:vAlign w:val="bottom"/>
            <w:tcBorders>
              <w:right w:val="single" w:sz="8" w:color="0000EE"/>
            </w:tcBorders>
            <w:gridSpan w:val="3"/>
            <w:shd w:val="clear" w:color="auto" w:fill="0000FF"/>
          </w:tcPr>
          <w:p>
            <w:pPr>
              <w:spacing w:after="0" w:line="20" w:lineRule="exact"/>
              <w:rPr>
                <w:sz w:val="1"/>
                <w:szCs w:val="1"/>
                <w:color w:val="auto"/>
              </w:rPr>
            </w:pPr>
          </w:p>
        </w:tc>
        <w:tc>
          <w:tcPr>
            <w:tcW w:w="4060" w:type="dxa"/>
            <w:vAlign w:val="bottom"/>
            <w:gridSpan w:val="7"/>
          </w:tcPr>
          <w:p>
            <w:pPr>
              <w:spacing w:after="0" w:line="20" w:lineRule="exact"/>
              <w:rPr>
                <w:sz w:val="1"/>
                <w:szCs w:val="1"/>
                <w:color w:val="auto"/>
              </w:rPr>
            </w:pPr>
          </w:p>
        </w:tc>
      </w:tr>
      <w:tr>
        <w:trPr>
          <w:trHeight w:val="394"/>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Stockholder Rights Agreement, dated as of December 1995, among The Boston Beer Company, Inc. and the initial Stockholders</w:t>
            </w:r>
          </w:p>
        </w:tc>
      </w:tr>
      <w:tr>
        <w:trPr>
          <w:trHeight w:val="234"/>
        </w:trPr>
        <w:tc>
          <w:tcPr>
            <w:tcW w:w="1280" w:type="dxa"/>
            <w:vAlign w:val="bottom"/>
          </w:tcPr>
          <w:p>
            <w:pPr>
              <w:spacing w:after="0"/>
              <w:rPr>
                <w:sz w:val="20"/>
                <w:szCs w:val="20"/>
                <w:color w:val="auto"/>
              </w:rPr>
            </w:pPr>
          </w:p>
        </w:tc>
        <w:tc>
          <w:tcPr>
            <w:tcW w:w="9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(incorporated by reference to the Company’s Form 10-K, filed on April 1, 1996). (P)</w:t>
            </w:r>
          </w:p>
        </w:tc>
      </w:tr>
      <w:tr>
        <w:trPr>
          <w:trHeight w:val="594"/>
        </w:trPr>
        <w:tc>
          <w:tcPr>
            <w:tcW w:w="1280" w:type="dxa"/>
            <w:vAlign w:val="bottom"/>
          </w:tcPr>
          <w:p>
            <w:pPr>
              <w:spacing w:after="0"/>
              <w:rPr>
                <w:sz w:val="24"/>
                <w:szCs w:val="24"/>
                <w:color w:val="auto"/>
              </w:rPr>
            </w:pPr>
          </w:p>
        </w:tc>
        <w:tc>
          <w:tcPr>
            <w:tcW w:w="49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75</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+10.2</w:t>
            </w:r>
          </w:p>
        </w:tc>
        <w:tc>
          <w:tcPr>
            <w:tcW w:w="9960" w:type="dxa"/>
            <w:vAlign w:val="bottom"/>
            <w:gridSpan w:val="31"/>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Production Agreement between Samuel Adams Brewery Company, Ltd. and Brown-Forman Distillery Company, a division of Brown-</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Forman Corporation, effective as of April 11, 2005 (incorporated by reference to the Company’s 10-Q filed on May 5, 2005).</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+10.3</w:t>
            </w:r>
          </w:p>
        </w:tc>
        <w:tc>
          <w:tcPr>
            <w:tcW w:w="9960" w:type="dxa"/>
            <w:vAlign w:val="bottom"/>
            <w:gridSpan w:val="31"/>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Brewing Services Agreement between CBC Latrobe Acquisition, LLC and Boston Beer Corporation dated March 28, 2007 (incorporated</w:t>
              </w:r>
            </w:hyperlink>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by reference to the Company’s Quarterly Report on Form 10-Q filed on May 10, 2007).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Office Lease Agreement between Boston Design Center LLC and Boston Beer Corporation dated March 24, 2006 (“Office Lease</w:t>
            </w:r>
          </w:p>
        </w:tc>
      </w:tr>
      <w:tr>
        <w:trPr>
          <w:trHeight w:val="216"/>
        </w:trPr>
        <w:tc>
          <w:tcPr>
            <w:tcW w:w="1280" w:type="dxa"/>
            <w:vAlign w:val="bottom"/>
          </w:tcPr>
          <w:p>
            <w:pPr>
              <w:spacing w:after="0"/>
              <w:rPr>
                <w:sz w:val="18"/>
                <w:szCs w:val="18"/>
                <w:color w:val="auto"/>
              </w:rPr>
            </w:pPr>
          </w:p>
        </w:tc>
        <w:tc>
          <w:tcPr>
            <w:tcW w:w="996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Agreement”), as amended on September 29, 2006, October 31, 2007, March 25, 2008, August 27, 2012, February 22, 2013, and June 3,</w:t>
            </w:r>
          </w:p>
        </w:tc>
      </w:tr>
      <w:tr>
        <w:trPr>
          <w:trHeight w:val="194"/>
        </w:trPr>
        <w:tc>
          <w:tcPr>
            <w:tcW w:w="1280" w:type="dxa"/>
            <w:vAlign w:val="bottom"/>
          </w:tcPr>
          <w:p>
            <w:pPr>
              <w:spacing w:after="0"/>
              <w:rPr>
                <w:sz w:val="16"/>
                <w:szCs w:val="16"/>
                <w:color w:val="auto"/>
              </w:rPr>
            </w:pPr>
          </w:p>
        </w:tc>
        <w:tc>
          <w:tcPr>
            <w:tcW w:w="9960" w:type="dxa"/>
            <w:vAlign w:val="bottom"/>
            <w:gridSpan w:val="31"/>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2015 (incorporated by reference to the Company’s Quarterly Report on Form </w:t>
            </w:r>
            <w:hyperlink r:id="rId319">
              <w:r>
                <w:rPr>
                  <w:rFonts w:ascii="Times New Roman" w:cs="Times New Roman" w:eastAsia="Times New Roman" w:hAnsi="Times New Roman"/>
                  <w:sz w:val="18"/>
                  <w:szCs w:val="18"/>
                  <w:color w:val="0000FF"/>
                </w:rPr>
                <w:t>10-Q</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filed on May 11, 2006 and Annual Report on Form</w:t>
            </w:r>
          </w:p>
        </w:tc>
      </w:tr>
      <w:tr>
        <w:trPr>
          <w:trHeight w:val="196"/>
        </w:trPr>
        <w:tc>
          <w:tcPr>
            <w:tcW w:w="1280" w:type="dxa"/>
            <w:vAlign w:val="bottom"/>
          </w:tcPr>
          <w:p>
            <w:pPr>
              <w:spacing w:after="0"/>
              <w:rPr>
                <w:sz w:val="17"/>
                <w:szCs w:val="17"/>
                <w:color w:val="auto"/>
              </w:rPr>
            </w:pPr>
          </w:p>
        </w:tc>
        <w:tc>
          <w:tcPr>
            <w:tcW w:w="5580" w:type="dxa"/>
            <w:vAlign w:val="bottom"/>
            <w:gridSpan w:val="15"/>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 xml:space="preserve">10-K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February 18, 2016).</w:t>
            </w:r>
          </w:p>
        </w:tc>
        <w:tc>
          <w:tcPr>
            <w:tcW w:w="380" w:type="dxa"/>
            <w:vAlign w:val="bottom"/>
            <w:tcBorders>
              <w:top w:val="single" w:sz="8" w:color="0000FF"/>
            </w:tcBorders>
          </w:tcPr>
          <w:p>
            <w:pPr>
              <w:spacing w:after="0"/>
              <w:rPr>
                <w:sz w:val="17"/>
                <w:szCs w:val="17"/>
                <w:color w:val="auto"/>
              </w:rPr>
            </w:pPr>
          </w:p>
        </w:tc>
        <w:tc>
          <w:tcPr>
            <w:tcW w:w="4000" w:type="dxa"/>
            <w:vAlign w:val="bottom"/>
            <w:gridSpan w:val="15"/>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+10.5</w:t>
            </w:r>
          </w:p>
        </w:tc>
        <w:tc>
          <w:tcPr>
            <w:tcW w:w="9960" w:type="dxa"/>
            <w:vAlign w:val="bottom"/>
            <w:gridSpan w:val="31"/>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Seventh Amendment to Lease Agreement dated June 1, 2019. Certain information in this exhibit is confidential and has been excluded</w:t>
              </w:r>
            </w:hyperlink>
          </w:p>
        </w:tc>
      </w:tr>
      <w:tr>
        <w:trPr>
          <w:trHeight w:val="20"/>
        </w:trPr>
        <w:tc>
          <w:tcPr>
            <w:tcW w:w="128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pursuant to applicable rules because it (i) is not material and (ii) would likely cause competitive harm if publicly disclosed.</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**10.6</w:t>
            </w:r>
          </w:p>
        </w:tc>
        <w:tc>
          <w:tcPr>
            <w:tcW w:w="9960" w:type="dxa"/>
            <w:vAlign w:val="bottom"/>
            <w:gridSpan w:val="31"/>
          </w:tcPr>
          <w:p>
            <w:pPr>
              <w:spacing w:after="0" w:line="207" w:lineRule="exact"/>
              <w:rPr>
                <w:sz w:val="20"/>
                <w:szCs w:val="20"/>
                <w:color w:val="auto"/>
              </w:rPr>
            </w:pPr>
            <w:r>
              <w:rPr>
                <w:rFonts w:ascii="Times New Roman" w:cs="Times New Roman" w:eastAsia="Times New Roman" w:hAnsi="Times New Roman"/>
                <w:sz w:val="18"/>
                <w:szCs w:val="18"/>
                <w:color w:val="auto"/>
              </w:rPr>
              <w:t>The Boston Beer Company, Inc. Equity Plan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adopted on February 9, 2023 (incorporated by reference to</w:t>
            </w:r>
          </w:p>
        </w:tc>
      </w:tr>
      <w:tr>
        <w:trPr>
          <w:trHeight w:val="194"/>
        </w:trPr>
        <w:tc>
          <w:tcPr>
            <w:tcW w:w="1280" w:type="dxa"/>
            <w:vAlign w:val="bottom"/>
          </w:tcPr>
          <w:p>
            <w:pPr>
              <w:spacing w:after="0"/>
              <w:rPr>
                <w:sz w:val="16"/>
                <w:szCs w:val="16"/>
                <w:color w:val="auto"/>
              </w:rPr>
            </w:pPr>
          </w:p>
        </w:tc>
        <w:tc>
          <w:tcPr>
            <w:tcW w:w="9960" w:type="dxa"/>
            <w:vAlign w:val="bottom"/>
            <w:gridSpan w:val="31"/>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w:t>
            </w:r>
            <w:hyperlink r:id="rId322">
              <w:r>
                <w:rPr>
                  <w:rFonts w:ascii="Times New Roman" w:cs="Times New Roman" w:eastAsia="Times New Roman" w:hAnsi="Times New Roman"/>
                  <w:sz w:val="18"/>
                  <w:szCs w:val="18"/>
                  <w:color w:val="0000FF"/>
                </w:rPr>
                <w:t>10.1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Company’s Current Report on Form 8-K filed on February 10, 2023.</w:t>
            </w:r>
          </w:p>
        </w:tc>
      </w:tr>
      <w:tr>
        <w:trPr>
          <w:trHeight w:val="20"/>
        </w:trPr>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**10.7</w:t>
            </w:r>
          </w:p>
        </w:tc>
        <w:tc>
          <w:tcPr>
            <w:tcW w:w="9960" w:type="dxa"/>
            <w:vAlign w:val="bottom"/>
            <w:gridSpan w:val="31"/>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The Boston Beer Company, Inc. Employee Equity Incentive Plan, as amended on February 23, 1996, December 20, 1997, December 19,</w:t>
              </w:r>
            </w:hyperlink>
          </w:p>
        </w:tc>
      </w:tr>
      <w:tr>
        <w:trPr>
          <w:trHeight w:val="20"/>
        </w:trPr>
        <w:tc>
          <w:tcPr>
            <w:tcW w:w="128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2005, December 19, 2006, December 21, 2007, October 30, 2009, October 8, 2013, October 8, 2014, and December 9, 2015, December</w:t>
              </w:r>
            </w:hyperlink>
          </w:p>
        </w:tc>
      </w:tr>
      <w:tr>
        <w:trPr>
          <w:trHeight w:val="20"/>
        </w:trPr>
        <w:tc>
          <w:tcPr>
            <w:tcW w:w="128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20, 2017, and December 20, 2018 (incorporated by reference to the Company’s Current Report on Form 8-K filed on December 21,</w:t>
              </w:r>
            </w:hyperlink>
          </w:p>
        </w:tc>
      </w:tr>
      <w:tr>
        <w:trPr>
          <w:trHeight w:val="20"/>
        </w:trPr>
        <w:tc>
          <w:tcPr>
            <w:tcW w:w="128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60" w:type="dxa"/>
            <w:vAlign w:val="bottom"/>
            <w:gridSpan w:val="2"/>
          </w:tcPr>
          <w:p>
            <w:pPr>
              <w:spacing w:after="0" w:line="196" w:lineRule="exact"/>
              <w:rPr>
                <w:rFonts w:ascii="Times New Roman" w:cs="Times New Roman" w:eastAsia="Times New Roman" w:hAnsi="Times New Roman"/>
                <w:sz w:val="18"/>
                <w:szCs w:val="18"/>
                <w:color w:val="0000FF"/>
                <w:w w:val="90"/>
              </w:rPr>
            </w:pPr>
            <w:hyperlink r:id="rId323">
              <w:r>
                <w:rPr>
                  <w:rFonts w:ascii="Times New Roman" w:cs="Times New Roman" w:eastAsia="Times New Roman" w:hAnsi="Times New Roman"/>
                  <w:sz w:val="18"/>
                  <w:szCs w:val="18"/>
                  <w:color w:val="0000FF"/>
                  <w:w w:val="90"/>
                </w:rPr>
                <w:t>2018).</w:t>
              </w:r>
            </w:hyperlink>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**10.8</w:t>
            </w:r>
          </w:p>
        </w:tc>
        <w:tc>
          <w:tcPr>
            <w:tcW w:w="9960" w:type="dxa"/>
            <w:vAlign w:val="bottom"/>
            <w:gridSpan w:val="31"/>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Martin F. Roper Proprietary Information and Restrictive Covenant Agreement dated February 2, 2017 (incorporated by reference to the</w:t>
              </w:r>
            </w:hyperlink>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Company’s Current Report on Form 8-K filed on February 6, 2017).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**10.9</w:t>
            </w:r>
          </w:p>
        </w:tc>
        <w:tc>
          <w:tcPr>
            <w:tcW w:w="9960" w:type="dxa"/>
            <w:vAlign w:val="bottom"/>
            <w:gridSpan w:val="31"/>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Offer Letter to David A. Burwick, future Chief Executive Officer and President, dated January 23, 2018 (incorporated by reference to the</w:t>
              </w:r>
            </w:hyperlink>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Company’s Current Report on Form 8-K filed on February 16, 2018).</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**10.10</w:t>
            </w:r>
          </w:p>
        </w:tc>
        <w:tc>
          <w:tcPr>
            <w:tcW w:w="9960" w:type="dxa"/>
            <w:vAlign w:val="bottom"/>
            <w:gridSpan w:val="31"/>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Employment Agreement of Samuel A. Calagione III, dated July 3, 2019 (incorporated by reference to Exhibit 10.3 to the Company’s 10-</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Q filed on July 25, 2019)</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**10.11</w:t>
            </w:r>
          </w:p>
        </w:tc>
        <w:tc>
          <w:tcPr>
            <w:tcW w:w="9960" w:type="dxa"/>
            <w:vAlign w:val="bottom"/>
            <w:gridSpan w:val="31"/>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Offer Letter to Frank H. Smalla, Senior Vice President, Finance dated December 15, 2015 (incorporated by reference to the Company’s</w:t>
              </w:r>
            </w:hyperlink>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Annual Report on Form 10-K filed on February 18, 2016).</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10.12</w:t>
            </w:r>
          </w:p>
        </w:tc>
        <w:tc>
          <w:tcPr>
            <w:tcW w:w="9960" w:type="dxa"/>
            <w:vAlign w:val="bottom"/>
            <w:gridSpan w:val="31"/>
          </w:tcPr>
          <w:p>
            <w:pPr>
              <w:spacing w:after="0"/>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Registration Rights Agreement with the Former Dogfish Head Stockholders, dated July 3, 2019 (incorporated by reference to Exhibit 10.1</w:t>
              </w:r>
            </w:hyperlink>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to the Company’s 10-Q filed on July 25, 2019).</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gridSpan w:val="31"/>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Indemnification Agreement with the Dogfish Head Founders, dated July 3, 2019 (incorporated by reference to Exhibit 10.2 to the</w:t>
              </w:r>
            </w:hyperlink>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Company’s 10-Q filed on July 25, 2019).</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gridSpan w:val="31"/>
          </w:tcPr>
          <w:p>
            <w:pPr>
              <w:spacing w:after="0"/>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Offer Letter to Carolyn O’Boyle, Chief People Officer, dated February 7, 2020 (incorporated by reference to the Company’s 10-Q filed on</w:t>
              </w:r>
            </w:hyperlink>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July 23, 2020).</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spacing w:after="0"/>
              <w:rPr>
                <w:sz w:val="24"/>
                <w:szCs w:val="24"/>
                <w:color w:val="auto"/>
              </w:rPr>
            </w:pPr>
          </w:p>
        </w:tc>
        <w:tc>
          <w:tcPr>
            <w:tcW w:w="9960" w:type="dxa"/>
            <w:vAlign w:val="bottom"/>
            <w:gridSpan w:val="31"/>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Third Amended and Restated Credit Agreement by and among The Boston Beer Company, Inc., Boston Beer Corporation, American</w:t>
              </w:r>
            </w:hyperlink>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Craft Brewery LLC, and Bank of America, N.A., dated December 16, 2022 (incorporated by reference to the Company’s Current Report</w:t>
              </w:r>
            </w:hyperlink>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on Form 8-K filed on December 22, 2022).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*21.1</w:t>
            </w:r>
          </w:p>
        </w:tc>
        <w:tc>
          <w:tcPr>
            <w:tcW w:w="99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List of subsidiaries of The Boston Beer Company, Inc. effective as of December 31, 2022.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*23.1</w:t>
            </w:r>
          </w:p>
        </w:tc>
        <w:tc>
          <w:tcPr>
            <w:tcW w:w="99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Consent of Deloitte &amp; Touche LLP, an Independent Registered Public Accounting Firm.</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*31.1</w:t>
            </w:r>
          </w:p>
        </w:tc>
        <w:tc>
          <w:tcPr>
            <w:tcW w:w="99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pursuant to Rule 13a-14(a) under the Securities Exchange Act of 1934, as</w:t>
            </w:r>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4620" w:type="dxa"/>
            <w:vAlign w:val="bottom"/>
            <w:tcBorders>
              <w:left w:val="single" w:sz="8" w:color="0000FF"/>
            </w:tcBorders>
            <w:gridSpan w:val="11"/>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4860" w:type="dxa"/>
            <w:vAlign w:val="bottom"/>
            <w:tcBorders>
              <w:left w:val="single" w:sz="8" w:color="0000EE"/>
            </w:tcBorders>
            <w:gridSpan w:val="1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*31.2</w:t>
            </w:r>
          </w:p>
        </w:tc>
        <w:tc>
          <w:tcPr>
            <w:tcW w:w="99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under the Securities Exchange Act of 1934, as adopted pursuant to</w:t>
            </w:r>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6320" w:type="dxa"/>
            <w:vAlign w:val="bottom"/>
            <w:gridSpan w:val="17"/>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6320" w:type="dxa"/>
            <w:vAlign w:val="bottom"/>
            <w:gridSpan w:val="1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71"/>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*32.1</w:t>
            </w:r>
          </w:p>
        </w:tc>
        <w:tc>
          <w:tcPr>
            <w:tcW w:w="99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pursuant to 18 U.S.C. Section 1350, as adopted pursuant to Section 906 of the</w:t>
            </w:r>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7680" w:type="dxa"/>
            <w:vAlign w:val="bottom"/>
            <w:gridSpan w:val="21"/>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7860" w:type="dxa"/>
            <w:vAlign w:val="bottom"/>
            <w:gridSpan w:val="24"/>
          </w:tcPr>
          <w:p>
            <w:pPr>
              <w:spacing w:after="0" w:line="20" w:lineRule="exact"/>
              <w:rPr>
                <w:sz w:val="1"/>
                <w:szCs w:val="1"/>
                <w:color w:val="auto"/>
              </w:rPr>
            </w:pPr>
          </w:p>
        </w:tc>
      </w:tr>
      <w:tr>
        <w:trPr>
          <w:trHeight w:val="371"/>
        </w:trPr>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*32.2</w:t>
            </w:r>
          </w:p>
        </w:tc>
        <w:tc>
          <w:tcPr>
            <w:tcW w:w="99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18 U.S.C. Section 1350, as adopted pursuant to Section 906 of the Sarbanes-Oxley</w:t>
            </w:r>
          </w:p>
        </w:tc>
      </w:tr>
      <w:tr>
        <w:trPr>
          <w:trHeight w:val="20"/>
        </w:trPr>
        <w:tc>
          <w:tcPr>
            <w:tcW w:w="1280" w:type="dxa"/>
            <w:vAlign w:val="bottom"/>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9040" w:type="dxa"/>
            <w:vAlign w:val="bottom"/>
            <w:gridSpan w:val="2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614"/>
        </w:trPr>
        <w:tc>
          <w:tcPr>
            <w:tcW w:w="1280" w:type="dxa"/>
            <w:vAlign w:val="bottom"/>
          </w:tcPr>
          <w:p>
            <w:pPr>
              <w:spacing w:after="0"/>
              <w:rPr>
                <w:sz w:val="24"/>
                <w:szCs w:val="24"/>
                <w:color w:val="auto"/>
              </w:rPr>
            </w:pPr>
          </w:p>
        </w:tc>
        <w:tc>
          <w:tcPr>
            <w:tcW w:w="900" w:type="dxa"/>
            <w:vAlign w:val="bottom"/>
            <w:tcBorders>
              <w:top w:val="single" w:sz="8" w:color="0000FF"/>
            </w:tcBorders>
            <w:gridSpan w:val="4"/>
          </w:tcPr>
          <w:p>
            <w:pPr>
              <w:spacing w:after="0"/>
              <w:rPr>
                <w:sz w:val="24"/>
                <w:szCs w:val="24"/>
                <w:color w:val="auto"/>
              </w:rPr>
            </w:pPr>
          </w:p>
        </w:tc>
        <w:tc>
          <w:tcPr>
            <w:tcW w:w="4020" w:type="dxa"/>
            <w:vAlign w:val="bottom"/>
            <w:gridSpan w:val="9"/>
          </w:tcPr>
          <w:p>
            <w:pPr>
              <w:jc w:val="right"/>
              <w:ind w:right="48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76" w:name="page77"/>
    <w:bookmarkEnd w:id="76"/>
    <w:p>
      <w:pPr>
        <w:ind w:left="14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Instance Document</w:t>
      </w:r>
    </w:p>
    <w:p>
      <w:pPr>
        <w:spacing w:after="0" w:line="196" w:lineRule="exact"/>
        <w:rPr>
          <w:sz w:val="20"/>
          <w:szCs w:val="20"/>
          <w:color w:val="auto"/>
        </w:rPr>
      </w:pPr>
    </w:p>
    <w:p>
      <w:pPr>
        <w:sectPr>
          <w:pgSz w:w="11900" w:h="16838" w:orient="portrait"/>
          <w:cols w:equalWidth="0" w:num="2">
            <w:col w:w="840" w:space="420"/>
            <w:col w:w="9700"/>
          </w:cols>
          <w:pgMar w:left="320" w:top="378" w:right="61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196" w:lineRule="exact"/>
        <w:rPr>
          <w:sz w:val="20"/>
          <w:szCs w:val="20"/>
          <w:color w:val="auto"/>
        </w:rPr>
      </w:pPr>
    </w:p>
    <w:p>
      <w:pPr>
        <w:sectPr>
          <w:pgSz w:w="11900" w:h="16838" w:orient="portrait"/>
          <w:cols w:equalWidth="0" w:num="2">
            <w:col w:w="900" w:space="360"/>
            <w:col w:w="9700"/>
          </w:cols>
          <w:pgMar w:left="320" w:top="378" w:right="61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Calculation Linkbase Document</w:t>
      </w:r>
    </w:p>
    <w:p>
      <w:pPr>
        <w:spacing w:after="0" w:line="196" w:lineRule="exact"/>
        <w:rPr>
          <w:sz w:val="20"/>
          <w:szCs w:val="20"/>
          <w:color w:val="auto"/>
        </w:rPr>
      </w:pPr>
    </w:p>
    <w:p>
      <w:pPr>
        <w:sectPr>
          <w:pgSz w:w="11900" w:h="16838" w:orient="portrait"/>
          <w:cols w:equalWidth="0" w:num="2">
            <w:col w:w="900" w:space="360"/>
            <w:col w:w="9700"/>
          </w:cols>
          <w:pgMar w:left="320" w:top="378" w:right="61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Label Linkbase Document</w:t>
      </w:r>
    </w:p>
    <w:p>
      <w:pPr>
        <w:spacing w:after="0" w:line="196" w:lineRule="exact"/>
        <w:rPr>
          <w:sz w:val="20"/>
          <w:szCs w:val="20"/>
          <w:color w:val="auto"/>
        </w:rPr>
      </w:pPr>
    </w:p>
    <w:p>
      <w:pPr>
        <w:sectPr>
          <w:pgSz w:w="11900" w:h="16838" w:orient="portrait"/>
          <w:cols w:equalWidth="0" w:num="2">
            <w:col w:w="900" w:space="360"/>
            <w:col w:w="9700"/>
          </w:cols>
          <w:pgMar w:left="320" w:top="378" w:right="61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Presentation Linkbase Document</w:t>
      </w:r>
    </w:p>
    <w:p>
      <w:pPr>
        <w:spacing w:after="0" w:line="196" w:lineRule="exact"/>
        <w:rPr>
          <w:sz w:val="20"/>
          <w:szCs w:val="20"/>
          <w:color w:val="auto"/>
        </w:rPr>
      </w:pPr>
    </w:p>
    <w:p>
      <w:pPr>
        <w:sectPr>
          <w:pgSz w:w="11900" w:h="16838" w:orient="portrait"/>
          <w:cols w:equalWidth="0" w:num="2">
            <w:col w:w="880" w:space="380"/>
            <w:col w:w="9700"/>
          </w:cols>
          <w:pgMar w:left="320" w:top="378" w:right="61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p>
      <w:pPr>
        <w:spacing w:after="0" w:line="185" w:lineRule="exact"/>
        <w:rPr>
          <w:sz w:val="20"/>
          <w:szCs w:val="20"/>
          <w:color w:val="auto"/>
        </w:rPr>
      </w:pPr>
    </w:p>
    <w:p>
      <w:pPr>
        <w:sectPr>
          <w:pgSz w:w="11900" w:h="16838" w:orient="portrait"/>
          <w:cols w:equalWidth="0" w:num="2">
            <w:col w:w="840" w:space="420"/>
            <w:col w:w="9700"/>
          </w:cols>
          <w:pgMar w:left="320" w:top="378" w:right="619" w:bottom="1440" w:gutter="0" w:footer="0" w:header="0"/>
          <w:type w:val="continuous"/>
        </w:sectPr>
      </w:pPr>
    </w:p>
    <w:p>
      <w:pPr>
        <w:ind w:right="3220" w:firstLine="227"/>
        <w:spacing w:after="0" w:line="394" w:lineRule="auto"/>
        <w:tabs>
          <w:tab w:leader="none" w:pos="12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included in Exhibit 101). * Filed with this report.</w:t>
      </w:r>
    </w:p>
    <w:p>
      <w:pPr>
        <w:ind w:firstLine="8"/>
        <w:spacing w:after="0" w:line="250" w:lineRule="auto"/>
        <w:tabs>
          <w:tab w:leader="none" w:pos="1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were omitted pursuant to an application for an order declaring confidential treatment filed with and approved by the Securities and Exchange Commission.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78" w:right="61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 on this 22nd day of February 2023.</w:t>
      </w:r>
    </w:p>
    <w:p>
      <w:pPr>
        <w:spacing w:after="0" w:line="17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25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26035</wp:posOffset>
            </wp:positionV>
            <wp:extent cx="3472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8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David A. Burwick</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23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following persons on behalf of the registrant and in the capacities and on the dates indicated have signed this report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10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96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 David A. Burwick</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Chief Executive Officer (principal executive</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4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officer) and Director</w:t>
            </w: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David A. Burwick</w:t>
            </w:r>
          </w:p>
        </w:tc>
        <w:tc>
          <w:tcPr>
            <w:tcW w:w="496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vMerge w:val="continue"/>
          </w:tcPr>
          <w:p>
            <w:pPr>
              <w:spacing w:after="0"/>
              <w:rPr>
                <w:sz w:val="23"/>
                <w:szCs w:val="23"/>
                <w:color w:val="auto"/>
              </w:rPr>
            </w:pPr>
          </w:p>
        </w:tc>
        <w:tc>
          <w:tcPr>
            <w:tcW w:w="49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Frank H. Smalla</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Frank H. Smalla</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D. Murphy</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Matthew D. Murphy</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A. Calagione III</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Brewer and Director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Samuel A. Calagione III</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A. Fisher</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Cynthia A. Fisher</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Meghan V. Joyce</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Meghan V. Joyce</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James Koch</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and Director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 James Koch</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M. Lynton</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Michael M. Lynton</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Julio N. Nemeth</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Julio N. Nemeth</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Spillane</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Michael Spillane</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Jean-Michel Valette</w:t>
            </w:r>
          </w:p>
        </w:tc>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February 22, 2023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Jean-Michel Valette</w:t>
            </w:r>
          </w:p>
        </w:tc>
        <w:tc>
          <w:tcPr>
            <w:tcW w:w="4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9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78</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946"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and Affiliates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Boston Beer Company,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Craft Brewery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Fermentation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Angry Orchard Cider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BBCCC,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Ontario, Canada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Beer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Beer Corporation Canada,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Canadian business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Brewing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Craft Brewery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Land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Marketing,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Dogfish Head MTSpace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 Seltzer Beverage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Lazy River Cider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Marathon Brewing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Street Associates,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Ohio limited liability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SABC Realty,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Ohio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333-209588, 333-163315, 333-163314, 333-148374, 333-140250, 333-121057, 333-85112, 333-85110, 333-68531, 333-12221, and 333-01798 each on Form S-8 of our reports dated February 22, 2023, relating to the financial statements of The Boston Beer Company, Inc., and the effectiveness of The Boston Beer Company, Inc.’s internal control over financial reporting, appearing in this Annual Report on Form 10-K of The Boston Beer Company, Inc.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Burwick,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Boston Beer Company,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65"/>
        <w:spacing w:after="0" w:line="266" w:lineRule="auto"/>
        <w:tabs>
          <w:tab w:leader="none" w:pos="759"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hanging="365"/>
        <w:spacing w:after="0" w:line="266" w:lineRule="auto"/>
        <w:tabs>
          <w:tab w:leader="none" w:pos="759"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65"/>
        <w:spacing w:after="0" w:line="282" w:lineRule="auto"/>
        <w:tabs>
          <w:tab w:leader="none" w:pos="759"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85725</wp:posOffset>
            </wp:positionV>
            <wp:extent cx="3566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A. Burwick</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H. Smalla,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Boston Beer Company,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65"/>
        <w:spacing w:after="0" w:line="266" w:lineRule="auto"/>
        <w:tabs>
          <w:tab w:leader="none" w:pos="75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hanging="365"/>
        <w:spacing w:after="0" w:line="266" w:lineRule="auto"/>
        <w:tabs>
          <w:tab w:leader="none" w:pos="75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65"/>
        <w:spacing w:after="0" w:line="282" w:lineRule="auto"/>
        <w:tabs>
          <w:tab w:leader="none" w:pos="75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65"/>
        <w:spacing w:after="0" w:line="282" w:lineRule="auto"/>
        <w:tabs>
          <w:tab w:leader="none" w:pos="75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Frank H. Smalla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85725</wp:posOffset>
            </wp:positionV>
            <wp:extent cx="35661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Frank H. Smalla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The Boston Beer Company, Inc. (the "Company") on Form 10-K for the period ended December 31, 2022 as filed with the Securities and Exchange Commission (the "Report"), I, David A. Burwick,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3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180340</wp:posOffset>
            </wp:positionV>
            <wp:extent cx="32061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David A. Burwick</w:t>
      </w:r>
    </w:p>
    <w:p>
      <w:pPr>
        <w:spacing w:after="0" w:line="3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44450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The Boston Beer Company, Inc. (the "Company") on Form 10-K for the period ended December 31, 2022 as filed with the Securities and Exchange Commission (the "Report"), I, Frank H. Smalla,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3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Frank H. Smalla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180340</wp:posOffset>
            </wp:positionV>
            <wp:extent cx="32061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Frank H. Smalla</w:t>
      </w:r>
    </w:p>
    <w:p>
      <w:pPr>
        <w:spacing w:after="0" w:line="3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44450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1" w:right="339" w:bottom="1440"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o"/>
      <w:numFmt w:val="bullet"/>
      <w:start w:val="1"/>
    </w:lvl>
    <w:lvl w:ilvl="1">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lvl w:ilvl="1">
      <w:lvlJc w:val="left"/>
      <w:lvlText w:val="o"/>
      <w:numFmt w:val="bullet"/>
      <w:start w:val="1"/>
    </w:lvl>
    <w:lvl w:ilvl="2">
      <w:lvlJc w:val="left"/>
      <w:lvlText w:val="▪"/>
      <w:numFmt w:val="bullet"/>
      <w:start w:val="1"/>
    </w:lvl>
    <w:lvl w:ilvl="3">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lvl w:ilvl="1">
      <w:lvlJc w:val="left"/>
      <w:lvlText w:val="%2"/>
      <w:numFmt w:val="decimal"/>
      <w:start w:val="104"/>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8">
    <w:nsid w:val="436C612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1">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32" Type="http://schemas.openxmlformats.org/officeDocument/2006/relationships/image" Target="media/image305.png"/><Relationship Id="rId333" Type="http://schemas.openxmlformats.org/officeDocument/2006/relationships/image" Target="media/image306.png"/><Relationship Id="rId334" Type="http://schemas.openxmlformats.org/officeDocument/2006/relationships/image" Target="media/image307.png"/><Relationship Id="rId335" Type="http://schemas.openxmlformats.org/officeDocument/2006/relationships/image" Target="media/image308.png"/><Relationship Id="rId336" Type="http://schemas.openxmlformats.org/officeDocument/2006/relationships/image" Target="media/image309.png"/><Relationship Id="rId337" Type="http://schemas.openxmlformats.org/officeDocument/2006/relationships/image" Target="media/image310.png"/><Relationship Id="rId338" Type="http://schemas.openxmlformats.org/officeDocument/2006/relationships/image" Target="media/image311.png"/><Relationship Id="rId339" Type="http://schemas.openxmlformats.org/officeDocument/2006/relationships/image" Target="media/image312.png"/><Relationship Id="rId340" Type="http://schemas.openxmlformats.org/officeDocument/2006/relationships/image" Target="media/image313.png"/><Relationship Id="rId341" Type="http://schemas.openxmlformats.org/officeDocument/2006/relationships/image" Target="media/image314.png"/><Relationship Id="rId342" Type="http://schemas.openxmlformats.org/officeDocument/2006/relationships/image" Target="media/image315.png"/><Relationship Id="rId343" Type="http://schemas.openxmlformats.org/officeDocument/2006/relationships/image" Target="media/image316.png"/><Relationship Id="rId344" Type="http://schemas.openxmlformats.org/officeDocument/2006/relationships/image" Target="media/image317.png"/><Relationship Id="rId345"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10" Type="http://schemas.openxmlformats.org/officeDocument/2006/relationships/hyperlink" Target="https://www.sec.gov/Archives/edgar/data/949870/000119312519143046/d689622dex21.htm" TargetMode="External"/><Relationship Id="rId311" Type="http://schemas.openxmlformats.org/officeDocument/2006/relationships/hyperlink" Target="https://www.sec.gov/Archives/edgar/data/949870/000119312519143046/d689622dex22.htm" TargetMode="External"/><Relationship Id="rId312" Type="http://schemas.openxmlformats.org/officeDocument/2006/relationships/hyperlink" Target="https://www.sec.gov/Archives/edgar/data/949870/000119312519143046/d689622dex23.htm" TargetMode="External"/><Relationship Id="rId313" Type="http://schemas.openxmlformats.org/officeDocument/2006/relationships/hyperlink" Target="https://www.sec.gov/Archives/edgar/data/949870/0000927016-98-002984.txt" TargetMode="External"/><Relationship Id="rId314" Type="http://schemas.openxmlformats.org/officeDocument/2006/relationships/hyperlink" Target="https://www.sec.gov/Archives/edgar/data/949870/000119312520041944/d860744dex42.htm" TargetMode="External"/><Relationship Id="rId317" Type="http://schemas.openxmlformats.org/officeDocument/2006/relationships/hyperlink" Target="https://www.sec.gov/Archives/edgar/data/949870/000095013505002577/b54791bbexv10w47.txt" TargetMode="External"/><Relationship Id="rId318" Type="http://schemas.openxmlformats.org/officeDocument/2006/relationships/hyperlink" Target="https://www.sec.gov/Archives/edgar/data/949870/000095013507003045/b65196bbexv10w57.txt" TargetMode="External"/><Relationship Id="rId319" Type="http://schemas.openxmlformats.org/officeDocument/2006/relationships/hyperlink" Target="https://www.sec.gov/Archives/edgar/data/949870/000095013506003417/b60650bbexv10w50.htm" TargetMode="External"/><Relationship Id="rId320" Type="http://schemas.openxmlformats.org/officeDocument/2006/relationships/hyperlink" Target="https://www.sec.gov/Archives/edgar/data/949870/000119312516468386/d101022dex1010.htm" TargetMode="External"/><Relationship Id="rId321" Type="http://schemas.openxmlformats.org/officeDocument/2006/relationships/hyperlink" Target="https://www.sec.gov/Archives/edgar/data/949870/000156459021006397/sam-ex109_605.htm" TargetMode="External"/><Relationship Id="rId322" Type="http://schemas.openxmlformats.org/officeDocument/2006/relationships/hyperlink" Target="https://www.sec.gov/Archives/edgar/data/949870/000119312516653731/d221116dex101.htm" TargetMode="External"/><Relationship Id="rId323" Type="http://schemas.openxmlformats.org/officeDocument/2006/relationships/hyperlink" Target="https://www.sec.gov/Archives/edgar/data/949870/000156459018031298/sam-ex101_8.htm" TargetMode="External"/><Relationship Id="rId324" Type="http://schemas.openxmlformats.org/officeDocument/2006/relationships/hyperlink" Target="https://www.sec.gov/Archives/edgar/data/949870/000129993317000110/exhibit2.htm" TargetMode="External"/><Relationship Id="rId325" Type="http://schemas.openxmlformats.org/officeDocument/2006/relationships/hyperlink" Target="https://www.sec.gov/Archives/edgar/data/949870/000129993318000166/exhibit1.htm" TargetMode="External"/><Relationship Id="rId326" Type="http://schemas.openxmlformats.org/officeDocument/2006/relationships/hyperlink" Target="https://www.sec.gov/Archives/edgar/data/949870/000095012319006635/d763589dex103.htm" TargetMode="External"/><Relationship Id="rId327" Type="http://schemas.openxmlformats.org/officeDocument/2006/relationships/hyperlink" Target="https://www.sec.gov/Archives/edgar/data/949870/000119312516468386/d101022dex1016.htm" TargetMode="External"/><Relationship Id="rId328" Type="http://schemas.openxmlformats.org/officeDocument/2006/relationships/hyperlink" Target="https://www.sec.gov/Archives/edgar/data/949870/000095012319006635/d763589dex101.htm" TargetMode="External"/><Relationship Id="rId329" Type="http://schemas.openxmlformats.org/officeDocument/2006/relationships/hyperlink" Target="https://www.sec.gov/Archives/edgar/data/949870/000095012319006635/d763589dex102.htm" TargetMode="External"/><Relationship Id="rId330" Type="http://schemas.openxmlformats.org/officeDocument/2006/relationships/hyperlink" Target="https://www.sec.gov/Archives/edgar/data/949870/000119312520197821/d31492dex106.htm" TargetMode="External"/><Relationship Id="rId331" Type="http://schemas.openxmlformats.org/officeDocument/2006/relationships/hyperlink" Target="https://www.sec.gov/Archives/edgar/data/949870/000156459022039622/sam-ex101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2023-02-22T17:47:26Z</dcterms:created>
  <dcterms:modified xsi:type="dcterms:W3CDTF">2023-02-22T17:47:26Z</dcterms:modified>
</cp:coreProperties>
</file>