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am-20260526.htm"/>
      <w:bookmarkStart w:id="1" w:name="kssam2026052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26,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The Boston Beer Company,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3"/>
        <w:gridCol w:w="864"/>
        <w:gridCol w:w="868"/>
        <w:gridCol w:w="1846"/>
        <w:gridCol w:w="1336"/>
      </w:tblGrid>
      <w:tr>
        <w:trPr/>
        <w:tc>
          <w:tcPr>
            <w:tcW w:w="95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Massachusetts</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001-14092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04-3284048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One Design Center Place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850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02210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368-5000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455" w:type="dxa"/>
        <w:jc w:val="left"/>
        <w:tblInd w:w="0" w:type="dxa"/>
        <w:tblLayout w:type="fixed"/>
        <w:tblCellMar>
          <w:top w:w="28" w:type="dxa"/>
          <w:left w:w="28" w:type="dxa"/>
          <w:bottom w:w="28" w:type="dxa"/>
          <w:right w:w="28" w:type="dxa"/>
        </w:tblCellMar>
      </w:tblPr>
      <w:tblGrid>
        <w:gridCol w:w="3391"/>
        <w:gridCol w:w="146"/>
        <w:gridCol w:w="946"/>
        <w:gridCol w:w="146"/>
        <w:gridCol w:w="382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2"/>
        </w:rPr>
      </w:pPr>
      <w:r>
        <w:rPr>
          <w:rFonts w:ascii="Times New Roman" w:hAnsi="Times New Roman"/>
          <w:color w:val="000000"/>
          <w:sz w:val="22"/>
        </w:rPr>
        <w:t>Item 8.01 Other Events.</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As reported in the Quarterly Report on Form 10-Q filed by the Company on April 30, 2026, on April 6, 2026 a jury in the United States District Court for the Northern District of Illinois (the “Court”) returned a verdict awarding damages against the Company in its supplier dispute with Ardagh Metal Packaging USA Corp. (“Ardagh”). As a result of the verdict, during the first quarter of 2026 the Company recorded a non-recurring pre-tax litigation expense of $175.5 million and related pre-judgement interest expense of $36.5 million for a combined pre-tax total of $212.0 million. The Company reported that the final judgement had not been entered, that pre-judgement interest had not yet been determined, and that potential pre-judgment interest outcomes ranged between zero and $36.5 million.</w:t>
      </w:r>
    </w:p>
    <w:p>
      <w:pPr>
        <w:pStyle w:val="TextBody"/>
        <w:bidi w:val="0"/>
        <w:spacing w:before="0" w:after="160"/>
        <w:jc w:val="left"/>
        <w:rPr>
          <w:rFonts w:ascii="Times New Roman" w:hAnsi="Times New Roman"/>
          <w:sz w:val="20"/>
        </w:rPr>
      </w:pPr>
      <w:r>
        <w:rPr>
          <w:rFonts w:ascii="Times New Roman" w:hAnsi="Times New Roman"/>
          <w:color w:val="000000"/>
          <w:sz w:val="22"/>
        </w:rPr>
        <w:t>On May 26, 2026, the Court entered an amended final judgement in the amount of $175.5 million and determined the pre-judgement interest to be $15.5 million, for a combined pre-tax total of $191.0 million. The pre-judgement interest was within the previously disclosed range, but $21.0 million lower than the amount recorded as pre-judgement interest expense during the first quarter. In the second quarter of 2026, the Company will record this $21.0 million decrease in pre-judgement interest expense, which is estimated to favorably impact the Company’s GAAP Earnings Per Share by $1.52 per diluted share.</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The Company continues to deny that it breached the terms of the contract with Ardagh and intends to pursue all available posttrial motions and appellate remedies. Post-judgement interest expense from April 3, 2026 through the appeals process will be applied to the combined pre-tax total amount of $191.0 million at the statutory rate, which is estimated to be 3.79%. The Company cannot estimate when or if damages or interest will ultimately be paid or when this matter will ultimately be resolved.</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679" w:type="dxa"/>
        <w:jc w:val="left"/>
        <w:tblInd w:w="0" w:type="dxa"/>
        <w:tblLayout w:type="fixed"/>
        <w:tblCellMar>
          <w:top w:w="28" w:type="dxa"/>
          <w:left w:w="28" w:type="dxa"/>
          <w:bottom w:w="28" w:type="dxa"/>
          <w:right w:w="28" w:type="dxa"/>
        </w:tblCellMar>
      </w:tblPr>
      <w:tblGrid>
        <w:gridCol w:w="556"/>
        <w:gridCol w:w="1141"/>
        <w:gridCol w:w="451"/>
        <w:gridCol w:w="4531"/>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3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The Boston Beer Company,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June 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531" w:type="dxa"/>
            <w:tcBorders>
              <w:bottom w:val="single" w:sz="2" w:space="0" w:color="000000"/>
            </w:tcBorders>
            <w:tcMar>
              <w:top w:w="0" w:type="dxa"/>
              <w:left w:w="0" w:type="dxa"/>
              <w:right w:w="0" w:type="dxa"/>
            </w:tcMar>
            <w:vAlign w:val="center"/>
          </w:tcPr>
          <w:p>
            <w:pPr>
              <w:pStyle w:val="TableContents"/>
              <w:bidi w:val="0"/>
              <w:spacing w:before="86" w:after="283"/>
              <w:jc w:val="left"/>
              <w:rPr>
                <w:color w:val="000000"/>
              </w:rPr>
            </w:pPr>
            <w:r>
              <w:rPr>
                <w:color w:val="000000"/>
              </w:rPr>
              <w:t> </w:t>
            </w:r>
            <w:r>
              <w:rPr>
                <w:rFonts w:ascii="Times New Roman" w:hAnsi="Times New Roman"/>
                <w:color w:val="000000"/>
                <w:sz w:val="20"/>
              </w:rPr>
              <w:t>/s/ Jim Koch</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3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C. James Koch</w:t>
              <w:br/>
              <w:t>Title: Founder, Brewer, President, CEO, and Chairman</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663</Words>
  <Characters>3582</Characters>
  <CharactersWithSpaces>4239</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