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6"/>
          <w:szCs w:val="16"/>
          <w:b w:val="1"/>
          <w:bCs w:val="1"/>
          <w:color w:val="41516E"/>
        </w:rPr>
        <w:t>UNITED STATES</w:t>
      </w:r>
    </w:p>
    <w:p>
      <w:pPr>
        <w:spacing w:after="0" w:line="100"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41516E"/>
        </w:rPr>
        <w:t>SECURITIES AND EXCHANGE COMMISSION</w:t>
      </w:r>
    </w:p>
    <w:p>
      <w:pPr>
        <w:spacing w:after="0" w:line="100"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41516E"/>
        </w:rPr>
        <w:t>Washington, D.C. 20549</w:t>
      </w:r>
    </w:p>
    <w:p>
      <w:pPr>
        <w:spacing w:after="0" w:line="179" w:lineRule="exact"/>
        <w:rPr>
          <w:sz w:val="24"/>
          <w:szCs w:val="24"/>
          <w:color w:val="auto"/>
        </w:rPr>
      </w:pPr>
    </w:p>
    <w:p>
      <w:pPr>
        <w:jc w:val="center"/>
        <w:ind w:right="-1040"/>
        <w:spacing w:after="0"/>
        <w:rPr>
          <w:sz w:val="20"/>
          <w:szCs w:val="20"/>
          <w:color w:val="auto"/>
        </w:rPr>
      </w:pPr>
      <w:r>
        <w:rPr>
          <w:rFonts w:ascii="Arial" w:cs="Arial" w:eastAsia="Arial" w:hAnsi="Arial"/>
          <w:sz w:val="27"/>
          <w:szCs w:val="27"/>
          <w:b w:val="1"/>
          <w:bCs w:val="1"/>
          <w:color w:val="41516E"/>
        </w:rPr>
        <w:t>SCHEDULE 14A</w:t>
      </w:r>
    </w:p>
    <w:p>
      <w:pPr>
        <w:spacing w:after="0" w:line="204"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41516E"/>
        </w:rPr>
        <w:t>Proxy Statement Pursuant to Section 14(a) of the Securities</w:t>
      </w:r>
    </w:p>
    <w:p>
      <w:pPr>
        <w:spacing w:after="0" w:line="21"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41516E"/>
        </w:rPr>
        <w:t>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789940</wp:posOffset>
            </wp:positionH>
            <wp:positionV relativeFrom="paragraph">
              <wp:posOffset>121920</wp:posOffset>
            </wp:positionV>
            <wp:extent cx="21463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50" w:lineRule="exact"/>
        <w:rPr>
          <w:sz w:val="24"/>
          <w:szCs w:val="24"/>
          <w:color w:val="auto"/>
        </w:rPr>
      </w:pPr>
    </w:p>
    <w:p>
      <w:pPr>
        <w:jc w:val="right"/>
        <w:ind w:right="719"/>
        <w:spacing w:after="0"/>
        <w:rPr>
          <w:sz w:val="20"/>
          <w:szCs w:val="20"/>
          <w:color w:val="auto"/>
        </w:rPr>
      </w:pPr>
      <w:r>
        <w:rPr>
          <w:rFonts w:ascii="Arial" w:cs="Arial" w:eastAsia="Arial" w:hAnsi="Arial"/>
          <w:sz w:val="16"/>
          <w:szCs w:val="16"/>
          <w:color w:val="41516E"/>
        </w:rPr>
        <w:t xml:space="preserve">Filed by the Registrant                               </w:t>
      </w:r>
      <w:r>
        <w:rPr>
          <w:sz w:val="1"/>
          <w:szCs w:val="1"/>
          <w:color w:val="auto"/>
        </w:rPr>
        <w:drawing>
          <wp:inline distT="0" distB="0" distL="0" distR="0">
            <wp:extent cx="214630"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6"/>
          <w:szCs w:val="16"/>
          <w:color w:val="41516E"/>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113030</wp:posOffset>
            </wp:positionV>
            <wp:extent cx="7132320" cy="1457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b w:val="1"/>
          <w:bCs w:val="1"/>
          <w:color w:val="41516E"/>
        </w:rPr>
        <w:t>Check the appropriate box:</w:t>
      </w:r>
    </w:p>
    <w:p>
      <w:pPr>
        <w:spacing w:after="0" w:line="203" w:lineRule="exact"/>
        <w:rPr>
          <w:sz w:val="24"/>
          <w:szCs w:val="24"/>
          <w:color w:val="auto"/>
        </w:rPr>
      </w:pPr>
    </w:p>
    <w:p>
      <w:pPr>
        <w:ind w:left="700"/>
        <w:spacing w:after="0"/>
        <w:rPr>
          <w:sz w:val="20"/>
          <w:szCs w:val="20"/>
          <w:color w:val="auto"/>
        </w:rPr>
      </w:pPr>
      <w:r>
        <w:rPr>
          <w:rFonts w:ascii="Arial" w:cs="Arial" w:eastAsia="Arial" w:hAnsi="Arial"/>
          <w:sz w:val="16"/>
          <w:szCs w:val="16"/>
          <w:color w:val="41516E"/>
        </w:rPr>
        <w:t>Preliminary Proxy Statement</w:t>
      </w:r>
    </w:p>
    <w:p>
      <w:pPr>
        <w:spacing w:after="0" w:line="221" w:lineRule="exact"/>
        <w:rPr>
          <w:sz w:val="24"/>
          <w:szCs w:val="24"/>
          <w:color w:val="auto"/>
        </w:rPr>
      </w:pPr>
    </w:p>
    <w:p>
      <w:pPr>
        <w:ind w:left="700"/>
        <w:spacing w:after="0"/>
        <w:rPr>
          <w:sz w:val="20"/>
          <w:szCs w:val="20"/>
          <w:color w:val="auto"/>
        </w:rPr>
      </w:pPr>
      <w:r>
        <w:rPr>
          <w:rFonts w:ascii="Arial" w:cs="Arial" w:eastAsia="Arial" w:hAnsi="Arial"/>
          <w:sz w:val="16"/>
          <w:szCs w:val="16"/>
          <w:color w:val="41516E"/>
        </w:rPr>
        <w:t>CONFIDENTIAL, FOR USE OF THE COMMISSION ONLY (AS PERMITTED BY RULE 14a-6(E)(2))</w:t>
      </w:r>
    </w:p>
    <w:p>
      <w:pPr>
        <w:spacing w:after="0" w:line="221" w:lineRule="exact"/>
        <w:rPr>
          <w:sz w:val="24"/>
          <w:szCs w:val="24"/>
          <w:color w:val="auto"/>
        </w:rPr>
      </w:pPr>
    </w:p>
    <w:p>
      <w:pPr>
        <w:ind w:left="700"/>
        <w:spacing w:after="0"/>
        <w:rPr>
          <w:sz w:val="20"/>
          <w:szCs w:val="20"/>
          <w:color w:val="auto"/>
        </w:rPr>
      </w:pPr>
      <w:r>
        <w:rPr>
          <w:rFonts w:ascii="Arial" w:cs="Arial" w:eastAsia="Arial" w:hAnsi="Arial"/>
          <w:sz w:val="16"/>
          <w:szCs w:val="16"/>
          <w:color w:val="41516E"/>
        </w:rPr>
        <w:t>Definitive Proxy Statement</w:t>
      </w:r>
    </w:p>
    <w:p>
      <w:pPr>
        <w:spacing w:after="0" w:line="221" w:lineRule="exact"/>
        <w:rPr>
          <w:sz w:val="24"/>
          <w:szCs w:val="24"/>
          <w:color w:val="auto"/>
        </w:rPr>
      </w:pPr>
    </w:p>
    <w:p>
      <w:pPr>
        <w:ind w:left="700"/>
        <w:spacing w:after="0"/>
        <w:rPr>
          <w:sz w:val="20"/>
          <w:szCs w:val="20"/>
          <w:color w:val="auto"/>
        </w:rPr>
      </w:pPr>
      <w:r>
        <w:rPr>
          <w:rFonts w:ascii="Arial" w:cs="Arial" w:eastAsia="Arial" w:hAnsi="Arial"/>
          <w:sz w:val="16"/>
          <w:szCs w:val="16"/>
          <w:color w:val="41516E"/>
        </w:rPr>
        <w:t>Definitive Additional Materials</w:t>
      </w:r>
    </w:p>
    <w:p>
      <w:pPr>
        <w:spacing w:after="0" w:line="221" w:lineRule="exact"/>
        <w:rPr>
          <w:sz w:val="24"/>
          <w:szCs w:val="24"/>
          <w:color w:val="auto"/>
        </w:rPr>
      </w:pPr>
    </w:p>
    <w:p>
      <w:pPr>
        <w:ind w:left="700"/>
        <w:spacing w:after="0"/>
        <w:rPr>
          <w:sz w:val="20"/>
          <w:szCs w:val="20"/>
          <w:color w:val="auto"/>
        </w:rPr>
      </w:pPr>
      <w:r>
        <w:rPr>
          <w:rFonts w:ascii="Arial" w:cs="Arial" w:eastAsia="Arial" w:hAnsi="Arial"/>
          <w:sz w:val="16"/>
          <w:szCs w:val="16"/>
          <w:color w:val="41516E"/>
        </w:rPr>
        <w:t>Soliciting Material Pursuant to ss.240.14a-12</w:t>
      </w:r>
    </w:p>
    <w:p>
      <w:pPr>
        <w:spacing w:after="0" w:line="211" w:lineRule="exact"/>
        <w:rPr>
          <w:sz w:val="24"/>
          <w:szCs w:val="24"/>
          <w:color w:val="auto"/>
        </w:rPr>
      </w:pPr>
    </w:p>
    <w:p>
      <w:pPr>
        <w:ind w:left="2440"/>
        <w:spacing w:after="0"/>
        <w:rPr>
          <w:sz w:val="20"/>
          <w:szCs w:val="20"/>
          <w:color w:val="auto"/>
        </w:rPr>
      </w:pPr>
      <w:r>
        <w:rPr>
          <w:rFonts w:ascii="Arial" w:cs="Arial" w:eastAsia="Arial" w:hAnsi="Arial"/>
          <w:sz w:val="36"/>
          <w:szCs w:val="36"/>
          <w:b w:val="1"/>
          <w:bCs w:val="1"/>
          <w:color w:val="41516E"/>
        </w:rPr>
        <w:t>THE BOSTON BEER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2169795</wp:posOffset>
            </wp:positionH>
            <wp:positionV relativeFrom="paragraph">
              <wp:posOffset>26670</wp:posOffset>
            </wp:positionV>
            <wp:extent cx="273431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431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040"/>
        <w:spacing w:after="0"/>
        <w:rPr>
          <w:sz w:val="20"/>
          <w:szCs w:val="20"/>
          <w:color w:val="auto"/>
        </w:rPr>
      </w:pPr>
      <w:r>
        <w:rPr>
          <w:rFonts w:ascii="Arial" w:cs="Arial" w:eastAsia="Arial" w:hAnsi="Arial"/>
          <w:sz w:val="16"/>
          <w:szCs w:val="16"/>
          <w:i w:val="1"/>
          <w:iCs w:val="1"/>
          <w:color w:val="41516E"/>
        </w:rPr>
        <w:t>(Name of Registrant as Specified In Its Charter)</w:t>
      </w:r>
    </w:p>
    <w:p>
      <w:pPr>
        <w:spacing w:after="0" w:line="86" w:lineRule="exact"/>
        <w:rPr>
          <w:sz w:val="24"/>
          <w:szCs w:val="24"/>
          <w:color w:val="auto"/>
        </w:rPr>
      </w:pPr>
    </w:p>
    <w:p>
      <w:pPr>
        <w:jc w:val="center"/>
        <w:ind w:right="-1040"/>
        <w:spacing w:after="0"/>
        <w:rPr>
          <w:sz w:val="20"/>
          <w:szCs w:val="20"/>
          <w:color w:val="auto"/>
        </w:rPr>
      </w:pPr>
      <w:r>
        <w:rPr>
          <w:rFonts w:ascii="Arial" w:cs="Arial" w:eastAsia="Arial" w:hAnsi="Arial"/>
          <w:sz w:val="16"/>
          <w:szCs w:val="16"/>
          <w:i w:val="1"/>
          <w:iCs w:val="1"/>
          <w:color w:val="41516E"/>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53975</wp:posOffset>
            </wp:positionV>
            <wp:extent cx="7132320" cy="942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b w:val="1"/>
          <w:bCs w:val="1"/>
          <w:color w:val="41516E"/>
        </w:rPr>
        <w:t>Payment of Filing Fee (Check all boxes that apply):</w:t>
      </w:r>
    </w:p>
    <w:p>
      <w:pPr>
        <w:spacing w:after="0" w:line="203" w:lineRule="exact"/>
        <w:rPr>
          <w:sz w:val="24"/>
          <w:szCs w:val="24"/>
          <w:color w:val="auto"/>
        </w:rPr>
      </w:pPr>
    </w:p>
    <w:p>
      <w:pPr>
        <w:ind w:left="700"/>
        <w:spacing w:after="0"/>
        <w:rPr>
          <w:sz w:val="20"/>
          <w:szCs w:val="20"/>
          <w:color w:val="auto"/>
        </w:rPr>
      </w:pPr>
      <w:r>
        <w:rPr>
          <w:rFonts w:ascii="Arial" w:cs="Arial" w:eastAsia="Arial" w:hAnsi="Arial"/>
          <w:sz w:val="16"/>
          <w:szCs w:val="16"/>
          <w:b w:val="1"/>
          <w:bCs w:val="1"/>
          <w:color w:val="41516E"/>
        </w:rPr>
        <w:t>No fee required</w:t>
      </w:r>
    </w:p>
    <w:p>
      <w:pPr>
        <w:spacing w:after="0" w:line="221" w:lineRule="exact"/>
        <w:rPr>
          <w:sz w:val="24"/>
          <w:szCs w:val="24"/>
          <w:color w:val="auto"/>
        </w:rPr>
      </w:pPr>
    </w:p>
    <w:p>
      <w:pPr>
        <w:ind w:left="700"/>
        <w:spacing w:after="0"/>
        <w:rPr>
          <w:sz w:val="20"/>
          <w:szCs w:val="20"/>
          <w:color w:val="auto"/>
        </w:rPr>
      </w:pPr>
      <w:r>
        <w:rPr>
          <w:rFonts w:ascii="Arial" w:cs="Arial" w:eastAsia="Arial" w:hAnsi="Arial"/>
          <w:sz w:val="16"/>
          <w:szCs w:val="16"/>
          <w:b w:val="1"/>
          <w:bCs w:val="1"/>
          <w:color w:val="41516E"/>
        </w:rPr>
        <w:t>Fee paid previously with preliminary materials</w:t>
      </w:r>
    </w:p>
    <w:p>
      <w:pPr>
        <w:spacing w:after="0" w:line="221" w:lineRule="exact"/>
        <w:rPr>
          <w:sz w:val="24"/>
          <w:szCs w:val="24"/>
          <w:color w:val="auto"/>
        </w:rPr>
      </w:pPr>
    </w:p>
    <w:p>
      <w:pPr>
        <w:ind w:left="700"/>
        <w:spacing w:after="0"/>
        <w:rPr>
          <w:sz w:val="20"/>
          <w:szCs w:val="20"/>
          <w:color w:val="auto"/>
        </w:rPr>
      </w:pPr>
      <w:r>
        <w:rPr>
          <w:rFonts w:ascii="Arial" w:cs="Arial" w:eastAsia="Arial" w:hAnsi="Arial"/>
          <w:sz w:val="16"/>
          <w:szCs w:val="16"/>
          <w:b w:val="1"/>
          <w:bCs w:val="1"/>
          <w:color w:val="41516E"/>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192405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79"/>
          </w:cols>
          <w:pgMar w:left="380" w:top="23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163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163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rPr>
          <w:sz w:val="20"/>
          <w:szCs w:val="20"/>
          <w:color w:val="auto"/>
        </w:rPr>
      </w:pPr>
      <w:r>
        <w:rPr>
          <w:rFonts w:ascii="Arial" w:cs="Arial" w:eastAsia="Arial" w:hAnsi="Arial"/>
          <w:sz w:val="58"/>
          <w:szCs w:val="58"/>
          <w:b w:val="1"/>
          <w:bCs w:val="1"/>
          <w:color w:val="41516E"/>
        </w:rPr>
        <w:t>Dear</w:t>
      </w:r>
    </w:p>
    <w:p>
      <w:pPr>
        <w:spacing w:after="0" w:line="48" w:lineRule="exact"/>
        <w:rPr>
          <w:sz w:val="20"/>
          <w:szCs w:val="20"/>
          <w:color w:val="auto"/>
        </w:rPr>
      </w:pPr>
    </w:p>
    <w:p>
      <w:pPr>
        <w:spacing w:after="0"/>
        <w:rPr>
          <w:sz w:val="20"/>
          <w:szCs w:val="20"/>
          <w:color w:val="auto"/>
        </w:rPr>
      </w:pPr>
      <w:r>
        <w:rPr>
          <w:rFonts w:ascii="Arial" w:cs="Arial" w:eastAsia="Arial" w:hAnsi="Arial"/>
          <w:sz w:val="43"/>
          <w:szCs w:val="43"/>
          <w:b w:val="1"/>
          <w:bCs w:val="1"/>
          <w:color w:val="798297"/>
        </w:rPr>
        <w:t>Fellow Stockholder</w:t>
      </w:r>
    </w:p>
    <w:p>
      <w:pPr>
        <w:spacing w:after="0" w:line="235" w:lineRule="auto"/>
        <w:rPr>
          <w:sz w:val="20"/>
          <w:szCs w:val="20"/>
          <w:color w:val="auto"/>
        </w:rPr>
      </w:pPr>
      <w:r>
        <w:rPr>
          <w:rFonts w:ascii="Arial" w:cs="Arial" w:eastAsia="Arial" w:hAnsi="Arial"/>
          <w:sz w:val="22"/>
          <w:szCs w:val="22"/>
          <w:b w:val="1"/>
          <w:bCs w:val="1"/>
          <w:color w:val="41516E"/>
        </w:rPr>
        <w:t>Jim Koch</w:t>
      </w:r>
    </w:p>
    <w:p>
      <w:pPr>
        <w:spacing w:after="0" w:line="235" w:lineRule="auto"/>
        <w:rPr>
          <w:sz w:val="20"/>
          <w:szCs w:val="20"/>
          <w:color w:val="auto"/>
        </w:rPr>
      </w:pPr>
      <w:r>
        <w:rPr>
          <w:rFonts w:ascii="Arial" w:cs="Arial" w:eastAsia="Arial" w:hAnsi="Arial"/>
          <w:sz w:val="18"/>
          <w:szCs w:val="18"/>
          <w:b w:val="1"/>
          <w:bCs w:val="1"/>
          <w:color w:val="41516E"/>
        </w:rPr>
        <w:t>Founder, Brewer, and Chairman of the 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41516E"/>
        </w:rPr>
        <w:t>March 28, 2024</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It is my pleasure to invite you to attend our 2024 Annual Meeting of Stockholders on Tuesday, May 7, 2024, at 3:00 p.m. ET at our Samuel Adams Boston Taproom, located at 60 State Street in Boston, Massachusetts. At the Annual Meeting you will be asked to elect three Class A Directors and cast an advisory vote on executive compensation. As the holder of the voting rights of the Company’s Class B Common Stock, I will elect five Class B Directors, with a sixth Class B seat remaining vacant pending the results of our search for a new independent Director, as discussed further below, and cast a vote to ratify the selection of our independent registered public accounting firm. As requested elsewhere in the accompanying materials, please submit your proxy as soon as possible.</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As you may have read in our Annual Report and will read in this Proxy Statement, we continue to have a broad portfolio of healthy brands that we believe will drive our growth into the future. We have the #1 flavored malt beverage in Twisted Tea, the #2 hard seltzer in Truly, the #1 hard cider in Angry Orchard, and two strong, established beer brands in Samuel Adams and Dogfish Head, as well as some exciting new innovations on the horizon. We are proud to have again been named the number one beer industry supplier in the Tamarron Survey in 2023, the annual poll of beer distributors conducted by Tamarron Consulting, a consulting firm specializing in alcohol beverage distribution. It was our sixth number one ranking in a row and twelfth in the last fourteen years.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41516E"/>
        </w:rPr>
        <w:t>We have experienced a few changes to our leadership team since last year’s Proxy Statement.</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The most recent change was our CEO Dave Burwick’s decision to step down from that post and from the Board, effective at the end of March, as we reported on February 27. As we also reported at that time, Dave will be succeeded as CEO by Michael Spillane, who has served on our Board since 2016. Michael is standing for reelection to the Board, but as a Class B Director, also succeeding Dave in that capacity. Cindy Swanson, who was appointed to the Board as a Class B Director last July 1 to fill the vacancy created by Michael Lynton’s decision not to stand for reelection is standing for reelection to the Board, but as a Class A Director. You will find details on Cindy’s background and qualifications to serve on our Board and on our other seven incumbent Directors who are up for reelection elsewhere in this Proxy Statement.</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In other changes, John Geist, our Chief Sales Officer, retired from that position effective December 31, 2023. While he will remain with the Company in a senior advisory role, we will miss the strength, leadership, and experience John brought heading our sales team over the last twenty-five years. We appointed Mike Crowley as our Chief Sales Officer effective January 1, 2024. Mike has significant industry experience – he has been with Boston Beer since November 1996, most recently serving in the role of Atlantic Division Senior Sales Director since 2014.</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41516E"/>
        </w:rPr>
        <w:t>Additionally, we added two new members to our Executive Leadership Team in 2023.</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In May, we hired Phil Hodges as our Chief Supply Chain Officer, overseeing the Company’s integrated supply chain, including brewery management, procurement, customer service, engineering, safety, quality, and planning. He has over 30 years of senior operations experience in the consumer-packaged goods industry. Prior to commencing the role of CSCO, Phil had been a supply chain management advisor to the Company since May 2022.</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In September, Diego Reynoso joined Boston Beer as our new Chief Financial Officer. Diego has over 25 years of experience in finance and operations in the alcoholic beverage and food industry. Most recently, he served as the Chief Financial Officer of the Prepared Foods division of Tyson Foods. From 2017 to 2021, he served as Senior Vice President and Chief Financial Officer of the $5 billion beer division of Constellation Brands.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At the Annual Meeting each year, it is always a pleasure for me to share Company news with you and, of course, samples of the products that we believe will support our long-term growth. More importantly, the meeting is an opportunity for you to ask questions and express opinions about the Company, regardless of the number of shares that you own. I am especially excited about holding the meeting at the Samuel Adams Boston Taproom again this year. We strongly encourage the use of public transportation due to parking limitations in the Faneuil Hall area.</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41516E"/>
        </w:rPr>
        <w:t>The Proxy Statement and Boston Beer’s Annual Report for the fiscal year ended December 30, 2023 are available at investors.bostonbeer.com. On behalf of the Board of Directors and Boston Beer’s Executive Leadership Team, I thank you for your continued confidence and support of Boston Beer and our products.</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6"/>
          <w:szCs w:val="16"/>
          <w:color w:val="41516E"/>
        </w:rPr>
        <w:t>Cheers!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132080</wp:posOffset>
            </wp:positionV>
            <wp:extent cx="1765935"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659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6"/>
          <w:szCs w:val="16"/>
          <w:color w:val="41516E"/>
        </w:rPr>
        <w:t>Jim Koch</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41516E"/>
        </w:rPr>
        <w:t>Founder, Brewer,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76"/>
          <w:szCs w:val="76"/>
          <w:b w:val="1"/>
          <w:bCs w:val="1"/>
          <w:color w:val="41516E"/>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t xml:space="preserve">Notice </w:t>
      </w:r>
      <w:r>
        <w:rPr>
          <w:rFonts w:ascii="Arial" w:cs="Arial" w:eastAsia="Arial" w:hAnsi="Arial"/>
          <w:sz w:val="50"/>
          <w:szCs w:val="50"/>
          <w:b w:val="1"/>
          <w:bCs w:val="1"/>
          <w:color w:val="798297"/>
        </w:rPr>
        <w:t>of the 2024</w:t>
      </w:r>
    </w:p>
    <w:p>
      <w:pPr>
        <w:spacing w:after="0" w:line="67" w:lineRule="exact"/>
        <w:rPr>
          <w:sz w:val="20"/>
          <w:szCs w:val="20"/>
          <w:color w:val="auto"/>
        </w:rPr>
      </w:pPr>
    </w:p>
    <w:p>
      <w:pPr>
        <w:spacing w:after="0"/>
        <w:rPr>
          <w:sz w:val="20"/>
          <w:szCs w:val="20"/>
          <w:color w:val="auto"/>
        </w:rPr>
      </w:pPr>
      <w:r>
        <w:rPr>
          <w:rFonts w:ascii="Arial" w:cs="Arial" w:eastAsia="Arial" w:hAnsi="Arial"/>
          <w:sz w:val="50"/>
          <w:szCs w:val="50"/>
          <w:b w:val="1"/>
          <w:bCs w:val="1"/>
          <w:color w:val="798297"/>
        </w:rPr>
        <w:t>Annual Meeting of Stockholders</w:t>
      </w:r>
    </w:p>
    <w:p>
      <w:pPr>
        <w:sectPr>
          <w:pgSz w:w="11900" w:h="16838" w:orient="portrait"/>
          <w:cols w:equalWidth="0" w:num="1">
            <w:col w:w="11240"/>
          </w:cols>
          <w:pgMar w:left="320" w:top="134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Meeting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May 7, 2024,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3:00 p.m. ET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Samuel Adams Boston Taproom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Faneuil Hall, 60 State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Boston, Massachusetts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To our Stockholders: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41516E"/>
        </w:rPr>
        <w:t>The 2024 Annual Meeting of the Stockholders (the “Annual Meeting”) of The Boston Beer Company, Inc. (“Boston Beer,” the “Company,” “we,” or “us”) will be held at the Samuel Adams Boston Taproom, Faneuil Hall, 60 State Street, Boston, Massachusetts at 3:00 p.m. ET on Tuesday, May 7, 2024.</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The Class A Stockholders will meet for the following purposes:</w:t>
      </w:r>
    </w:p>
    <w:p>
      <w:pPr>
        <w:spacing w:after="0" w:line="100" w:lineRule="exact"/>
        <w:rPr>
          <w:sz w:val="20"/>
          <w:szCs w:val="20"/>
          <w:color w:val="auto"/>
        </w:rPr>
      </w:pPr>
    </w:p>
    <w:p>
      <w:pPr>
        <w:ind w:left="340" w:right="20" w:hanging="332"/>
        <w:spacing w:after="0" w:line="286" w:lineRule="auto"/>
        <w:tabs>
          <w:tab w:leader="none" w:pos="340" w:val="left"/>
        </w:tabs>
        <w:numPr>
          <w:ilvl w:val="0"/>
          <w:numId w:val="1"/>
        </w:numPr>
        <w:rPr>
          <w:rFonts w:ascii="Arial" w:cs="Arial" w:eastAsia="Arial" w:hAnsi="Arial"/>
          <w:sz w:val="16"/>
          <w:szCs w:val="16"/>
          <w:b w:val="1"/>
          <w:bCs w:val="1"/>
          <w:color w:val="41516E"/>
        </w:rPr>
      </w:pPr>
      <w:r>
        <w:rPr>
          <w:rFonts w:ascii="Arial" w:cs="Arial" w:eastAsia="Arial" w:hAnsi="Arial"/>
          <w:sz w:val="16"/>
          <w:szCs w:val="16"/>
          <w:color w:val="41516E"/>
        </w:rPr>
        <w:t>For the election of the three (3) Class A Directors named in this Proxy Statement, each to serve for a term of one (1) year;</w:t>
      </w:r>
    </w:p>
    <w:p>
      <w:pPr>
        <w:spacing w:after="0" w:line="20" w:lineRule="exact"/>
        <w:rPr>
          <w:rFonts w:ascii="Arial" w:cs="Arial" w:eastAsia="Arial" w:hAnsi="Arial"/>
          <w:sz w:val="16"/>
          <w:szCs w:val="16"/>
          <w:b w:val="1"/>
          <w:bCs w:val="1"/>
          <w:color w:val="41516E"/>
        </w:rPr>
      </w:pPr>
    </w:p>
    <w:p>
      <w:pPr>
        <w:ind w:left="340" w:hanging="332"/>
        <w:spacing w:after="0" w:line="286" w:lineRule="auto"/>
        <w:tabs>
          <w:tab w:leader="none" w:pos="340" w:val="left"/>
        </w:tabs>
        <w:numPr>
          <w:ilvl w:val="0"/>
          <w:numId w:val="1"/>
        </w:numPr>
        <w:rPr>
          <w:rFonts w:ascii="Arial" w:cs="Arial" w:eastAsia="Arial" w:hAnsi="Arial"/>
          <w:sz w:val="16"/>
          <w:szCs w:val="16"/>
          <w:b w:val="1"/>
          <w:bCs w:val="1"/>
          <w:color w:val="41516E"/>
        </w:rPr>
      </w:pPr>
      <w:r>
        <w:rPr>
          <w:rFonts w:ascii="Arial" w:cs="Arial" w:eastAsia="Arial" w:hAnsi="Arial"/>
          <w:sz w:val="16"/>
          <w:szCs w:val="16"/>
          <w:color w:val="41516E"/>
        </w:rPr>
        <w:t>To conduct an advisory vote regarding the compensation of our Named Executive Officers; and</w:t>
      </w:r>
    </w:p>
    <w:p>
      <w:pPr>
        <w:spacing w:after="0" w:line="20" w:lineRule="exact"/>
        <w:rPr>
          <w:rFonts w:ascii="Arial" w:cs="Arial" w:eastAsia="Arial" w:hAnsi="Arial"/>
          <w:sz w:val="16"/>
          <w:szCs w:val="16"/>
          <w:b w:val="1"/>
          <w:bCs w:val="1"/>
          <w:color w:val="41516E"/>
        </w:rPr>
      </w:pPr>
    </w:p>
    <w:p>
      <w:pPr>
        <w:ind w:left="340" w:hanging="332"/>
        <w:spacing w:after="0" w:line="286" w:lineRule="auto"/>
        <w:tabs>
          <w:tab w:leader="none" w:pos="340" w:val="left"/>
        </w:tabs>
        <w:numPr>
          <w:ilvl w:val="0"/>
          <w:numId w:val="1"/>
        </w:numPr>
        <w:rPr>
          <w:rFonts w:ascii="Arial" w:cs="Arial" w:eastAsia="Arial" w:hAnsi="Arial"/>
          <w:sz w:val="16"/>
          <w:szCs w:val="16"/>
          <w:b w:val="1"/>
          <w:bCs w:val="1"/>
          <w:color w:val="41516E"/>
        </w:rPr>
      </w:pPr>
      <w:r>
        <w:rPr>
          <w:rFonts w:ascii="Arial" w:cs="Arial" w:eastAsia="Arial" w:hAnsi="Arial"/>
          <w:sz w:val="16"/>
          <w:szCs w:val="16"/>
          <w:color w:val="41516E"/>
        </w:rPr>
        <w:t>To consider and act upon any other business that may properly come before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The Class B Stockholder will attend for the following purposes:</w:t>
      </w:r>
    </w:p>
    <w:p>
      <w:pPr>
        <w:spacing w:after="0" w:line="100" w:lineRule="exact"/>
        <w:rPr>
          <w:sz w:val="20"/>
          <w:szCs w:val="20"/>
          <w:color w:val="auto"/>
        </w:rPr>
      </w:pPr>
    </w:p>
    <w:p>
      <w:pPr>
        <w:ind w:left="340" w:right="20" w:hanging="331"/>
        <w:spacing w:after="0" w:line="286" w:lineRule="auto"/>
        <w:tabs>
          <w:tab w:leader="none" w:pos="340" w:val="left"/>
        </w:tabs>
        <w:numPr>
          <w:ilvl w:val="0"/>
          <w:numId w:val="2"/>
        </w:numPr>
        <w:rPr>
          <w:rFonts w:ascii="Arial" w:cs="Arial" w:eastAsia="Arial" w:hAnsi="Arial"/>
          <w:sz w:val="16"/>
          <w:szCs w:val="16"/>
          <w:b w:val="1"/>
          <w:bCs w:val="1"/>
          <w:color w:val="41516E"/>
        </w:rPr>
      </w:pPr>
      <w:r>
        <w:rPr>
          <w:rFonts w:ascii="Arial" w:cs="Arial" w:eastAsia="Arial" w:hAnsi="Arial"/>
          <w:sz w:val="16"/>
          <w:szCs w:val="16"/>
          <w:color w:val="41516E"/>
        </w:rPr>
        <w:t>For the election of up to six (6) Class B Directors, each to serve for a term of one (1) year;</w:t>
      </w:r>
    </w:p>
    <w:p>
      <w:pPr>
        <w:spacing w:after="0" w:line="20" w:lineRule="exact"/>
        <w:rPr>
          <w:rFonts w:ascii="Arial" w:cs="Arial" w:eastAsia="Arial" w:hAnsi="Arial"/>
          <w:sz w:val="16"/>
          <w:szCs w:val="16"/>
          <w:b w:val="1"/>
          <w:bCs w:val="1"/>
          <w:color w:val="41516E"/>
        </w:rPr>
      </w:pPr>
    </w:p>
    <w:p>
      <w:pPr>
        <w:jc w:val="both"/>
        <w:ind w:left="340" w:right="20" w:hanging="331"/>
        <w:spacing w:after="0" w:line="266" w:lineRule="auto"/>
        <w:tabs>
          <w:tab w:leader="none" w:pos="340" w:val="left"/>
        </w:tabs>
        <w:numPr>
          <w:ilvl w:val="0"/>
          <w:numId w:val="2"/>
        </w:numPr>
        <w:rPr>
          <w:rFonts w:ascii="Arial" w:cs="Arial" w:eastAsia="Arial" w:hAnsi="Arial"/>
          <w:sz w:val="16"/>
          <w:szCs w:val="16"/>
          <w:b w:val="1"/>
          <w:bCs w:val="1"/>
          <w:color w:val="41516E"/>
        </w:rPr>
      </w:pPr>
      <w:r>
        <w:rPr>
          <w:rFonts w:ascii="Arial" w:cs="Arial" w:eastAsia="Arial" w:hAnsi="Arial"/>
          <w:sz w:val="16"/>
          <w:szCs w:val="16"/>
          <w:color w:val="41516E"/>
        </w:rPr>
        <w:t>To ratify the selection of Deloitte &amp; Touche LLP as our independent registered public accounting firm for the 52-week fiscal year ending December 28, 2024 (“Fiscal Year 2024”); and</w:t>
      </w:r>
    </w:p>
    <w:p>
      <w:pPr>
        <w:spacing w:after="0" w:line="36" w:lineRule="exact"/>
        <w:rPr>
          <w:rFonts w:ascii="Arial" w:cs="Arial" w:eastAsia="Arial" w:hAnsi="Arial"/>
          <w:sz w:val="16"/>
          <w:szCs w:val="16"/>
          <w:b w:val="1"/>
          <w:bCs w:val="1"/>
          <w:color w:val="41516E"/>
        </w:rPr>
      </w:pPr>
    </w:p>
    <w:p>
      <w:pPr>
        <w:ind w:left="340" w:hanging="331"/>
        <w:spacing w:after="0" w:line="286" w:lineRule="auto"/>
        <w:tabs>
          <w:tab w:leader="none" w:pos="340" w:val="left"/>
        </w:tabs>
        <w:numPr>
          <w:ilvl w:val="0"/>
          <w:numId w:val="2"/>
        </w:numPr>
        <w:rPr>
          <w:rFonts w:ascii="Arial" w:cs="Arial" w:eastAsia="Arial" w:hAnsi="Arial"/>
          <w:sz w:val="16"/>
          <w:szCs w:val="16"/>
          <w:b w:val="1"/>
          <w:bCs w:val="1"/>
          <w:color w:val="41516E"/>
        </w:rPr>
      </w:pPr>
      <w:r>
        <w:rPr>
          <w:rFonts w:ascii="Arial" w:cs="Arial" w:eastAsia="Arial" w:hAnsi="Arial"/>
          <w:sz w:val="16"/>
          <w:szCs w:val="16"/>
          <w:color w:val="41516E"/>
        </w:rPr>
        <w:t>To consider and act upon any other business that may properly come before the meeting.</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These items of business are more fully described in the Proxy Statement accompanying this Notice. The Board of Directors fixed the close of business on March 13, 2024 as the Record Date for the meeting. Only Stockholders of Record on the Record Date are entitled to notice of and to vote at the meeting.</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41516E"/>
        </w:rPr>
        <w:t>YOUR VOTE IS VERY IMPORTANT. WHETHER OR NOT YOU PLAN TO ATTEND THE MEETING, PLEASE SUBMIT YOUR PROXY OR VOTING INSTRUCTIONS AS SOON AS POSSIBLE.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41516E"/>
        </w:rPr>
        <w:t>You may submit your proxy: (1) by mail using a proxy card; (2) by calling the toll-free number listed on your proxy card; or (3) through the internet, as described in the enclosed materials. If you receive more than one proxy because you own shares registered in different names or addresses, each proxy should be voted. This Proxy Statement and the accompanying proxy are being distributed on or about March 28, 2024.</w:t>
      </w:r>
    </w:p>
    <w:p>
      <w:pPr>
        <w:spacing w:after="0" w:line="157" w:lineRule="exact"/>
        <w:rPr>
          <w:sz w:val="20"/>
          <w:szCs w:val="20"/>
          <w:color w:val="auto"/>
        </w:rPr>
      </w:pPr>
    </w:p>
    <w:p>
      <w:pPr>
        <w:ind w:left="2940"/>
        <w:spacing w:after="0"/>
        <w:rPr>
          <w:sz w:val="20"/>
          <w:szCs w:val="20"/>
          <w:color w:val="auto"/>
        </w:rPr>
      </w:pPr>
      <w:r>
        <w:rPr>
          <w:rFonts w:ascii="Arial" w:cs="Arial" w:eastAsia="Arial" w:hAnsi="Arial"/>
          <w:sz w:val="16"/>
          <w:szCs w:val="16"/>
          <w:color w:val="41516E"/>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132080</wp:posOffset>
            </wp:positionV>
            <wp:extent cx="1731645"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164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left="1780"/>
        <w:spacing w:after="0" w:line="275" w:lineRule="auto"/>
        <w:rPr>
          <w:sz w:val="20"/>
          <w:szCs w:val="20"/>
          <w:color w:val="auto"/>
        </w:rPr>
      </w:pPr>
      <w:r>
        <w:rPr>
          <w:rFonts w:ascii="Arial" w:cs="Arial" w:eastAsia="Arial" w:hAnsi="Arial"/>
          <w:sz w:val="16"/>
          <w:szCs w:val="16"/>
          <w:b w:val="1"/>
          <w:bCs w:val="1"/>
          <w:color w:val="41516E"/>
        </w:rPr>
        <w:t xml:space="preserve">MICHAEL G. ANDREWS </w:t>
      </w:r>
      <w:r>
        <w:rPr>
          <w:rFonts w:ascii="Arial" w:cs="Arial" w:eastAsia="Arial" w:hAnsi="Arial"/>
          <w:sz w:val="16"/>
          <w:szCs w:val="16"/>
          <w:i w:val="1"/>
          <w:iCs w:val="1"/>
          <w:color w:val="41516E"/>
        </w:rPr>
        <w:t xml:space="preserve">Associate General Counsel &amp; Corporate Secretary </w:t>
      </w:r>
      <w:r>
        <w:rPr>
          <w:rFonts w:ascii="Arial" w:cs="Arial" w:eastAsia="Arial" w:hAnsi="Arial"/>
          <w:sz w:val="16"/>
          <w:szCs w:val="16"/>
          <w:color w:val="41516E"/>
        </w:rPr>
        <w:t>March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497840</wp:posOffset>
            </wp:positionV>
            <wp:extent cx="7127875" cy="2199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2199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40"/>
            <w:col w:w="5400"/>
          </w:cols>
          <w:pgMar w:left="320" w:top="13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1516E"/>
        </w:rPr>
        <w:t>Important Notice Regarding the Availability of Proxy Materials for the Annual Meeting of Stockholders to be Held on May 7, 2024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2900" w:type="dxa"/>
            <w:vAlign w:val="bottom"/>
          </w:tcPr>
          <w:p>
            <w:pPr>
              <w:jc w:val="center"/>
              <w:ind w:right="179"/>
              <w:spacing w:after="0"/>
              <w:rPr>
                <w:sz w:val="20"/>
                <w:szCs w:val="20"/>
                <w:color w:val="auto"/>
              </w:rPr>
            </w:pPr>
            <w:r>
              <w:rPr>
                <w:rFonts w:ascii="Arial" w:cs="Arial" w:eastAsia="Arial" w:hAnsi="Arial"/>
                <w:sz w:val="16"/>
                <w:szCs w:val="16"/>
                <w:b w:val="1"/>
                <w:bCs w:val="1"/>
                <w:color w:val="41516E"/>
              </w:rPr>
              <w:t>BY INTERNET</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41516E"/>
              </w:rPr>
              <w:t>BY TELEPHONE</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41516E"/>
              </w:rPr>
              <w:t>BY MAIL</w:t>
            </w:r>
          </w:p>
        </w:tc>
        <w:tc>
          <w:tcPr>
            <w:tcW w:w="2980" w:type="dxa"/>
            <w:vAlign w:val="bottom"/>
          </w:tcPr>
          <w:p>
            <w:pPr>
              <w:jc w:val="center"/>
              <w:ind w:left="139"/>
              <w:spacing w:after="0"/>
              <w:rPr>
                <w:sz w:val="20"/>
                <w:szCs w:val="20"/>
                <w:color w:val="auto"/>
              </w:rPr>
            </w:pPr>
            <w:r>
              <w:rPr>
                <w:rFonts w:ascii="Arial" w:cs="Arial" w:eastAsia="Arial" w:hAnsi="Arial"/>
                <w:sz w:val="16"/>
                <w:szCs w:val="16"/>
                <w:b w:val="1"/>
                <w:bCs w:val="1"/>
                <w:color w:val="41516E"/>
              </w:rPr>
              <w:t>AT THE ANNUAL MEETING</w:t>
            </w:r>
          </w:p>
        </w:tc>
      </w:tr>
      <w:tr>
        <w:trPr>
          <w:trHeight w:val="250"/>
        </w:trPr>
        <w:tc>
          <w:tcPr>
            <w:tcW w:w="2900" w:type="dxa"/>
            <w:vAlign w:val="bottom"/>
          </w:tcPr>
          <w:p>
            <w:pPr>
              <w:jc w:val="center"/>
              <w:ind w:right="179"/>
              <w:spacing w:after="0"/>
              <w:rPr>
                <w:sz w:val="20"/>
                <w:szCs w:val="20"/>
                <w:color w:val="auto"/>
              </w:rPr>
            </w:pPr>
            <w:r>
              <w:rPr>
                <w:rFonts w:ascii="Arial" w:cs="Arial" w:eastAsia="Arial" w:hAnsi="Arial"/>
                <w:sz w:val="16"/>
                <w:szCs w:val="16"/>
                <w:color w:val="41516E"/>
              </w:rPr>
              <w:t>You may vote your shares via the</w:t>
            </w:r>
          </w:p>
        </w:tc>
        <w:tc>
          <w:tcPr>
            <w:tcW w:w="2400" w:type="dxa"/>
            <w:vAlign w:val="bottom"/>
          </w:tcPr>
          <w:p>
            <w:pPr>
              <w:jc w:val="center"/>
              <w:spacing w:after="0"/>
              <w:rPr>
                <w:sz w:val="20"/>
                <w:szCs w:val="20"/>
                <w:color w:val="auto"/>
              </w:rPr>
            </w:pPr>
            <w:r>
              <w:rPr>
                <w:rFonts w:ascii="Arial" w:cs="Arial" w:eastAsia="Arial" w:hAnsi="Arial"/>
                <w:sz w:val="16"/>
                <w:szCs w:val="16"/>
                <w:color w:val="41516E"/>
              </w:rPr>
              <w:t>You may vote your shares</w:t>
            </w:r>
          </w:p>
        </w:tc>
        <w:tc>
          <w:tcPr>
            <w:tcW w:w="2380" w:type="dxa"/>
            <w:vAlign w:val="bottom"/>
          </w:tcPr>
          <w:p>
            <w:pPr>
              <w:jc w:val="center"/>
              <w:spacing w:after="0"/>
              <w:rPr>
                <w:sz w:val="20"/>
                <w:szCs w:val="20"/>
                <w:color w:val="auto"/>
              </w:rPr>
            </w:pPr>
            <w:r>
              <w:rPr>
                <w:rFonts w:ascii="Arial" w:cs="Arial" w:eastAsia="Arial" w:hAnsi="Arial"/>
                <w:sz w:val="16"/>
                <w:szCs w:val="16"/>
                <w:color w:val="41516E"/>
              </w:rPr>
              <w:t>If you received printed</w:t>
            </w:r>
          </w:p>
        </w:tc>
        <w:tc>
          <w:tcPr>
            <w:tcW w:w="2980" w:type="dxa"/>
            <w:vAlign w:val="bottom"/>
          </w:tcPr>
          <w:p>
            <w:pPr>
              <w:jc w:val="center"/>
              <w:ind w:left="139"/>
              <w:spacing w:after="0"/>
              <w:rPr>
                <w:sz w:val="20"/>
                <w:szCs w:val="20"/>
                <w:color w:val="auto"/>
              </w:rPr>
            </w:pPr>
            <w:r>
              <w:rPr>
                <w:rFonts w:ascii="Arial" w:cs="Arial" w:eastAsia="Arial" w:hAnsi="Arial"/>
                <w:sz w:val="16"/>
                <w:szCs w:val="16"/>
                <w:color w:val="41516E"/>
              </w:rPr>
              <w:t>You may vote in person at the Annual</w:t>
            </w:r>
          </w:p>
        </w:tc>
      </w:tr>
      <w:tr>
        <w:trPr>
          <w:trHeight w:val="189"/>
        </w:trPr>
        <w:tc>
          <w:tcPr>
            <w:tcW w:w="2900" w:type="dxa"/>
            <w:vAlign w:val="bottom"/>
          </w:tcPr>
          <w:p>
            <w:pPr>
              <w:jc w:val="center"/>
              <w:ind w:right="179"/>
              <w:spacing w:after="0"/>
              <w:rPr>
                <w:sz w:val="20"/>
                <w:szCs w:val="20"/>
                <w:color w:val="auto"/>
              </w:rPr>
            </w:pPr>
            <w:r>
              <w:rPr>
                <w:rFonts w:ascii="Arial" w:cs="Arial" w:eastAsia="Arial" w:hAnsi="Arial"/>
                <w:sz w:val="16"/>
                <w:szCs w:val="16"/>
                <w:color w:val="41516E"/>
              </w:rPr>
              <w:t>internet by following the instructions</w:t>
            </w:r>
          </w:p>
        </w:tc>
        <w:tc>
          <w:tcPr>
            <w:tcW w:w="2400" w:type="dxa"/>
            <w:vAlign w:val="bottom"/>
          </w:tcPr>
          <w:p>
            <w:pPr>
              <w:jc w:val="center"/>
              <w:spacing w:after="0"/>
              <w:rPr>
                <w:sz w:val="20"/>
                <w:szCs w:val="20"/>
                <w:color w:val="auto"/>
              </w:rPr>
            </w:pPr>
            <w:r>
              <w:rPr>
                <w:rFonts w:ascii="Arial" w:cs="Arial" w:eastAsia="Arial" w:hAnsi="Arial"/>
                <w:sz w:val="16"/>
                <w:szCs w:val="16"/>
                <w:color w:val="41516E"/>
              </w:rPr>
              <w:t>by telephone by following</w:t>
            </w:r>
          </w:p>
        </w:tc>
        <w:tc>
          <w:tcPr>
            <w:tcW w:w="2380" w:type="dxa"/>
            <w:vAlign w:val="bottom"/>
          </w:tcPr>
          <w:p>
            <w:pPr>
              <w:jc w:val="center"/>
              <w:spacing w:after="0"/>
              <w:rPr>
                <w:sz w:val="20"/>
                <w:szCs w:val="20"/>
                <w:color w:val="auto"/>
              </w:rPr>
            </w:pPr>
            <w:r>
              <w:rPr>
                <w:rFonts w:ascii="Arial" w:cs="Arial" w:eastAsia="Arial" w:hAnsi="Arial"/>
                <w:sz w:val="16"/>
                <w:szCs w:val="16"/>
                <w:color w:val="41516E"/>
              </w:rPr>
              <w:t>copies of the Proxy</w:t>
            </w:r>
          </w:p>
        </w:tc>
        <w:tc>
          <w:tcPr>
            <w:tcW w:w="2980" w:type="dxa"/>
            <w:vAlign w:val="bottom"/>
          </w:tcPr>
          <w:p>
            <w:pPr>
              <w:jc w:val="center"/>
              <w:ind w:left="159"/>
              <w:spacing w:after="0"/>
              <w:rPr>
                <w:sz w:val="20"/>
                <w:szCs w:val="20"/>
                <w:color w:val="auto"/>
              </w:rPr>
            </w:pPr>
            <w:r>
              <w:rPr>
                <w:rFonts w:ascii="Arial" w:cs="Arial" w:eastAsia="Arial" w:hAnsi="Arial"/>
                <w:sz w:val="16"/>
                <w:szCs w:val="16"/>
                <w:color w:val="41516E"/>
              </w:rPr>
              <w:t>Meeting. If you voted via proxy before</w:t>
            </w:r>
          </w:p>
        </w:tc>
      </w:tr>
      <w:tr>
        <w:trPr>
          <w:trHeight w:val="189"/>
        </w:trPr>
        <w:tc>
          <w:tcPr>
            <w:tcW w:w="2900" w:type="dxa"/>
            <w:vAlign w:val="bottom"/>
          </w:tcPr>
          <w:p>
            <w:pPr>
              <w:jc w:val="center"/>
              <w:ind w:right="159"/>
              <w:spacing w:after="0"/>
              <w:rPr>
                <w:sz w:val="20"/>
                <w:szCs w:val="20"/>
                <w:color w:val="auto"/>
              </w:rPr>
            </w:pPr>
            <w:r>
              <w:rPr>
                <w:rFonts w:ascii="Arial" w:cs="Arial" w:eastAsia="Arial" w:hAnsi="Arial"/>
                <w:sz w:val="16"/>
                <w:szCs w:val="16"/>
                <w:color w:val="41516E"/>
              </w:rPr>
              <w:t>provided in the Notice. To vote by the</w:t>
            </w:r>
          </w:p>
        </w:tc>
        <w:tc>
          <w:tcPr>
            <w:tcW w:w="2400" w:type="dxa"/>
            <w:vAlign w:val="bottom"/>
          </w:tcPr>
          <w:p>
            <w:pPr>
              <w:jc w:val="center"/>
              <w:spacing w:after="0"/>
              <w:rPr>
                <w:sz w:val="20"/>
                <w:szCs w:val="20"/>
                <w:color w:val="auto"/>
              </w:rPr>
            </w:pPr>
            <w:r>
              <w:rPr>
                <w:rFonts w:ascii="Arial" w:cs="Arial" w:eastAsia="Arial" w:hAnsi="Arial"/>
                <w:sz w:val="16"/>
                <w:szCs w:val="16"/>
                <w:color w:val="41516E"/>
              </w:rPr>
              <w:t>the instructions provided in</w:t>
            </w:r>
          </w:p>
        </w:tc>
        <w:tc>
          <w:tcPr>
            <w:tcW w:w="2380" w:type="dxa"/>
            <w:vAlign w:val="bottom"/>
          </w:tcPr>
          <w:p>
            <w:pPr>
              <w:jc w:val="center"/>
              <w:spacing w:after="0"/>
              <w:rPr>
                <w:sz w:val="20"/>
                <w:szCs w:val="20"/>
                <w:color w:val="auto"/>
              </w:rPr>
            </w:pPr>
            <w:r>
              <w:rPr>
                <w:rFonts w:ascii="Arial" w:cs="Arial" w:eastAsia="Arial" w:hAnsi="Arial"/>
                <w:sz w:val="16"/>
                <w:szCs w:val="16"/>
                <w:color w:val="41516E"/>
              </w:rPr>
              <w:t>Materials, you may vote by</w:t>
            </w:r>
          </w:p>
        </w:tc>
        <w:tc>
          <w:tcPr>
            <w:tcW w:w="2980" w:type="dxa"/>
            <w:vAlign w:val="bottom"/>
          </w:tcPr>
          <w:p>
            <w:pPr>
              <w:jc w:val="center"/>
              <w:ind w:left="159"/>
              <w:spacing w:after="0"/>
              <w:rPr>
                <w:sz w:val="20"/>
                <w:szCs w:val="20"/>
                <w:color w:val="auto"/>
              </w:rPr>
            </w:pPr>
            <w:r>
              <w:rPr>
                <w:rFonts w:ascii="Arial" w:cs="Arial" w:eastAsia="Arial" w:hAnsi="Arial"/>
                <w:sz w:val="16"/>
                <w:szCs w:val="16"/>
                <w:color w:val="41516E"/>
              </w:rPr>
              <w:t>the meeting, you must revoke it in</w:t>
            </w:r>
          </w:p>
        </w:tc>
      </w:tr>
      <w:tr>
        <w:trPr>
          <w:trHeight w:val="189"/>
        </w:trPr>
        <w:tc>
          <w:tcPr>
            <w:tcW w:w="2900" w:type="dxa"/>
            <w:vAlign w:val="bottom"/>
          </w:tcPr>
          <w:p>
            <w:pPr>
              <w:jc w:val="center"/>
              <w:ind w:right="179"/>
              <w:spacing w:after="0"/>
              <w:rPr>
                <w:sz w:val="20"/>
                <w:szCs w:val="20"/>
                <w:color w:val="auto"/>
              </w:rPr>
            </w:pPr>
            <w:r>
              <w:rPr>
                <w:rFonts w:ascii="Arial" w:cs="Arial" w:eastAsia="Arial" w:hAnsi="Arial"/>
                <w:sz w:val="16"/>
                <w:szCs w:val="16"/>
                <w:color w:val="41516E"/>
              </w:rPr>
              <w:t>internet, go to</w:t>
            </w:r>
          </w:p>
        </w:tc>
        <w:tc>
          <w:tcPr>
            <w:tcW w:w="2400" w:type="dxa"/>
            <w:vAlign w:val="bottom"/>
          </w:tcPr>
          <w:p>
            <w:pPr>
              <w:jc w:val="center"/>
              <w:spacing w:after="0"/>
              <w:rPr>
                <w:sz w:val="20"/>
                <w:szCs w:val="20"/>
                <w:color w:val="auto"/>
              </w:rPr>
            </w:pPr>
            <w:r>
              <w:rPr>
                <w:rFonts w:ascii="Arial" w:cs="Arial" w:eastAsia="Arial" w:hAnsi="Arial"/>
                <w:sz w:val="16"/>
                <w:szCs w:val="16"/>
                <w:color w:val="41516E"/>
              </w:rPr>
              <w:t>the Notice. To vote by</w:t>
            </w:r>
          </w:p>
        </w:tc>
        <w:tc>
          <w:tcPr>
            <w:tcW w:w="2380" w:type="dxa"/>
            <w:vAlign w:val="bottom"/>
          </w:tcPr>
          <w:p>
            <w:pPr>
              <w:jc w:val="center"/>
              <w:spacing w:after="0"/>
              <w:rPr>
                <w:sz w:val="20"/>
                <w:szCs w:val="20"/>
                <w:color w:val="auto"/>
              </w:rPr>
            </w:pPr>
            <w:r>
              <w:rPr>
                <w:rFonts w:ascii="Arial" w:cs="Arial" w:eastAsia="Arial" w:hAnsi="Arial"/>
                <w:sz w:val="16"/>
                <w:szCs w:val="16"/>
                <w:color w:val="41516E"/>
              </w:rPr>
              <w:t>completing, signing, and</w:t>
            </w:r>
          </w:p>
        </w:tc>
        <w:tc>
          <w:tcPr>
            <w:tcW w:w="2980" w:type="dxa"/>
            <w:vAlign w:val="bottom"/>
          </w:tcPr>
          <w:p>
            <w:pPr>
              <w:jc w:val="center"/>
              <w:ind w:left="159"/>
              <w:spacing w:after="0"/>
              <w:rPr>
                <w:sz w:val="20"/>
                <w:szCs w:val="20"/>
                <w:color w:val="auto"/>
              </w:rPr>
            </w:pPr>
            <w:r>
              <w:rPr>
                <w:rFonts w:ascii="Arial" w:cs="Arial" w:eastAsia="Arial" w:hAnsi="Arial"/>
                <w:sz w:val="16"/>
                <w:szCs w:val="16"/>
                <w:color w:val="41516E"/>
              </w:rPr>
              <w:t>order to vote in person. If you need to</w:t>
            </w:r>
          </w:p>
        </w:tc>
      </w:tr>
      <w:tr>
        <w:trPr>
          <w:trHeight w:val="189"/>
        </w:trPr>
        <w:tc>
          <w:tcPr>
            <w:tcW w:w="2900" w:type="dxa"/>
            <w:vAlign w:val="bottom"/>
          </w:tcPr>
          <w:p>
            <w:pPr>
              <w:jc w:val="center"/>
              <w:ind w:right="179"/>
              <w:spacing w:after="0"/>
              <w:rPr>
                <w:sz w:val="20"/>
                <w:szCs w:val="20"/>
                <w:color w:val="auto"/>
              </w:rPr>
            </w:pPr>
            <w:r>
              <w:rPr>
                <w:rFonts w:ascii="Arial" w:cs="Arial" w:eastAsia="Arial" w:hAnsi="Arial"/>
                <w:sz w:val="16"/>
                <w:szCs w:val="16"/>
                <w:color w:val="41516E"/>
              </w:rPr>
              <w:t>www.envisionreports/sam and follow</w:t>
            </w:r>
          </w:p>
        </w:tc>
        <w:tc>
          <w:tcPr>
            <w:tcW w:w="2400" w:type="dxa"/>
            <w:vAlign w:val="bottom"/>
          </w:tcPr>
          <w:p>
            <w:pPr>
              <w:jc w:val="center"/>
              <w:spacing w:after="0"/>
              <w:rPr>
                <w:sz w:val="20"/>
                <w:szCs w:val="20"/>
                <w:color w:val="auto"/>
              </w:rPr>
            </w:pPr>
            <w:r>
              <w:rPr>
                <w:rFonts w:ascii="Arial" w:cs="Arial" w:eastAsia="Arial" w:hAnsi="Arial"/>
                <w:sz w:val="16"/>
                <w:szCs w:val="16"/>
                <w:color w:val="41516E"/>
              </w:rPr>
              <w:t>telephone, call toll free at</w:t>
            </w:r>
          </w:p>
        </w:tc>
        <w:tc>
          <w:tcPr>
            <w:tcW w:w="2380" w:type="dxa"/>
            <w:vAlign w:val="bottom"/>
          </w:tcPr>
          <w:p>
            <w:pPr>
              <w:jc w:val="center"/>
              <w:spacing w:after="0"/>
              <w:rPr>
                <w:sz w:val="20"/>
                <w:szCs w:val="20"/>
                <w:color w:val="auto"/>
              </w:rPr>
            </w:pPr>
            <w:r>
              <w:rPr>
                <w:rFonts w:ascii="Arial" w:cs="Arial" w:eastAsia="Arial" w:hAnsi="Arial"/>
                <w:sz w:val="16"/>
                <w:szCs w:val="16"/>
                <w:color w:val="41516E"/>
              </w:rPr>
              <w:t>dating the Proxy Card and</w:t>
            </w:r>
          </w:p>
        </w:tc>
        <w:tc>
          <w:tcPr>
            <w:tcW w:w="2980" w:type="dxa"/>
            <w:vAlign w:val="bottom"/>
          </w:tcPr>
          <w:p>
            <w:pPr>
              <w:jc w:val="center"/>
              <w:ind w:left="159"/>
              <w:spacing w:after="0"/>
              <w:rPr>
                <w:sz w:val="20"/>
                <w:szCs w:val="20"/>
                <w:color w:val="auto"/>
              </w:rPr>
            </w:pPr>
            <w:r>
              <w:rPr>
                <w:rFonts w:ascii="Arial" w:cs="Arial" w:eastAsia="Arial" w:hAnsi="Arial"/>
                <w:sz w:val="16"/>
                <w:szCs w:val="16"/>
                <w:color w:val="41516E"/>
              </w:rPr>
              <w:t>revoke your proxy, please consult with</w:t>
            </w:r>
          </w:p>
        </w:tc>
      </w:tr>
      <w:tr>
        <w:trPr>
          <w:trHeight w:val="189"/>
        </w:trPr>
        <w:tc>
          <w:tcPr>
            <w:tcW w:w="2900" w:type="dxa"/>
            <w:vAlign w:val="bottom"/>
          </w:tcPr>
          <w:p>
            <w:pPr>
              <w:jc w:val="center"/>
              <w:ind w:right="159"/>
              <w:spacing w:after="0"/>
              <w:rPr>
                <w:sz w:val="20"/>
                <w:szCs w:val="20"/>
                <w:color w:val="auto"/>
              </w:rPr>
            </w:pPr>
            <w:r>
              <w:rPr>
                <w:rFonts w:ascii="Arial" w:cs="Arial" w:eastAsia="Arial" w:hAnsi="Arial"/>
                <w:sz w:val="16"/>
                <w:szCs w:val="16"/>
                <w:color w:val="41516E"/>
              </w:rPr>
              <w:t>the steps outlined on the secured</w:t>
            </w:r>
          </w:p>
        </w:tc>
        <w:tc>
          <w:tcPr>
            <w:tcW w:w="2400" w:type="dxa"/>
            <w:vAlign w:val="bottom"/>
          </w:tcPr>
          <w:p>
            <w:pPr>
              <w:jc w:val="center"/>
              <w:spacing w:after="0"/>
              <w:rPr>
                <w:sz w:val="20"/>
                <w:szCs w:val="20"/>
                <w:color w:val="auto"/>
              </w:rPr>
            </w:pPr>
            <w:r>
              <w:rPr>
                <w:rFonts w:ascii="Arial" w:cs="Arial" w:eastAsia="Arial" w:hAnsi="Arial"/>
                <w:sz w:val="16"/>
                <w:szCs w:val="16"/>
                <w:color w:val="41516E"/>
              </w:rPr>
              <w:t>1-800-652-8683.</w:t>
            </w:r>
          </w:p>
        </w:tc>
        <w:tc>
          <w:tcPr>
            <w:tcW w:w="2380" w:type="dxa"/>
            <w:vAlign w:val="bottom"/>
          </w:tcPr>
          <w:p>
            <w:pPr>
              <w:jc w:val="center"/>
              <w:spacing w:after="0"/>
              <w:rPr>
                <w:sz w:val="20"/>
                <w:szCs w:val="20"/>
                <w:color w:val="auto"/>
              </w:rPr>
            </w:pPr>
            <w:r>
              <w:rPr>
                <w:rFonts w:ascii="Arial" w:cs="Arial" w:eastAsia="Arial" w:hAnsi="Arial"/>
                <w:sz w:val="16"/>
                <w:szCs w:val="16"/>
                <w:color w:val="41516E"/>
              </w:rPr>
              <w:t>returning it in the prepaid</w:t>
            </w:r>
          </w:p>
        </w:tc>
        <w:tc>
          <w:tcPr>
            <w:tcW w:w="2980" w:type="dxa"/>
            <w:vAlign w:val="bottom"/>
          </w:tcPr>
          <w:p>
            <w:pPr>
              <w:jc w:val="center"/>
              <w:ind w:left="159"/>
              <w:spacing w:after="0"/>
              <w:rPr>
                <w:sz w:val="20"/>
                <w:szCs w:val="20"/>
                <w:color w:val="auto"/>
              </w:rPr>
            </w:pPr>
            <w:r>
              <w:rPr>
                <w:rFonts w:ascii="Arial" w:cs="Arial" w:eastAsia="Arial" w:hAnsi="Arial"/>
                <w:sz w:val="16"/>
                <w:szCs w:val="16"/>
                <w:color w:val="41516E"/>
              </w:rPr>
              <w:t>a Boston Beer representative upon</w:t>
            </w:r>
          </w:p>
        </w:tc>
      </w:tr>
      <w:tr>
        <w:trPr>
          <w:trHeight w:val="215"/>
        </w:trPr>
        <w:tc>
          <w:tcPr>
            <w:tcW w:w="2900" w:type="dxa"/>
            <w:vAlign w:val="bottom"/>
          </w:tcPr>
          <w:p>
            <w:pPr>
              <w:jc w:val="center"/>
              <w:ind w:right="179"/>
              <w:spacing w:after="0"/>
              <w:rPr>
                <w:sz w:val="20"/>
                <w:szCs w:val="20"/>
                <w:color w:val="auto"/>
              </w:rPr>
            </w:pPr>
            <w:r>
              <w:rPr>
                <w:rFonts w:ascii="Arial" w:cs="Arial" w:eastAsia="Arial" w:hAnsi="Arial"/>
                <w:sz w:val="16"/>
                <w:szCs w:val="16"/>
                <w:color w:val="41516E"/>
              </w:rPr>
              <w:t>website.</w:t>
            </w:r>
          </w:p>
        </w:tc>
        <w:tc>
          <w:tcPr>
            <w:tcW w:w="24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6"/>
                <w:szCs w:val="16"/>
                <w:color w:val="41516E"/>
              </w:rPr>
              <w:t>envelope.</w:t>
            </w:r>
          </w:p>
        </w:tc>
        <w:tc>
          <w:tcPr>
            <w:tcW w:w="2980" w:type="dxa"/>
            <w:vAlign w:val="bottom"/>
          </w:tcPr>
          <w:p>
            <w:pPr>
              <w:jc w:val="center"/>
              <w:ind w:left="139"/>
              <w:spacing w:after="0"/>
              <w:rPr>
                <w:sz w:val="20"/>
                <w:szCs w:val="20"/>
                <w:color w:val="auto"/>
              </w:rPr>
            </w:pPr>
            <w:r>
              <w:rPr>
                <w:rFonts w:ascii="Arial" w:cs="Arial" w:eastAsia="Arial" w:hAnsi="Arial"/>
                <w:sz w:val="16"/>
                <w:szCs w:val="16"/>
                <w:color w:val="41516E"/>
              </w:rPr>
              <w:t>admission to the Annual Meeting.</w:t>
            </w:r>
          </w:p>
        </w:tc>
      </w:tr>
    </w:tbl>
    <w:p>
      <w:pPr>
        <w:spacing w:after="0" w:line="136" w:lineRule="exact"/>
        <w:rPr>
          <w:sz w:val="20"/>
          <w:szCs w:val="20"/>
          <w:color w:val="auto"/>
        </w:rPr>
      </w:pPr>
    </w:p>
    <w:p>
      <w:pPr>
        <w:jc w:val="center"/>
        <w:ind w:left="580" w:right="480"/>
        <w:spacing w:after="0" w:line="296" w:lineRule="auto"/>
        <w:rPr>
          <w:sz w:val="20"/>
          <w:szCs w:val="20"/>
          <w:color w:val="auto"/>
        </w:rPr>
      </w:pPr>
      <w:r>
        <w:rPr>
          <w:rFonts w:ascii="Arial" w:cs="Arial" w:eastAsia="Arial" w:hAnsi="Arial"/>
          <w:sz w:val="16"/>
          <w:szCs w:val="16"/>
          <w:b w:val="1"/>
          <w:bCs w:val="1"/>
          <w:color w:val="41516E"/>
        </w:rPr>
        <w:t>The Notice of Annual Meeting, Proxy Statement, and the Annual Report to Stockholders (the “Proxy Materials”) are available at investors.bostonbeer.com.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9"/>
          <w:szCs w:val="29"/>
          <w:b w:val="1"/>
          <w:bCs w:val="1"/>
          <w:color w:val="41516E"/>
        </w:rPr>
        <w:drawing>
          <wp:anchor simplePos="0" relativeHeight="251657728" behindDoc="1" locked="0" layoutInCell="0" allowOverlap="1">
            <wp:simplePos x="0" y="0"/>
            <wp:positionH relativeFrom="page">
              <wp:posOffset>206375</wp:posOffset>
            </wp:positionH>
            <wp:positionV relativeFrom="page">
              <wp:posOffset>266700</wp:posOffset>
            </wp:positionV>
            <wp:extent cx="7136130" cy="2018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018665"/>
                    </a:xfrm>
                    <a:prstGeom prst="rect">
                      <a:avLst/>
                    </a:prstGeom>
                    <a:noFill/>
                  </pic:spPr>
                </pic:pic>
              </a:graphicData>
            </a:graphic>
          </wp:anchor>
        </w:drawing>
        <w:t>YOUR VOTE IS IMPORTANT!</w:t>
      </w:r>
    </w:p>
    <w:p>
      <w:pPr>
        <w:spacing w:after="0" w:line="208"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color w:val="41516E"/>
        </w:rPr>
        <w:t>Whether or not you are able to attend our Annual Meeting, please vote as soon as reasonably possible. Under New York Stock Exchange rules, your broker will NOT be able to vote your shares unless they receive specific instructions from you. We strongly encourage you to vote.</w:t>
      </w:r>
    </w:p>
    <w:p>
      <w:pPr>
        <w:spacing w:after="0" w:line="155"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b w:val="1"/>
          <w:bCs w:val="1"/>
          <w:color w:val="41516E"/>
        </w:rPr>
        <w:t>We continue to be advised and a number of our stockholders have experienced that many states are strictly enforcing escheatment laws and requiring shares held in “inactive” accounts to be escheated to the state in which the stockholder was last known to reside. One way that you can ensure that your account remains “active” is to vote your shares.</w:t>
      </w:r>
    </w:p>
    <w:p>
      <w:pPr>
        <w:spacing w:after="0" w:line="145" w:lineRule="exact"/>
        <w:rPr>
          <w:sz w:val="20"/>
          <w:szCs w:val="20"/>
          <w:color w:val="auto"/>
        </w:rPr>
      </w:pPr>
    </w:p>
    <w:p>
      <w:pPr>
        <w:jc w:val="both"/>
        <w:ind w:left="120" w:right="100"/>
        <w:spacing w:after="0" w:line="247" w:lineRule="auto"/>
        <w:rPr>
          <w:sz w:val="20"/>
          <w:szCs w:val="20"/>
          <w:color w:val="auto"/>
        </w:rPr>
      </w:pPr>
      <w:r>
        <w:rPr>
          <w:rFonts w:ascii="Arial" w:cs="Arial" w:eastAsia="Arial" w:hAnsi="Arial"/>
          <w:sz w:val="18"/>
          <w:szCs w:val="18"/>
          <w:color w:val="41516E"/>
        </w:rPr>
        <w:t xml:space="preserve">We encourage you to vote via the internet or by telephone. It is convenient for you and saves the Company significant postage and processing costs. To vote via the internet, go to </w:t>
      </w:r>
      <w:r>
        <w:rPr>
          <w:rFonts w:ascii="Arial" w:cs="Arial" w:eastAsia="Arial" w:hAnsi="Arial"/>
          <w:sz w:val="18"/>
          <w:szCs w:val="18"/>
          <w:u w:val="single" w:color="auto"/>
          <w:color w:val="41516E"/>
        </w:rPr>
        <w:t>http://www.envisionreports/sam</w:t>
      </w:r>
      <w:r>
        <w:rPr>
          <w:rFonts w:ascii="Arial" w:cs="Arial" w:eastAsia="Arial" w:hAnsi="Arial"/>
          <w:sz w:val="18"/>
          <w:szCs w:val="18"/>
          <w:color w:val="41516E"/>
        </w:rPr>
        <w:t xml:space="preserve"> and follow the steps outlined on the secured website. To vote by telephone, call toll free at 1-800-652-8683. Internet and telephone voting for Stockholders of Record will be available 24 hours a day and will close at 11:59 p.m. ET on May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173990</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700" w:type="dxa"/>
            <w:vAlign w:val="bottom"/>
            <w:tcBorders>
              <w:bottom w:val="single" w:sz="8" w:color="41516E"/>
            </w:tcBorders>
          </w:tcPr>
          <w:p>
            <w:pPr>
              <w:spacing w:after="0"/>
              <w:rPr>
                <w:sz w:val="10"/>
                <w:szCs w:val="10"/>
                <w:color w:val="auto"/>
              </w:rPr>
            </w:pPr>
          </w:p>
        </w:tc>
        <w:tc>
          <w:tcPr>
            <w:tcW w:w="4920" w:type="dxa"/>
            <w:vAlign w:val="bottom"/>
            <w:vMerge w:val="restart"/>
          </w:tcPr>
          <w:p>
            <w:pPr>
              <w:ind w:left="8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300" w:type="dxa"/>
            <w:vAlign w:val="bottom"/>
            <w:tcBorders>
              <w:bottom w:val="single" w:sz="8" w:color="41516E"/>
            </w:tcBorders>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5</w:t>
            </w:r>
          </w:p>
        </w:tc>
        <w:tc>
          <w:tcPr>
            <w:tcW w:w="0" w:type="dxa"/>
            <w:vAlign w:val="bottom"/>
          </w:tcPr>
          <w:p>
            <w:pPr>
              <w:spacing w:after="0"/>
              <w:rPr>
                <w:sz w:val="1"/>
                <w:szCs w:val="1"/>
                <w:color w:val="auto"/>
              </w:rPr>
            </w:pPr>
          </w:p>
        </w:tc>
      </w:tr>
      <w:tr>
        <w:trPr>
          <w:trHeight w:val="80"/>
        </w:trPr>
        <w:tc>
          <w:tcPr>
            <w:tcW w:w="370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700" w:type="dxa"/>
            <w:vAlign w:val="bottom"/>
            <w:tcBorders>
              <w:bottom w:val="single" w:sz="8" w:color="C0C0C0"/>
            </w:tcBorders>
          </w:tcPr>
          <w:p>
            <w:pPr>
              <w:spacing w:after="0"/>
              <w:rPr>
                <w:sz w:val="24"/>
                <w:szCs w:val="24"/>
                <w:color w:val="auto"/>
              </w:rPr>
            </w:pPr>
          </w:p>
        </w:tc>
        <w:tc>
          <w:tcPr>
            <w:tcW w:w="4920" w:type="dxa"/>
            <w:vAlign w:val="bottom"/>
            <w:tcBorders>
              <w:bottom w:val="single" w:sz="8" w:color="C0C0C0"/>
            </w:tcBorders>
          </w:tcPr>
          <w:p>
            <w:pPr>
              <w:spacing w:after="0"/>
              <w:rPr>
                <w:sz w:val="24"/>
                <w:szCs w:val="24"/>
                <w:color w:val="auto"/>
              </w:rPr>
            </w:pPr>
          </w:p>
        </w:tc>
        <w:tc>
          <w:tcPr>
            <w:tcW w:w="230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97" w:right="339" w:bottom="1440" w:gutter="0" w:footer="0" w:header="0"/>
        </w:sectPr>
      </w:pPr>
    </w:p>
    <w:bookmarkStart w:id="5" w:name="page6"/>
    <w:bookmarkEnd w:id="5"/>
    <w:p>
      <w:pPr>
        <w:spacing w:after="0"/>
        <w:rPr>
          <w:sz w:val="20"/>
          <w:szCs w:val="20"/>
          <w:color w:val="auto"/>
        </w:rPr>
      </w:pPr>
      <w:r>
        <w:rPr>
          <w:rFonts w:ascii="Arial" w:cs="Arial" w:eastAsia="Arial" w:hAnsi="Arial"/>
          <w:sz w:val="40"/>
          <w:szCs w:val="40"/>
          <w:b w:val="1"/>
          <w:bCs w:val="1"/>
          <w:color w:val="41516E"/>
        </w:rPr>
        <w:t>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-46990</wp:posOffset>
            </wp:positionV>
            <wp:extent cx="64293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29"/>
          <w:szCs w:val="29"/>
          <w:b w:val="1"/>
          <w:bCs w:val="1"/>
          <w:color w:val="798297"/>
        </w:rPr>
        <w:t>of Contents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Proxy Summary</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7</w:t>
            </w:r>
          </w:p>
        </w:tc>
      </w:tr>
      <w:tr>
        <w:trPr>
          <w:trHeight w:val="473"/>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Nominees for Board of Directors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12</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Nominees for Class A Director</w:t>
            </w:r>
          </w:p>
        </w:tc>
        <w:tc>
          <w:tcPr>
            <w:tcW w:w="2380" w:type="dxa"/>
            <w:vAlign w:val="bottom"/>
          </w:tcPr>
          <w:p>
            <w:pPr>
              <w:jc w:val="right"/>
              <w:spacing w:after="0"/>
              <w:rPr>
                <w:sz w:val="20"/>
                <w:szCs w:val="20"/>
                <w:color w:val="auto"/>
              </w:rPr>
            </w:pPr>
            <w:r>
              <w:rPr>
                <w:rFonts w:ascii="Arial" w:cs="Arial" w:eastAsia="Arial" w:hAnsi="Arial"/>
                <w:sz w:val="16"/>
                <w:szCs w:val="16"/>
                <w:color w:val="41516E"/>
              </w:rPr>
              <w:t>13</w:t>
            </w:r>
          </w:p>
        </w:tc>
      </w:tr>
      <w:tr>
        <w:trPr>
          <w:trHeight w:val="215"/>
        </w:trPr>
        <w:tc>
          <w:tcPr>
            <w:tcW w:w="8860" w:type="dxa"/>
            <w:vAlign w:val="bottom"/>
          </w:tcPr>
          <w:p>
            <w:pPr>
              <w:ind w:left="360"/>
              <w:spacing w:after="0"/>
              <w:rPr>
                <w:sz w:val="20"/>
                <w:szCs w:val="20"/>
                <w:color w:val="auto"/>
              </w:rPr>
            </w:pPr>
            <w:r>
              <w:rPr>
                <w:rFonts w:ascii="Arial" w:cs="Arial" w:eastAsia="Arial" w:hAnsi="Arial"/>
                <w:sz w:val="16"/>
                <w:szCs w:val="16"/>
                <w:color w:val="41516E"/>
              </w:rPr>
              <w:t>Nominees for Class B Director</w:t>
            </w:r>
          </w:p>
        </w:tc>
        <w:tc>
          <w:tcPr>
            <w:tcW w:w="2380" w:type="dxa"/>
            <w:vAlign w:val="bottom"/>
          </w:tcPr>
          <w:p>
            <w:pPr>
              <w:jc w:val="right"/>
              <w:spacing w:after="0"/>
              <w:rPr>
                <w:sz w:val="20"/>
                <w:szCs w:val="20"/>
                <w:color w:val="auto"/>
              </w:rPr>
            </w:pPr>
            <w:r>
              <w:rPr>
                <w:rFonts w:ascii="Arial" w:cs="Arial" w:eastAsia="Arial" w:hAnsi="Arial"/>
                <w:sz w:val="16"/>
                <w:szCs w:val="16"/>
                <w:color w:val="41516E"/>
              </w:rPr>
              <w:t>15</w:t>
            </w:r>
          </w:p>
        </w:tc>
      </w:tr>
      <w:tr>
        <w:trPr>
          <w:trHeight w:val="487"/>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Corporate Governance – Our Board of Directors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18</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Board Governance</w:t>
            </w:r>
          </w:p>
        </w:tc>
        <w:tc>
          <w:tcPr>
            <w:tcW w:w="2380" w:type="dxa"/>
            <w:vAlign w:val="bottom"/>
          </w:tcPr>
          <w:p>
            <w:pPr>
              <w:jc w:val="right"/>
              <w:spacing w:after="0"/>
              <w:rPr>
                <w:sz w:val="20"/>
                <w:szCs w:val="20"/>
                <w:color w:val="auto"/>
              </w:rPr>
            </w:pPr>
            <w:r>
              <w:rPr>
                <w:rFonts w:ascii="Arial" w:cs="Arial" w:eastAsia="Arial" w:hAnsi="Arial"/>
                <w:sz w:val="16"/>
                <w:szCs w:val="16"/>
                <w:color w:val="41516E"/>
              </w:rPr>
              <w:t>18</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Board Committees</w:t>
            </w:r>
          </w:p>
        </w:tc>
        <w:tc>
          <w:tcPr>
            <w:tcW w:w="2380" w:type="dxa"/>
            <w:vAlign w:val="bottom"/>
          </w:tcPr>
          <w:p>
            <w:pPr>
              <w:jc w:val="right"/>
              <w:spacing w:after="0"/>
              <w:rPr>
                <w:sz w:val="20"/>
                <w:szCs w:val="20"/>
                <w:color w:val="auto"/>
              </w:rPr>
            </w:pPr>
            <w:r>
              <w:rPr>
                <w:rFonts w:ascii="Arial" w:cs="Arial" w:eastAsia="Arial" w:hAnsi="Arial"/>
                <w:sz w:val="16"/>
                <w:szCs w:val="16"/>
                <w:color w:val="41516E"/>
              </w:rPr>
              <w:t>19</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Stockholder Engagement</w:t>
            </w:r>
          </w:p>
        </w:tc>
        <w:tc>
          <w:tcPr>
            <w:tcW w:w="2380" w:type="dxa"/>
            <w:vAlign w:val="bottom"/>
          </w:tcPr>
          <w:p>
            <w:pPr>
              <w:jc w:val="right"/>
              <w:spacing w:after="0"/>
              <w:rPr>
                <w:sz w:val="20"/>
                <w:szCs w:val="20"/>
                <w:color w:val="auto"/>
              </w:rPr>
            </w:pPr>
            <w:r>
              <w:rPr>
                <w:rFonts w:ascii="Arial" w:cs="Arial" w:eastAsia="Arial" w:hAnsi="Arial"/>
                <w:sz w:val="16"/>
                <w:szCs w:val="16"/>
                <w:color w:val="41516E"/>
              </w:rPr>
              <w:t>22</w:t>
            </w:r>
          </w:p>
        </w:tc>
      </w:tr>
      <w:tr>
        <w:trPr>
          <w:trHeight w:val="215"/>
        </w:trPr>
        <w:tc>
          <w:tcPr>
            <w:tcW w:w="8860" w:type="dxa"/>
            <w:vAlign w:val="bottom"/>
          </w:tcPr>
          <w:p>
            <w:pPr>
              <w:ind w:left="360"/>
              <w:spacing w:after="0"/>
              <w:rPr>
                <w:sz w:val="20"/>
                <w:szCs w:val="20"/>
                <w:color w:val="auto"/>
              </w:rPr>
            </w:pPr>
            <w:r>
              <w:rPr>
                <w:rFonts w:ascii="Arial" w:cs="Arial" w:eastAsia="Arial" w:hAnsi="Arial"/>
                <w:sz w:val="16"/>
                <w:szCs w:val="16"/>
                <w:color w:val="41516E"/>
              </w:rPr>
              <w:t>Board Review of Related Party Transactions</w:t>
            </w:r>
          </w:p>
        </w:tc>
        <w:tc>
          <w:tcPr>
            <w:tcW w:w="2380" w:type="dxa"/>
            <w:vAlign w:val="bottom"/>
          </w:tcPr>
          <w:p>
            <w:pPr>
              <w:jc w:val="right"/>
              <w:spacing w:after="0"/>
              <w:rPr>
                <w:sz w:val="20"/>
                <w:szCs w:val="20"/>
                <w:color w:val="auto"/>
              </w:rPr>
            </w:pPr>
            <w:r>
              <w:rPr>
                <w:rFonts w:ascii="Arial" w:cs="Arial" w:eastAsia="Arial" w:hAnsi="Arial"/>
                <w:sz w:val="16"/>
                <w:szCs w:val="16"/>
                <w:color w:val="41516E"/>
              </w:rPr>
              <w:t>23</w:t>
            </w:r>
          </w:p>
        </w:tc>
      </w:tr>
      <w:tr>
        <w:trPr>
          <w:trHeight w:val="487"/>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Director Compensation</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24</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Compensation Summary</w:t>
            </w:r>
          </w:p>
        </w:tc>
        <w:tc>
          <w:tcPr>
            <w:tcW w:w="2380" w:type="dxa"/>
            <w:vAlign w:val="bottom"/>
          </w:tcPr>
          <w:p>
            <w:pPr>
              <w:jc w:val="right"/>
              <w:spacing w:after="0"/>
              <w:rPr>
                <w:sz w:val="20"/>
                <w:szCs w:val="20"/>
                <w:color w:val="auto"/>
              </w:rPr>
            </w:pPr>
            <w:r>
              <w:rPr>
                <w:rFonts w:ascii="Arial" w:cs="Arial" w:eastAsia="Arial" w:hAnsi="Arial"/>
                <w:sz w:val="16"/>
                <w:szCs w:val="16"/>
                <w:color w:val="41516E"/>
              </w:rPr>
              <w:t>24</w:t>
            </w:r>
          </w:p>
        </w:tc>
      </w:tr>
      <w:tr>
        <w:trPr>
          <w:trHeight w:val="215"/>
        </w:trPr>
        <w:tc>
          <w:tcPr>
            <w:tcW w:w="8860" w:type="dxa"/>
            <w:vAlign w:val="bottom"/>
          </w:tcPr>
          <w:p>
            <w:pPr>
              <w:ind w:left="360"/>
              <w:spacing w:after="0"/>
              <w:rPr>
                <w:sz w:val="20"/>
                <w:szCs w:val="20"/>
                <w:color w:val="auto"/>
              </w:rPr>
            </w:pPr>
            <w:r>
              <w:rPr>
                <w:rFonts w:ascii="Arial" w:cs="Arial" w:eastAsia="Arial" w:hAnsi="Arial"/>
                <w:sz w:val="16"/>
                <w:szCs w:val="16"/>
                <w:color w:val="41516E"/>
              </w:rPr>
              <w:t>Director Compensation for Fiscal Year 2023</w:t>
            </w:r>
          </w:p>
        </w:tc>
        <w:tc>
          <w:tcPr>
            <w:tcW w:w="2380" w:type="dxa"/>
            <w:vAlign w:val="bottom"/>
          </w:tcPr>
          <w:p>
            <w:pPr>
              <w:jc w:val="right"/>
              <w:spacing w:after="0"/>
              <w:rPr>
                <w:sz w:val="20"/>
                <w:szCs w:val="20"/>
                <w:color w:val="auto"/>
              </w:rPr>
            </w:pPr>
            <w:r>
              <w:rPr>
                <w:rFonts w:ascii="Arial" w:cs="Arial" w:eastAsia="Arial" w:hAnsi="Arial"/>
                <w:sz w:val="16"/>
                <w:szCs w:val="16"/>
                <w:color w:val="41516E"/>
              </w:rPr>
              <w:t>25</w:t>
            </w:r>
          </w:p>
        </w:tc>
      </w:tr>
      <w:tr>
        <w:trPr>
          <w:trHeight w:val="527"/>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Executive Officers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26</w:t>
            </w:r>
          </w:p>
        </w:tc>
      </w:tr>
      <w:tr>
        <w:trPr>
          <w:trHeight w:val="473"/>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Compensation Discussion and Analysis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28</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Role of the Compensation Committee</w:t>
            </w:r>
          </w:p>
        </w:tc>
        <w:tc>
          <w:tcPr>
            <w:tcW w:w="2380" w:type="dxa"/>
            <w:vAlign w:val="bottom"/>
          </w:tcPr>
          <w:p>
            <w:pPr>
              <w:jc w:val="right"/>
              <w:spacing w:after="0"/>
              <w:rPr>
                <w:sz w:val="20"/>
                <w:szCs w:val="20"/>
                <w:color w:val="auto"/>
              </w:rPr>
            </w:pPr>
            <w:r>
              <w:rPr>
                <w:rFonts w:ascii="Arial" w:cs="Arial" w:eastAsia="Arial" w:hAnsi="Arial"/>
                <w:sz w:val="16"/>
                <w:szCs w:val="16"/>
                <w:color w:val="41516E"/>
              </w:rPr>
              <w:t>28</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Compensation Philosophy and Objectives</w:t>
            </w:r>
          </w:p>
        </w:tc>
        <w:tc>
          <w:tcPr>
            <w:tcW w:w="2380" w:type="dxa"/>
            <w:vAlign w:val="bottom"/>
          </w:tcPr>
          <w:p>
            <w:pPr>
              <w:jc w:val="right"/>
              <w:spacing w:after="0"/>
              <w:rPr>
                <w:sz w:val="20"/>
                <w:szCs w:val="20"/>
                <w:color w:val="auto"/>
              </w:rPr>
            </w:pPr>
            <w:r>
              <w:rPr>
                <w:rFonts w:ascii="Arial" w:cs="Arial" w:eastAsia="Arial" w:hAnsi="Arial"/>
                <w:sz w:val="16"/>
                <w:szCs w:val="16"/>
                <w:color w:val="41516E"/>
              </w:rPr>
              <w:t>28</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Response to Recent Advisory Say-on-Pay Votes</w:t>
            </w:r>
          </w:p>
        </w:tc>
        <w:tc>
          <w:tcPr>
            <w:tcW w:w="2380" w:type="dxa"/>
            <w:vAlign w:val="bottom"/>
          </w:tcPr>
          <w:p>
            <w:pPr>
              <w:jc w:val="right"/>
              <w:spacing w:after="0"/>
              <w:rPr>
                <w:sz w:val="20"/>
                <w:szCs w:val="20"/>
                <w:color w:val="auto"/>
              </w:rPr>
            </w:pPr>
            <w:r>
              <w:rPr>
                <w:rFonts w:ascii="Arial" w:cs="Arial" w:eastAsia="Arial" w:hAnsi="Arial"/>
                <w:sz w:val="16"/>
                <w:szCs w:val="16"/>
                <w:color w:val="41516E"/>
              </w:rPr>
              <w:t>29</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Components of Executive Compensation and Compensation Mix</w:t>
            </w:r>
          </w:p>
        </w:tc>
        <w:tc>
          <w:tcPr>
            <w:tcW w:w="2380" w:type="dxa"/>
            <w:vAlign w:val="bottom"/>
          </w:tcPr>
          <w:p>
            <w:pPr>
              <w:jc w:val="right"/>
              <w:spacing w:after="0"/>
              <w:rPr>
                <w:sz w:val="20"/>
                <w:szCs w:val="20"/>
                <w:color w:val="auto"/>
              </w:rPr>
            </w:pPr>
            <w:r>
              <w:rPr>
                <w:rFonts w:ascii="Arial" w:cs="Arial" w:eastAsia="Arial" w:hAnsi="Arial"/>
                <w:sz w:val="16"/>
                <w:szCs w:val="16"/>
                <w:color w:val="41516E"/>
              </w:rPr>
              <w:t>29</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How Executive Pay Levels Are Determined</w:t>
            </w:r>
          </w:p>
        </w:tc>
        <w:tc>
          <w:tcPr>
            <w:tcW w:w="2380" w:type="dxa"/>
            <w:vAlign w:val="bottom"/>
          </w:tcPr>
          <w:p>
            <w:pPr>
              <w:jc w:val="right"/>
              <w:spacing w:after="0"/>
              <w:rPr>
                <w:sz w:val="20"/>
                <w:szCs w:val="20"/>
                <w:color w:val="auto"/>
              </w:rPr>
            </w:pPr>
            <w:r>
              <w:rPr>
                <w:rFonts w:ascii="Arial" w:cs="Arial" w:eastAsia="Arial" w:hAnsi="Arial"/>
                <w:sz w:val="16"/>
                <w:szCs w:val="16"/>
                <w:color w:val="41516E"/>
              </w:rPr>
              <w:t>34</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Additional Compensation Policies and Practices</w:t>
            </w:r>
          </w:p>
        </w:tc>
        <w:tc>
          <w:tcPr>
            <w:tcW w:w="2380" w:type="dxa"/>
            <w:vAlign w:val="bottom"/>
          </w:tcPr>
          <w:p>
            <w:pPr>
              <w:jc w:val="right"/>
              <w:spacing w:after="0"/>
              <w:rPr>
                <w:sz w:val="20"/>
                <w:szCs w:val="20"/>
                <w:color w:val="auto"/>
              </w:rPr>
            </w:pPr>
            <w:r>
              <w:rPr>
                <w:rFonts w:ascii="Arial" w:cs="Arial" w:eastAsia="Arial" w:hAnsi="Arial"/>
                <w:sz w:val="16"/>
                <w:szCs w:val="16"/>
                <w:color w:val="41516E"/>
              </w:rPr>
              <w:t>35</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Fiscal Year 2023 Named Executive Officer Compensation</w:t>
            </w:r>
          </w:p>
        </w:tc>
        <w:tc>
          <w:tcPr>
            <w:tcW w:w="2380" w:type="dxa"/>
            <w:vAlign w:val="bottom"/>
          </w:tcPr>
          <w:p>
            <w:pPr>
              <w:jc w:val="right"/>
              <w:spacing w:after="0"/>
              <w:rPr>
                <w:sz w:val="20"/>
                <w:szCs w:val="20"/>
                <w:color w:val="auto"/>
              </w:rPr>
            </w:pPr>
            <w:r>
              <w:rPr>
                <w:rFonts w:ascii="Arial" w:cs="Arial" w:eastAsia="Arial" w:hAnsi="Arial"/>
                <w:sz w:val="16"/>
                <w:szCs w:val="16"/>
                <w:color w:val="41516E"/>
              </w:rPr>
              <w:t>37</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Compensation Committee Report</w:t>
            </w:r>
          </w:p>
        </w:tc>
        <w:tc>
          <w:tcPr>
            <w:tcW w:w="2380" w:type="dxa"/>
            <w:vAlign w:val="bottom"/>
          </w:tcPr>
          <w:p>
            <w:pPr>
              <w:jc w:val="right"/>
              <w:spacing w:after="0"/>
              <w:rPr>
                <w:sz w:val="20"/>
                <w:szCs w:val="20"/>
                <w:color w:val="auto"/>
              </w:rPr>
            </w:pPr>
            <w:r>
              <w:rPr>
                <w:rFonts w:ascii="Arial" w:cs="Arial" w:eastAsia="Arial" w:hAnsi="Arial"/>
                <w:sz w:val="16"/>
                <w:szCs w:val="16"/>
                <w:color w:val="41516E"/>
              </w:rPr>
              <w:t>39</w:t>
            </w:r>
          </w:p>
        </w:tc>
      </w:tr>
      <w:tr>
        <w:trPr>
          <w:trHeight w:val="215"/>
        </w:trPr>
        <w:tc>
          <w:tcPr>
            <w:tcW w:w="8860" w:type="dxa"/>
            <w:vAlign w:val="bottom"/>
          </w:tcPr>
          <w:p>
            <w:pPr>
              <w:ind w:left="360"/>
              <w:spacing w:after="0"/>
              <w:rPr>
                <w:sz w:val="20"/>
                <w:szCs w:val="20"/>
                <w:color w:val="auto"/>
              </w:rPr>
            </w:pPr>
            <w:r>
              <w:rPr>
                <w:rFonts w:ascii="Arial" w:cs="Arial" w:eastAsia="Arial" w:hAnsi="Arial"/>
                <w:sz w:val="16"/>
                <w:szCs w:val="16"/>
                <w:color w:val="41516E"/>
              </w:rPr>
              <w:t>Compensation Committee Interlocks and Insider Participation</w:t>
            </w:r>
          </w:p>
        </w:tc>
        <w:tc>
          <w:tcPr>
            <w:tcW w:w="2380" w:type="dxa"/>
            <w:vAlign w:val="bottom"/>
          </w:tcPr>
          <w:p>
            <w:pPr>
              <w:jc w:val="right"/>
              <w:spacing w:after="0"/>
              <w:rPr>
                <w:sz w:val="20"/>
                <w:szCs w:val="20"/>
                <w:color w:val="auto"/>
              </w:rPr>
            </w:pPr>
            <w:r>
              <w:rPr>
                <w:rFonts w:ascii="Arial" w:cs="Arial" w:eastAsia="Arial" w:hAnsi="Arial"/>
                <w:sz w:val="16"/>
                <w:szCs w:val="16"/>
                <w:color w:val="41516E"/>
              </w:rPr>
              <w:t>39</w:t>
            </w:r>
          </w:p>
        </w:tc>
      </w:tr>
      <w:tr>
        <w:trPr>
          <w:trHeight w:val="487"/>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Executive Compensation</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40</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Summary Compensation Table</w:t>
            </w:r>
          </w:p>
        </w:tc>
        <w:tc>
          <w:tcPr>
            <w:tcW w:w="2380" w:type="dxa"/>
            <w:vAlign w:val="bottom"/>
          </w:tcPr>
          <w:p>
            <w:pPr>
              <w:jc w:val="right"/>
              <w:spacing w:after="0"/>
              <w:rPr>
                <w:sz w:val="20"/>
                <w:szCs w:val="20"/>
                <w:color w:val="auto"/>
              </w:rPr>
            </w:pPr>
            <w:r>
              <w:rPr>
                <w:rFonts w:ascii="Arial" w:cs="Arial" w:eastAsia="Arial" w:hAnsi="Arial"/>
                <w:sz w:val="16"/>
                <w:szCs w:val="16"/>
                <w:color w:val="41516E"/>
              </w:rPr>
              <w:t>40</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Grants of Plan-Based Awards in Fiscal Year 2023</w:t>
            </w:r>
          </w:p>
        </w:tc>
        <w:tc>
          <w:tcPr>
            <w:tcW w:w="2380" w:type="dxa"/>
            <w:vAlign w:val="bottom"/>
          </w:tcPr>
          <w:p>
            <w:pPr>
              <w:jc w:val="right"/>
              <w:spacing w:after="0"/>
              <w:rPr>
                <w:sz w:val="20"/>
                <w:szCs w:val="20"/>
                <w:color w:val="auto"/>
              </w:rPr>
            </w:pPr>
            <w:r>
              <w:rPr>
                <w:rFonts w:ascii="Arial" w:cs="Arial" w:eastAsia="Arial" w:hAnsi="Arial"/>
                <w:sz w:val="16"/>
                <w:szCs w:val="16"/>
                <w:color w:val="41516E"/>
              </w:rPr>
              <w:t>41</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Outstanding Equity Awards at 2023 Fiscal Year End</w:t>
            </w:r>
          </w:p>
        </w:tc>
        <w:tc>
          <w:tcPr>
            <w:tcW w:w="2380" w:type="dxa"/>
            <w:vAlign w:val="bottom"/>
          </w:tcPr>
          <w:p>
            <w:pPr>
              <w:jc w:val="right"/>
              <w:spacing w:after="0"/>
              <w:rPr>
                <w:sz w:val="20"/>
                <w:szCs w:val="20"/>
                <w:color w:val="auto"/>
              </w:rPr>
            </w:pPr>
            <w:r>
              <w:rPr>
                <w:rFonts w:ascii="Arial" w:cs="Arial" w:eastAsia="Arial" w:hAnsi="Arial"/>
                <w:sz w:val="16"/>
                <w:szCs w:val="16"/>
                <w:color w:val="41516E"/>
              </w:rPr>
              <w:t>42</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Option Exercises and Stock Vested in Fiscal Year 2023</w:t>
            </w:r>
          </w:p>
        </w:tc>
        <w:tc>
          <w:tcPr>
            <w:tcW w:w="2380" w:type="dxa"/>
            <w:vAlign w:val="bottom"/>
          </w:tcPr>
          <w:p>
            <w:pPr>
              <w:jc w:val="right"/>
              <w:spacing w:after="0"/>
              <w:rPr>
                <w:sz w:val="20"/>
                <w:szCs w:val="20"/>
                <w:color w:val="auto"/>
              </w:rPr>
            </w:pPr>
            <w:r>
              <w:rPr>
                <w:rFonts w:ascii="Arial" w:cs="Arial" w:eastAsia="Arial" w:hAnsi="Arial"/>
                <w:sz w:val="16"/>
                <w:szCs w:val="16"/>
                <w:color w:val="41516E"/>
              </w:rPr>
              <w:t>44</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Employment Contracts, Termination of Employment, and Change in Control Agreements</w:t>
            </w:r>
          </w:p>
        </w:tc>
        <w:tc>
          <w:tcPr>
            <w:tcW w:w="2380" w:type="dxa"/>
            <w:vAlign w:val="bottom"/>
          </w:tcPr>
          <w:p>
            <w:pPr>
              <w:jc w:val="right"/>
              <w:spacing w:after="0"/>
              <w:rPr>
                <w:sz w:val="20"/>
                <w:szCs w:val="20"/>
                <w:color w:val="auto"/>
              </w:rPr>
            </w:pPr>
            <w:r>
              <w:rPr>
                <w:rFonts w:ascii="Arial" w:cs="Arial" w:eastAsia="Arial" w:hAnsi="Arial"/>
                <w:sz w:val="16"/>
                <w:szCs w:val="16"/>
                <w:color w:val="41516E"/>
              </w:rPr>
              <w:t>44</w:t>
            </w:r>
          </w:p>
        </w:tc>
      </w:tr>
      <w:tr>
        <w:trPr>
          <w:trHeight w:val="215"/>
        </w:trPr>
        <w:tc>
          <w:tcPr>
            <w:tcW w:w="8860" w:type="dxa"/>
            <w:vAlign w:val="bottom"/>
          </w:tcPr>
          <w:p>
            <w:pPr>
              <w:ind w:left="360"/>
              <w:spacing w:after="0"/>
              <w:rPr>
                <w:sz w:val="20"/>
                <w:szCs w:val="20"/>
                <w:color w:val="auto"/>
              </w:rPr>
            </w:pPr>
            <w:r>
              <w:rPr>
                <w:rFonts w:ascii="Arial" w:cs="Arial" w:eastAsia="Arial" w:hAnsi="Arial"/>
                <w:sz w:val="16"/>
                <w:szCs w:val="16"/>
                <w:color w:val="41516E"/>
              </w:rPr>
              <w:t>Potential Payments Upon Termination or Change in Control</w:t>
            </w:r>
          </w:p>
        </w:tc>
        <w:tc>
          <w:tcPr>
            <w:tcW w:w="2380" w:type="dxa"/>
            <w:vAlign w:val="bottom"/>
          </w:tcPr>
          <w:p>
            <w:pPr>
              <w:jc w:val="right"/>
              <w:spacing w:after="0"/>
              <w:rPr>
                <w:sz w:val="20"/>
                <w:szCs w:val="20"/>
                <w:color w:val="auto"/>
              </w:rPr>
            </w:pPr>
            <w:r>
              <w:rPr>
                <w:rFonts w:ascii="Arial" w:cs="Arial" w:eastAsia="Arial" w:hAnsi="Arial"/>
                <w:sz w:val="16"/>
                <w:szCs w:val="16"/>
                <w:color w:val="41516E"/>
              </w:rPr>
              <w:t>45</w:t>
            </w:r>
          </w:p>
        </w:tc>
      </w:tr>
      <w:tr>
        <w:trPr>
          <w:trHeight w:val="487"/>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Pay Versus Performance Disclosure</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48</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Most Important Financial Measures</w:t>
            </w:r>
          </w:p>
        </w:tc>
        <w:tc>
          <w:tcPr>
            <w:tcW w:w="2380" w:type="dxa"/>
            <w:vAlign w:val="bottom"/>
          </w:tcPr>
          <w:p>
            <w:pPr>
              <w:jc w:val="right"/>
              <w:spacing w:after="0"/>
              <w:rPr>
                <w:sz w:val="20"/>
                <w:szCs w:val="20"/>
                <w:color w:val="auto"/>
              </w:rPr>
            </w:pPr>
            <w:r>
              <w:rPr>
                <w:rFonts w:ascii="Arial" w:cs="Arial" w:eastAsia="Arial" w:hAnsi="Arial"/>
                <w:sz w:val="16"/>
                <w:szCs w:val="16"/>
                <w:color w:val="41516E"/>
              </w:rPr>
              <w:t>48</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Relationship Between Most Important Financial Measures and Executive Compensation</w:t>
            </w:r>
          </w:p>
        </w:tc>
        <w:tc>
          <w:tcPr>
            <w:tcW w:w="2380" w:type="dxa"/>
            <w:vAlign w:val="bottom"/>
          </w:tcPr>
          <w:p>
            <w:pPr>
              <w:jc w:val="right"/>
              <w:spacing w:after="0"/>
              <w:rPr>
                <w:sz w:val="20"/>
                <w:szCs w:val="20"/>
                <w:color w:val="auto"/>
              </w:rPr>
            </w:pPr>
            <w:r>
              <w:rPr>
                <w:rFonts w:ascii="Arial" w:cs="Arial" w:eastAsia="Arial" w:hAnsi="Arial"/>
                <w:sz w:val="16"/>
                <w:szCs w:val="16"/>
                <w:color w:val="41516E"/>
              </w:rPr>
              <w:t>49</w:t>
            </w:r>
          </w:p>
        </w:tc>
      </w:tr>
      <w:tr>
        <w:trPr>
          <w:trHeight w:val="215"/>
        </w:trPr>
        <w:tc>
          <w:tcPr>
            <w:tcW w:w="8860" w:type="dxa"/>
            <w:vAlign w:val="bottom"/>
          </w:tcPr>
          <w:p>
            <w:pPr>
              <w:ind w:left="360"/>
              <w:spacing w:after="0"/>
              <w:rPr>
                <w:sz w:val="20"/>
                <w:szCs w:val="20"/>
                <w:color w:val="auto"/>
              </w:rPr>
            </w:pPr>
            <w:r>
              <w:rPr>
                <w:rFonts w:ascii="Arial" w:cs="Arial" w:eastAsia="Arial" w:hAnsi="Arial"/>
                <w:sz w:val="16"/>
                <w:szCs w:val="16"/>
                <w:color w:val="41516E"/>
              </w:rPr>
              <w:t>Relationship Between Company and Peer Group Total Shareholder Return</w:t>
            </w:r>
          </w:p>
        </w:tc>
        <w:tc>
          <w:tcPr>
            <w:tcW w:w="2380" w:type="dxa"/>
            <w:vAlign w:val="bottom"/>
          </w:tcPr>
          <w:p>
            <w:pPr>
              <w:jc w:val="right"/>
              <w:spacing w:after="0"/>
              <w:rPr>
                <w:sz w:val="20"/>
                <w:szCs w:val="20"/>
                <w:color w:val="auto"/>
              </w:rPr>
            </w:pPr>
            <w:r>
              <w:rPr>
                <w:rFonts w:ascii="Arial" w:cs="Arial" w:eastAsia="Arial" w:hAnsi="Arial"/>
                <w:sz w:val="16"/>
                <w:szCs w:val="16"/>
                <w:color w:val="41516E"/>
              </w:rPr>
              <w:t>52</w:t>
            </w:r>
          </w:p>
        </w:tc>
      </w:tr>
      <w:tr>
        <w:trPr>
          <w:trHeight w:val="527"/>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Pay Ratio Disclosure</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53</w:t>
            </w:r>
          </w:p>
        </w:tc>
      </w:tr>
      <w:tr>
        <w:trPr>
          <w:trHeight w:val="513"/>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Stock Ownership of Board, Management, and Principal Stockholders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54</w:t>
            </w:r>
          </w:p>
        </w:tc>
      </w:tr>
      <w:tr>
        <w:trPr>
          <w:trHeight w:val="473"/>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Environmental, Social, and Governance</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56</w:t>
            </w:r>
          </w:p>
        </w:tc>
      </w:tr>
      <w:tr>
        <w:trPr>
          <w:trHeight w:val="189"/>
        </w:trPr>
        <w:tc>
          <w:tcPr>
            <w:tcW w:w="8860" w:type="dxa"/>
            <w:vAlign w:val="bottom"/>
          </w:tcPr>
          <w:p>
            <w:pPr>
              <w:ind w:left="360"/>
              <w:spacing w:after="0"/>
              <w:rPr>
                <w:sz w:val="20"/>
                <w:szCs w:val="20"/>
                <w:color w:val="auto"/>
              </w:rPr>
            </w:pPr>
            <w:r>
              <w:rPr>
                <w:rFonts w:ascii="Arial" w:cs="Arial" w:eastAsia="Arial" w:hAnsi="Arial"/>
                <w:sz w:val="16"/>
                <w:szCs w:val="16"/>
                <w:color w:val="41516E"/>
              </w:rPr>
              <w:t>2023 ESG Highlights</w:t>
            </w:r>
          </w:p>
        </w:tc>
        <w:tc>
          <w:tcPr>
            <w:tcW w:w="2380" w:type="dxa"/>
            <w:vAlign w:val="bottom"/>
          </w:tcPr>
          <w:p>
            <w:pPr>
              <w:jc w:val="right"/>
              <w:spacing w:after="0"/>
              <w:rPr>
                <w:sz w:val="20"/>
                <w:szCs w:val="20"/>
                <w:color w:val="auto"/>
              </w:rPr>
            </w:pPr>
            <w:r>
              <w:rPr>
                <w:rFonts w:ascii="Arial" w:cs="Arial" w:eastAsia="Arial" w:hAnsi="Arial"/>
                <w:sz w:val="16"/>
                <w:szCs w:val="16"/>
                <w:color w:val="41516E"/>
              </w:rPr>
              <w:t>56</w:t>
            </w:r>
          </w:p>
        </w:tc>
      </w:tr>
      <w:tr>
        <w:trPr>
          <w:trHeight w:val="215"/>
        </w:trPr>
        <w:tc>
          <w:tcPr>
            <w:tcW w:w="8860" w:type="dxa"/>
            <w:vAlign w:val="bottom"/>
          </w:tcPr>
          <w:p>
            <w:pPr>
              <w:ind w:left="360"/>
              <w:spacing w:after="0"/>
              <w:rPr>
                <w:sz w:val="20"/>
                <w:szCs w:val="20"/>
                <w:color w:val="auto"/>
              </w:rPr>
            </w:pPr>
            <w:r>
              <w:rPr>
                <w:rFonts w:ascii="Arial" w:cs="Arial" w:eastAsia="Arial" w:hAnsi="Arial"/>
                <w:sz w:val="16"/>
                <w:szCs w:val="16"/>
                <w:color w:val="41516E"/>
              </w:rPr>
              <w:t>ESG Governance</w:t>
            </w:r>
          </w:p>
        </w:tc>
        <w:tc>
          <w:tcPr>
            <w:tcW w:w="2380" w:type="dxa"/>
            <w:vAlign w:val="bottom"/>
          </w:tcPr>
          <w:p>
            <w:pPr>
              <w:jc w:val="right"/>
              <w:spacing w:after="0"/>
              <w:rPr>
                <w:sz w:val="20"/>
                <w:szCs w:val="20"/>
                <w:color w:val="auto"/>
              </w:rPr>
            </w:pPr>
            <w:r>
              <w:rPr>
                <w:rFonts w:ascii="Arial" w:cs="Arial" w:eastAsia="Arial" w:hAnsi="Arial"/>
                <w:sz w:val="16"/>
                <w:szCs w:val="16"/>
                <w:color w:val="41516E"/>
              </w:rPr>
              <w:t>57</w:t>
            </w:r>
          </w:p>
        </w:tc>
      </w:tr>
      <w:tr>
        <w:trPr>
          <w:trHeight w:val="527"/>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Audit Information</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58</w:t>
            </w:r>
          </w:p>
        </w:tc>
      </w:tr>
      <w:tr>
        <w:trPr>
          <w:trHeight w:val="513"/>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Voting Matters for 2024 Annual Meeting</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59</w:t>
            </w:r>
          </w:p>
        </w:tc>
      </w:tr>
      <w:tr>
        <w:trPr>
          <w:trHeight w:val="513"/>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Frequently Asked Questions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61</w:t>
            </w:r>
          </w:p>
        </w:tc>
      </w:tr>
      <w:tr>
        <w:trPr>
          <w:trHeight w:val="513"/>
        </w:trPr>
        <w:tc>
          <w:tcPr>
            <w:tcW w:w="8860" w:type="dxa"/>
            <w:vAlign w:val="bottom"/>
          </w:tcPr>
          <w:p>
            <w:pPr>
              <w:ind w:left="180"/>
              <w:spacing w:after="0"/>
              <w:rPr>
                <w:sz w:val="20"/>
                <w:szCs w:val="20"/>
                <w:color w:val="auto"/>
              </w:rPr>
            </w:pPr>
            <w:r>
              <w:rPr>
                <w:rFonts w:ascii="Arial" w:cs="Arial" w:eastAsia="Arial" w:hAnsi="Arial"/>
                <w:sz w:val="18"/>
                <w:szCs w:val="18"/>
                <w:b w:val="1"/>
                <w:bCs w:val="1"/>
                <w:color w:val="41516E"/>
              </w:rPr>
              <w:t>Other Information</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41516E"/>
              </w:rPr>
              <w:t>65</w:t>
            </w:r>
          </w:p>
        </w:tc>
      </w:tr>
      <w:tr>
        <w:trPr>
          <w:trHeight w:val="251"/>
        </w:trPr>
        <w:tc>
          <w:tcPr>
            <w:tcW w:w="8860" w:type="dxa"/>
            <w:vAlign w:val="bottom"/>
            <w:tcBorders>
              <w:bottom w:val="single" w:sz="8" w:color="C0C0C0"/>
            </w:tcBorders>
          </w:tcPr>
          <w:p>
            <w:pPr>
              <w:spacing w:after="0"/>
              <w:rPr>
                <w:sz w:val="21"/>
                <w:szCs w:val="21"/>
                <w:color w:val="auto"/>
              </w:rPr>
            </w:pPr>
          </w:p>
        </w:tc>
        <w:tc>
          <w:tcPr>
            <w:tcW w:w="23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389"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Proxy </w:t>
      </w:r>
      <w:r>
        <w:rPr>
          <w:rFonts w:ascii="Arial" w:cs="Arial" w:eastAsia="Arial" w:hAnsi="Arial"/>
          <w:sz w:val="47"/>
          <w:szCs w:val="47"/>
          <w:b w:val="1"/>
          <w:bCs w:val="1"/>
          <w:color w:val="798297"/>
        </w:rPr>
        <w:t>Summary</w:t>
      </w:r>
    </w:p>
    <w:p>
      <w:pPr>
        <w:spacing w:after="0" w:line="200" w:lineRule="exact"/>
        <w:rPr>
          <w:sz w:val="20"/>
          <w:szCs w:val="20"/>
          <w:color w:val="auto"/>
        </w:rPr>
      </w:pPr>
    </w:p>
    <w:p>
      <w:pPr>
        <w:spacing w:after="0" w:line="24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41516E"/>
        </w:rPr>
        <w:t>This summary highlights information contained elsewhere in this Proxy Statement but does not contain all of the information that you should consider regarding the proposals for this Annual Meeting. We recommend that you read the entire Proxy Statement before casting your vote.</w:t>
      </w: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Online Availability of Proxy Materials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Your proxy is being solicited for the 2024 Annual Meeting of Stockholders of The Boston Beer Company, Inc. A Notice of the Online Availability of Proxy Materials has been mailed to all Stockholders of Record advising that they can: (1) view all Proxy Materials online; and (2) request a paper or email copy of the Proxy Materials free of charge. We encourage stockholders to access their Proxy Materials online to reduce the environmental impact and cost of our proxy solicitation.</w:t>
      </w:r>
    </w:p>
    <w:p>
      <w:pPr>
        <w:spacing w:after="0" w:line="364"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Eligibility to Vote</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Only Stockholders of Record are eligible to vote at the Annual Meeting. You can vote if you held shares of Class A or Class B Common Stock as of the close of business on Wednesday, March 13, 2024. Each outstanding share of Boston Beer’s Class A and Class B Common Stock entitles the stockholder to one (1) vote on each matter properly brought before the respective class.</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Note Regarding Forward-Looking Statements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41516E"/>
        </w:rPr>
        <w:t>This Proxy Statement contains “forward-looking statements” within the meaning of the Private Securities Litigation Reform Act of 1995, Section 27A of the Securities Act of 1933, and Section 21E of the Securities Exchange Act of 1934. Forward-looking statements may appear throughout this Proxy Statement, including but not limited to the Compensation Discussion and Analysis, or the “CD&amp;A.”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our Forms 10-K and 10-Q filed with the Securities and Exchange Commission (“SEC”). We undertake no obligation to update or revise publicly any forward-looking statements, whether because of new information, future events, or otherwise.</w:t>
      </w: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2023 Business Results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41516E"/>
        </w:rPr>
        <w:t>The Company’s flavored malt beverages, hard seltzers, beers, and hard ciders are primarily positioned in the market for High End beer occasions. The Company defines “High End” beers as including hard seltzer and flavored malt beverages, craft beers, domestic specialty beers, and most imported beer and hard cider that are called for by a High-End beer drinker occasion. High End beers and beer occasions are determined by higher price, quality, image, and taste, as compared with regular domestic beers. The Company’s business goal is to become the leading supplier in the High End and Beyond Beer categories by creating and offering high quality alcohol beverages. “Beyond Beer” includes flavored malt beverages, hard seltzers, hard cider, spirits RTDs, and other emerging beverages. With the support of a large, well-trained sales organization and world-class brewers, the Company strives to achieve this goal by offering consumer-responsive beverages, increasing brand availability and awareness through traditional media and digital advertising, point-of-sale, promotional programs, and drinker education and engagement.</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41516E"/>
        </w:rPr>
        <w:t>During the Company’s fiscal period ended December 30, 2023 (“Fiscal Year 2023”), the market for hard seltzer products continued to experience declines after significant growth from 2016 through early 2021. The Fiscal Year 2023 decline negatively impacted the Company’s volume of production and shipments. Fiscal Year 2023 included 52 weeks and is compared to the fiscal period ended December 31, 2022 (“Fiscal Year 2022”), which included 53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226695</wp:posOffset>
            </wp:positionV>
            <wp:extent cx="85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700" w:type="dxa"/>
            <w:vAlign w:val="bottom"/>
            <w:tcBorders>
              <w:bottom w:val="single" w:sz="8" w:color="41516E"/>
            </w:tcBorders>
          </w:tcPr>
          <w:p>
            <w:pPr>
              <w:spacing w:after="0"/>
              <w:rPr>
                <w:sz w:val="10"/>
                <w:szCs w:val="10"/>
                <w:color w:val="auto"/>
              </w:rPr>
            </w:pPr>
          </w:p>
        </w:tc>
        <w:tc>
          <w:tcPr>
            <w:tcW w:w="4920" w:type="dxa"/>
            <w:vAlign w:val="bottom"/>
            <w:vMerge w:val="restart"/>
          </w:tcPr>
          <w:p>
            <w:pPr>
              <w:ind w:left="8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300" w:type="dxa"/>
            <w:vAlign w:val="bottom"/>
            <w:tcBorders>
              <w:bottom w:val="single" w:sz="8" w:color="41516E"/>
            </w:tcBorders>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7</w:t>
            </w:r>
          </w:p>
        </w:tc>
        <w:tc>
          <w:tcPr>
            <w:tcW w:w="0" w:type="dxa"/>
            <w:vAlign w:val="bottom"/>
          </w:tcPr>
          <w:p>
            <w:pPr>
              <w:spacing w:after="0"/>
              <w:rPr>
                <w:sz w:val="1"/>
                <w:szCs w:val="1"/>
                <w:color w:val="auto"/>
              </w:rPr>
            </w:pPr>
          </w:p>
        </w:tc>
      </w:tr>
      <w:tr>
        <w:trPr>
          <w:trHeight w:val="80"/>
        </w:trPr>
        <w:tc>
          <w:tcPr>
            <w:tcW w:w="370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700" w:type="dxa"/>
            <w:vAlign w:val="bottom"/>
            <w:tcBorders>
              <w:bottom w:val="single" w:sz="8" w:color="C0C0C0"/>
            </w:tcBorders>
          </w:tcPr>
          <w:p>
            <w:pPr>
              <w:spacing w:after="0"/>
              <w:rPr>
                <w:sz w:val="24"/>
                <w:szCs w:val="24"/>
                <w:color w:val="auto"/>
              </w:rPr>
            </w:pPr>
          </w:p>
        </w:tc>
        <w:tc>
          <w:tcPr>
            <w:tcW w:w="4920" w:type="dxa"/>
            <w:vAlign w:val="bottom"/>
            <w:tcBorders>
              <w:bottom w:val="single" w:sz="8" w:color="C0C0C0"/>
            </w:tcBorders>
          </w:tcPr>
          <w:p>
            <w:pPr>
              <w:spacing w:after="0"/>
              <w:rPr>
                <w:sz w:val="24"/>
                <w:szCs w:val="24"/>
                <w:color w:val="auto"/>
              </w:rPr>
            </w:pPr>
          </w:p>
        </w:tc>
        <w:tc>
          <w:tcPr>
            <w:tcW w:w="230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41516E"/>
        </w:rPr>
        <w:t>Our business results for Fiscal Year 2023 were as follows:</w:t>
      </w:r>
    </w:p>
    <w:p>
      <w:pPr>
        <w:spacing w:after="0" w:line="194" w:lineRule="exact"/>
        <w:rPr>
          <w:sz w:val="20"/>
          <w:szCs w:val="20"/>
          <w:color w:val="auto"/>
        </w:rPr>
      </w:pPr>
    </w:p>
    <w:p>
      <w:pPr>
        <w:ind w:left="180" w:hanging="172"/>
        <w:spacing w:after="0" w:line="285" w:lineRule="auto"/>
        <w:tabs>
          <w:tab w:leader="none" w:pos="180" w:val="left"/>
        </w:tabs>
        <w:numPr>
          <w:ilvl w:val="0"/>
          <w:numId w:val="3"/>
        </w:numPr>
        <w:rPr>
          <w:rFonts w:ascii="Times New Roman" w:cs="Times New Roman" w:eastAsia="Times New Roman" w:hAnsi="Times New Roman"/>
          <w:sz w:val="16"/>
          <w:szCs w:val="16"/>
          <w:color w:val="41516E"/>
        </w:rPr>
      </w:pPr>
      <w:r>
        <w:rPr>
          <w:rFonts w:ascii="Arial" w:cs="Arial" w:eastAsia="Arial" w:hAnsi="Arial"/>
          <w:sz w:val="16"/>
          <w:szCs w:val="16"/>
          <w:color w:val="41516E"/>
        </w:rPr>
        <w:t>Depletions (sales by our wholesalers to retailers) decreased by approximately 6% from Fiscal Year 2022. Depletions decreased by approximately 5% on a 52-week comparable basis.</w:t>
      </w:r>
    </w:p>
    <w:p>
      <w:pPr>
        <w:spacing w:after="0" w:line="21" w:lineRule="exact"/>
        <w:rPr>
          <w:rFonts w:ascii="Times New Roman" w:cs="Times New Roman" w:eastAsia="Times New Roman" w:hAnsi="Times New Roman"/>
          <w:sz w:val="16"/>
          <w:szCs w:val="16"/>
          <w:color w:val="41516E"/>
        </w:rPr>
      </w:pPr>
    </w:p>
    <w:p>
      <w:pPr>
        <w:ind w:left="180" w:hanging="172"/>
        <w:spacing w:after="0" w:line="303" w:lineRule="auto"/>
        <w:tabs>
          <w:tab w:leader="none" w:pos="180" w:val="left"/>
        </w:tabs>
        <w:numPr>
          <w:ilvl w:val="0"/>
          <w:numId w:val="3"/>
        </w:numPr>
        <w:rPr>
          <w:rFonts w:ascii="Times New Roman" w:cs="Times New Roman" w:eastAsia="Times New Roman" w:hAnsi="Times New Roman"/>
          <w:sz w:val="16"/>
          <w:szCs w:val="16"/>
          <w:color w:val="41516E"/>
        </w:rPr>
      </w:pPr>
      <w:r>
        <w:rPr>
          <w:rFonts w:ascii="Arial" w:cs="Arial" w:eastAsia="Arial" w:hAnsi="Arial"/>
          <w:sz w:val="16"/>
          <w:szCs w:val="16"/>
          <w:color w:val="41516E"/>
        </w:rPr>
        <w:t>Shipments (our sales to our wholesalers) decreased by 6.2% from Fiscal Year 2022 to approximately 7.7 million barrels. Shipments decreased 5.2% on a 52-week comparable basis.</w:t>
      </w:r>
    </w:p>
    <w:p>
      <w:pPr>
        <w:spacing w:after="0" w:line="7"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3"/>
        </w:numPr>
        <w:rPr>
          <w:rFonts w:ascii="Times New Roman" w:cs="Times New Roman" w:eastAsia="Times New Roman" w:hAnsi="Times New Roman"/>
          <w:sz w:val="16"/>
          <w:szCs w:val="16"/>
          <w:color w:val="41516E"/>
        </w:rPr>
      </w:pPr>
      <w:r>
        <w:rPr>
          <w:rFonts w:ascii="Arial" w:cs="Arial" w:eastAsia="Arial" w:hAnsi="Arial"/>
          <w:sz w:val="16"/>
          <w:szCs w:val="16"/>
          <w:color w:val="41516E"/>
        </w:rPr>
        <w:t>Net revenue decreased by 3.9% from Fiscal Year 2022 to approximately $2.009 billion. Net revenue decreased by 2.9% on a 52-week comparable basis</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3"/>
        </w:numPr>
        <w:rPr>
          <w:rFonts w:ascii="Times New Roman" w:cs="Times New Roman" w:eastAsia="Times New Roman" w:hAnsi="Times New Roman"/>
          <w:sz w:val="16"/>
          <w:szCs w:val="16"/>
          <w:color w:val="41516E"/>
        </w:rPr>
      </w:pPr>
      <w:r>
        <w:rPr>
          <w:rFonts w:ascii="Arial" w:cs="Arial" w:eastAsia="Arial" w:hAnsi="Arial"/>
          <w:sz w:val="16"/>
          <w:szCs w:val="16"/>
          <w:color w:val="41516E"/>
        </w:rPr>
        <w:t>Gross margin of 42.4%, up 120 basis points year over year</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3"/>
        </w:numPr>
        <w:rPr>
          <w:rFonts w:ascii="Times New Roman" w:cs="Times New Roman" w:eastAsia="Times New Roman" w:hAnsi="Times New Roman"/>
          <w:sz w:val="16"/>
          <w:szCs w:val="16"/>
          <w:color w:val="41516E"/>
        </w:rPr>
      </w:pPr>
      <w:r>
        <w:rPr>
          <w:rFonts w:ascii="Arial" w:cs="Arial" w:eastAsia="Arial" w:hAnsi="Arial"/>
          <w:sz w:val="16"/>
          <w:szCs w:val="16"/>
          <w:color w:val="41516E"/>
        </w:rPr>
        <w:t>Net income of $76.3 million</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3"/>
        </w:numPr>
        <w:rPr>
          <w:rFonts w:ascii="Times New Roman" w:cs="Times New Roman" w:eastAsia="Times New Roman" w:hAnsi="Times New Roman"/>
          <w:sz w:val="16"/>
          <w:szCs w:val="16"/>
          <w:color w:val="41516E"/>
        </w:rPr>
      </w:pPr>
      <w:r>
        <w:rPr>
          <w:rFonts w:ascii="Arial" w:cs="Arial" w:eastAsia="Arial" w:hAnsi="Arial"/>
          <w:sz w:val="16"/>
          <w:szCs w:val="16"/>
          <w:color w:val="41516E"/>
        </w:rPr>
        <w:t>GAAP diluted earnings per share of $6.21, which includes a non-cash impairment charge of $0.96 per share recorded in the third quarter of 2023</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3"/>
        </w:numPr>
        <w:rPr>
          <w:rFonts w:ascii="Times New Roman" w:cs="Times New Roman" w:eastAsia="Times New Roman" w:hAnsi="Times New Roman"/>
          <w:sz w:val="16"/>
          <w:szCs w:val="16"/>
          <w:color w:val="41516E"/>
        </w:rPr>
      </w:pPr>
      <w:r>
        <w:rPr>
          <w:rFonts w:ascii="Arial" w:cs="Arial" w:eastAsia="Arial" w:hAnsi="Arial"/>
          <w:sz w:val="16"/>
          <w:szCs w:val="16"/>
          <w:color w:val="41516E"/>
        </w:rPr>
        <w:t>Generated $265 million in operating cash flow</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3"/>
        </w:numPr>
        <w:rPr>
          <w:rFonts w:ascii="Times New Roman" w:cs="Times New Roman" w:eastAsia="Times New Roman" w:hAnsi="Times New Roman"/>
          <w:sz w:val="16"/>
          <w:szCs w:val="16"/>
          <w:color w:val="41516E"/>
        </w:rPr>
      </w:pPr>
      <w:r>
        <w:rPr>
          <w:rFonts w:ascii="Arial" w:cs="Arial" w:eastAsia="Arial" w:hAnsi="Arial"/>
          <w:sz w:val="16"/>
          <w:szCs w:val="16"/>
          <w:color w:val="41516E"/>
        </w:rPr>
        <w:t>Cash and cash equivalents on hand as of the end of Fiscal Year 2023 totaled $298.5 million</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3"/>
        </w:numPr>
        <w:rPr>
          <w:rFonts w:ascii="Times New Roman" w:cs="Times New Roman" w:eastAsia="Times New Roman" w:hAnsi="Times New Roman"/>
          <w:sz w:val="16"/>
          <w:szCs w:val="16"/>
          <w:color w:val="41516E"/>
        </w:rPr>
      </w:pPr>
      <w:r>
        <w:rPr>
          <w:rFonts w:ascii="Arial" w:cs="Arial" w:eastAsia="Arial" w:hAnsi="Arial"/>
          <w:sz w:val="16"/>
          <w:szCs w:val="16"/>
          <w:color w:val="41516E"/>
        </w:rPr>
        <w:t>Repurchased and subsequently retired 276,045 shares of Class A Common Stock for an aggregate purchase price of $92.9 million.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Voting Matters and Board Recommendations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Item #</w:t>
            </w:r>
          </w:p>
        </w:tc>
        <w:tc>
          <w:tcPr>
            <w:tcW w:w="7880" w:type="dxa"/>
            <w:vAlign w:val="bottom"/>
            <w:tcBorders>
              <w:bottom w:val="single" w:sz="8" w:color="41516E"/>
            </w:tcBorders>
          </w:tcPr>
          <w:p>
            <w:pPr>
              <w:ind w:left="260"/>
              <w:spacing w:after="0"/>
              <w:rPr>
                <w:sz w:val="20"/>
                <w:szCs w:val="20"/>
                <w:color w:val="auto"/>
              </w:rPr>
            </w:pPr>
            <w:r>
              <w:rPr>
                <w:rFonts w:ascii="Arial" w:cs="Arial" w:eastAsia="Arial" w:hAnsi="Arial"/>
                <w:sz w:val="16"/>
                <w:szCs w:val="16"/>
                <w:b w:val="1"/>
                <w:bCs w:val="1"/>
                <w:color w:val="41516E"/>
              </w:rPr>
              <w:t>Voting Matters</w:t>
            </w:r>
          </w:p>
        </w:tc>
        <w:tc>
          <w:tcPr>
            <w:tcW w:w="2580" w:type="dxa"/>
            <w:vAlign w:val="bottom"/>
            <w:tcBorders>
              <w:bottom w:val="single" w:sz="8" w:color="41516E"/>
            </w:tcBorders>
          </w:tcPr>
          <w:p>
            <w:pPr>
              <w:ind w:left="100"/>
              <w:spacing w:after="0"/>
              <w:rPr>
                <w:sz w:val="20"/>
                <w:szCs w:val="20"/>
                <w:color w:val="auto"/>
              </w:rPr>
            </w:pPr>
            <w:r>
              <w:rPr>
                <w:rFonts w:ascii="Arial" w:cs="Arial" w:eastAsia="Arial" w:hAnsi="Arial"/>
                <w:sz w:val="16"/>
                <w:szCs w:val="16"/>
                <w:b w:val="1"/>
                <w:bCs w:val="1"/>
                <w:color w:val="41516E"/>
              </w:rPr>
              <w:t>Board Recommendation</w:t>
            </w:r>
          </w:p>
        </w:tc>
      </w:tr>
      <w:tr>
        <w:trPr>
          <w:trHeight w:val="168"/>
        </w:trPr>
        <w:tc>
          <w:tcPr>
            <w:tcW w:w="780" w:type="dxa"/>
            <w:vAlign w:val="bottom"/>
          </w:tcPr>
          <w:p>
            <w:pPr>
              <w:ind w:left="60"/>
              <w:spacing w:after="0" w:line="168" w:lineRule="exact"/>
              <w:rPr>
                <w:sz w:val="20"/>
                <w:szCs w:val="20"/>
                <w:color w:val="auto"/>
              </w:rPr>
            </w:pPr>
            <w:r>
              <w:rPr>
                <w:rFonts w:ascii="Arial" w:cs="Arial" w:eastAsia="Arial" w:hAnsi="Arial"/>
                <w:sz w:val="16"/>
                <w:szCs w:val="16"/>
                <w:b w:val="1"/>
                <w:bCs w:val="1"/>
                <w:color w:val="41516E"/>
              </w:rPr>
              <w:t>Item 1</w:t>
            </w:r>
          </w:p>
        </w:tc>
        <w:tc>
          <w:tcPr>
            <w:tcW w:w="7880" w:type="dxa"/>
            <w:vAlign w:val="bottom"/>
          </w:tcPr>
          <w:p>
            <w:pPr>
              <w:ind w:left="260"/>
              <w:spacing w:after="0" w:line="168" w:lineRule="exact"/>
              <w:rPr>
                <w:sz w:val="20"/>
                <w:szCs w:val="20"/>
                <w:color w:val="auto"/>
              </w:rPr>
            </w:pPr>
            <w:r>
              <w:rPr>
                <w:rFonts w:ascii="Arial" w:cs="Arial" w:eastAsia="Arial" w:hAnsi="Arial"/>
                <w:sz w:val="16"/>
                <w:szCs w:val="16"/>
                <w:color w:val="41516E"/>
              </w:rPr>
              <w:t>The election of each of the three (3) nominees for Class A Director, to be decided by plurality vote of the</w:t>
            </w:r>
          </w:p>
        </w:tc>
        <w:tc>
          <w:tcPr>
            <w:tcW w:w="2580" w:type="dxa"/>
            <w:vAlign w:val="bottom"/>
          </w:tcPr>
          <w:p>
            <w:pPr>
              <w:ind w:left="100"/>
              <w:spacing w:after="0" w:line="168" w:lineRule="exact"/>
              <w:rPr>
                <w:sz w:val="20"/>
                <w:szCs w:val="20"/>
                <w:color w:val="auto"/>
              </w:rPr>
            </w:pPr>
            <w:r>
              <w:rPr>
                <w:rFonts w:ascii="Arial" w:cs="Arial" w:eastAsia="Arial" w:hAnsi="Arial"/>
                <w:sz w:val="16"/>
                <w:szCs w:val="16"/>
                <w:b w:val="1"/>
                <w:bCs w:val="1"/>
                <w:color w:val="41516E"/>
              </w:rPr>
              <w:t>FOR each Director Nominee</w:t>
            </w:r>
          </w:p>
        </w:tc>
      </w:tr>
      <w:tr>
        <w:trPr>
          <w:trHeight w:val="203"/>
        </w:trPr>
        <w:tc>
          <w:tcPr>
            <w:tcW w:w="780" w:type="dxa"/>
            <w:vAlign w:val="bottom"/>
          </w:tcPr>
          <w:p>
            <w:pPr>
              <w:spacing w:after="0"/>
              <w:rPr>
                <w:sz w:val="17"/>
                <w:szCs w:val="17"/>
                <w:color w:val="auto"/>
              </w:rPr>
            </w:pPr>
          </w:p>
        </w:tc>
        <w:tc>
          <w:tcPr>
            <w:tcW w:w="7880" w:type="dxa"/>
            <w:vAlign w:val="bottom"/>
          </w:tcPr>
          <w:p>
            <w:pPr>
              <w:ind w:left="260"/>
              <w:spacing w:after="0"/>
              <w:rPr>
                <w:sz w:val="20"/>
                <w:szCs w:val="20"/>
                <w:color w:val="auto"/>
              </w:rPr>
            </w:pPr>
            <w:r>
              <w:rPr>
                <w:rFonts w:ascii="Arial" w:cs="Arial" w:eastAsia="Arial" w:hAnsi="Arial"/>
                <w:sz w:val="16"/>
                <w:szCs w:val="16"/>
                <w:color w:val="41516E"/>
              </w:rPr>
              <w:t>holders of Class A Common Stock present in person or represented by proxy.</w:t>
            </w:r>
          </w:p>
        </w:tc>
        <w:tc>
          <w:tcPr>
            <w:tcW w:w="2580" w:type="dxa"/>
            <w:vAlign w:val="bottom"/>
          </w:tcPr>
          <w:p>
            <w:pPr>
              <w:spacing w:after="0"/>
              <w:rPr>
                <w:sz w:val="17"/>
                <w:szCs w:val="17"/>
                <w:color w:val="auto"/>
              </w:rPr>
            </w:pPr>
          </w:p>
        </w:tc>
      </w:tr>
      <w:tr>
        <w:trPr>
          <w:trHeight w:val="175"/>
        </w:trPr>
        <w:tc>
          <w:tcPr>
            <w:tcW w:w="780" w:type="dxa"/>
            <w:vAlign w:val="bottom"/>
            <w:shd w:val="clear" w:color="auto" w:fill="EFF0F1"/>
          </w:tcPr>
          <w:p>
            <w:pPr>
              <w:ind w:left="60"/>
              <w:spacing w:after="0" w:line="175" w:lineRule="exact"/>
              <w:rPr>
                <w:sz w:val="20"/>
                <w:szCs w:val="20"/>
                <w:color w:val="auto"/>
              </w:rPr>
            </w:pPr>
            <w:r>
              <w:rPr>
                <w:rFonts w:ascii="Arial" w:cs="Arial" w:eastAsia="Arial" w:hAnsi="Arial"/>
                <w:sz w:val="16"/>
                <w:szCs w:val="16"/>
                <w:b w:val="1"/>
                <w:bCs w:val="1"/>
                <w:color w:val="41516E"/>
              </w:rPr>
              <w:t>Item 2</w:t>
            </w:r>
          </w:p>
        </w:tc>
        <w:tc>
          <w:tcPr>
            <w:tcW w:w="7880" w:type="dxa"/>
            <w:vAlign w:val="bottom"/>
            <w:shd w:val="clear" w:color="auto" w:fill="EFF0F1"/>
          </w:tcPr>
          <w:p>
            <w:pPr>
              <w:ind w:left="260"/>
              <w:spacing w:after="0" w:line="175" w:lineRule="exact"/>
              <w:rPr>
                <w:sz w:val="20"/>
                <w:szCs w:val="20"/>
                <w:color w:val="auto"/>
              </w:rPr>
            </w:pPr>
            <w:r>
              <w:rPr>
                <w:rFonts w:ascii="Arial" w:cs="Arial" w:eastAsia="Arial" w:hAnsi="Arial"/>
                <w:sz w:val="16"/>
                <w:szCs w:val="16"/>
                <w:color w:val="41516E"/>
              </w:rPr>
              <w:t>The non-binding advisory “Say-on-Pay” vote to approve the compensation of our Named Executive</w:t>
            </w:r>
          </w:p>
        </w:tc>
        <w:tc>
          <w:tcPr>
            <w:tcW w:w="2580" w:type="dxa"/>
            <w:vAlign w:val="bottom"/>
            <w:shd w:val="clear" w:color="auto" w:fill="EFF0F1"/>
          </w:tcPr>
          <w:p>
            <w:pPr>
              <w:ind w:left="100"/>
              <w:spacing w:after="0" w:line="175" w:lineRule="exact"/>
              <w:rPr>
                <w:sz w:val="20"/>
                <w:szCs w:val="20"/>
                <w:color w:val="auto"/>
              </w:rPr>
            </w:pPr>
            <w:r>
              <w:rPr>
                <w:rFonts w:ascii="Arial" w:cs="Arial" w:eastAsia="Arial" w:hAnsi="Arial"/>
                <w:sz w:val="16"/>
                <w:szCs w:val="16"/>
                <w:b w:val="1"/>
                <w:bCs w:val="1"/>
                <w:color w:val="41516E"/>
              </w:rPr>
              <w:t>FOR</w:t>
            </w:r>
          </w:p>
        </w:tc>
      </w:tr>
      <w:tr>
        <w:trPr>
          <w:trHeight w:val="203"/>
        </w:trPr>
        <w:tc>
          <w:tcPr>
            <w:tcW w:w="780" w:type="dxa"/>
            <w:vAlign w:val="bottom"/>
            <w:shd w:val="clear" w:color="auto" w:fill="EFF0F1"/>
          </w:tcPr>
          <w:p>
            <w:pPr>
              <w:spacing w:after="0"/>
              <w:rPr>
                <w:sz w:val="17"/>
                <w:szCs w:val="17"/>
                <w:color w:val="auto"/>
              </w:rPr>
            </w:pPr>
          </w:p>
        </w:tc>
        <w:tc>
          <w:tcPr>
            <w:tcW w:w="7880" w:type="dxa"/>
            <w:vAlign w:val="bottom"/>
            <w:shd w:val="clear" w:color="auto" w:fill="EFF0F1"/>
          </w:tcPr>
          <w:p>
            <w:pPr>
              <w:ind w:left="260"/>
              <w:spacing w:after="0"/>
              <w:rPr>
                <w:sz w:val="20"/>
                <w:szCs w:val="20"/>
                <w:color w:val="auto"/>
              </w:rPr>
            </w:pPr>
            <w:r>
              <w:rPr>
                <w:rFonts w:ascii="Arial" w:cs="Arial" w:eastAsia="Arial" w:hAnsi="Arial"/>
                <w:sz w:val="16"/>
                <w:szCs w:val="16"/>
                <w:color w:val="41516E"/>
              </w:rPr>
              <w:t>Officers, to be voted on by the holders of Class A Common Stock present in person or by proxy.</w:t>
            </w:r>
          </w:p>
        </w:tc>
        <w:tc>
          <w:tcPr>
            <w:tcW w:w="2580" w:type="dxa"/>
            <w:vAlign w:val="bottom"/>
            <w:shd w:val="clear" w:color="auto" w:fill="EFF0F1"/>
          </w:tcPr>
          <w:p>
            <w:pPr>
              <w:spacing w:after="0"/>
              <w:rPr>
                <w:sz w:val="17"/>
                <w:szCs w:val="17"/>
                <w:color w:val="auto"/>
              </w:rPr>
            </w:pPr>
          </w:p>
        </w:tc>
      </w:tr>
      <w:tr>
        <w:trPr>
          <w:trHeight w:val="175"/>
        </w:trPr>
        <w:tc>
          <w:tcPr>
            <w:tcW w:w="780" w:type="dxa"/>
            <w:vAlign w:val="bottom"/>
          </w:tcPr>
          <w:p>
            <w:pPr>
              <w:ind w:left="60"/>
              <w:spacing w:after="0" w:line="175" w:lineRule="exact"/>
              <w:rPr>
                <w:sz w:val="20"/>
                <w:szCs w:val="20"/>
                <w:color w:val="auto"/>
              </w:rPr>
            </w:pPr>
            <w:r>
              <w:rPr>
                <w:rFonts w:ascii="Arial" w:cs="Arial" w:eastAsia="Arial" w:hAnsi="Arial"/>
                <w:sz w:val="16"/>
                <w:szCs w:val="16"/>
                <w:b w:val="1"/>
                <w:bCs w:val="1"/>
                <w:color w:val="41516E"/>
              </w:rPr>
              <w:t>Item 3</w:t>
            </w:r>
          </w:p>
        </w:tc>
        <w:tc>
          <w:tcPr>
            <w:tcW w:w="7880" w:type="dxa"/>
            <w:vAlign w:val="bottom"/>
          </w:tcPr>
          <w:p>
            <w:pPr>
              <w:ind w:left="260"/>
              <w:spacing w:after="0" w:line="175" w:lineRule="exact"/>
              <w:rPr>
                <w:sz w:val="20"/>
                <w:szCs w:val="20"/>
                <w:color w:val="auto"/>
              </w:rPr>
            </w:pPr>
            <w:r>
              <w:rPr>
                <w:rFonts w:ascii="Arial" w:cs="Arial" w:eastAsia="Arial" w:hAnsi="Arial"/>
                <w:sz w:val="16"/>
                <w:szCs w:val="16"/>
                <w:color w:val="41516E"/>
              </w:rPr>
              <w:t>The election of each of the five (5) nominees for Class B Director, to be decided by the affirmative vote of</w:t>
            </w:r>
          </w:p>
        </w:tc>
        <w:tc>
          <w:tcPr>
            <w:tcW w:w="2580" w:type="dxa"/>
            <w:vAlign w:val="bottom"/>
          </w:tcPr>
          <w:p>
            <w:pPr>
              <w:ind w:left="100"/>
              <w:spacing w:after="0" w:line="175" w:lineRule="exact"/>
              <w:rPr>
                <w:sz w:val="20"/>
                <w:szCs w:val="20"/>
                <w:color w:val="auto"/>
              </w:rPr>
            </w:pPr>
            <w:r>
              <w:rPr>
                <w:rFonts w:ascii="Arial" w:cs="Arial" w:eastAsia="Arial" w:hAnsi="Arial"/>
                <w:sz w:val="16"/>
                <w:szCs w:val="16"/>
                <w:b w:val="1"/>
                <w:bCs w:val="1"/>
                <w:color w:val="41516E"/>
              </w:rPr>
              <w:t>FOR each Director Nominee</w:t>
            </w:r>
          </w:p>
        </w:tc>
      </w:tr>
      <w:tr>
        <w:trPr>
          <w:trHeight w:val="203"/>
        </w:trPr>
        <w:tc>
          <w:tcPr>
            <w:tcW w:w="780" w:type="dxa"/>
            <w:vAlign w:val="bottom"/>
          </w:tcPr>
          <w:p>
            <w:pPr>
              <w:spacing w:after="0"/>
              <w:rPr>
                <w:sz w:val="17"/>
                <w:szCs w:val="17"/>
                <w:color w:val="auto"/>
              </w:rPr>
            </w:pPr>
          </w:p>
        </w:tc>
        <w:tc>
          <w:tcPr>
            <w:tcW w:w="7880" w:type="dxa"/>
            <w:vAlign w:val="bottom"/>
          </w:tcPr>
          <w:p>
            <w:pPr>
              <w:ind w:left="260"/>
              <w:spacing w:after="0"/>
              <w:rPr>
                <w:sz w:val="20"/>
                <w:szCs w:val="20"/>
                <w:color w:val="auto"/>
              </w:rPr>
            </w:pPr>
            <w:r>
              <w:rPr>
                <w:rFonts w:ascii="Arial" w:cs="Arial" w:eastAsia="Arial" w:hAnsi="Arial"/>
                <w:sz w:val="16"/>
                <w:szCs w:val="16"/>
                <w:color w:val="41516E"/>
              </w:rPr>
              <w:t>the holder of the outstanding shares of Class B Common Stock.</w:t>
            </w:r>
          </w:p>
        </w:tc>
        <w:tc>
          <w:tcPr>
            <w:tcW w:w="2580" w:type="dxa"/>
            <w:vAlign w:val="bottom"/>
          </w:tcPr>
          <w:p>
            <w:pPr>
              <w:spacing w:after="0"/>
              <w:rPr>
                <w:sz w:val="17"/>
                <w:szCs w:val="17"/>
                <w:color w:val="auto"/>
              </w:rPr>
            </w:pPr>
          </w:p>
        </w:tc>
      </w:tr>
      <w:tr>
        <w:trPr>
          <w:trHeight w:val="175"/>
        </w:trPr>
        <w:tc>
          <w:tcPr>
            <w:tcW w:w="780" w:type="dxa"/>
            <w:vAlign w:val="bottom"/>
            <w:shd w:val="clear" w:color="auto" w:fill="EFF0F1"/>
          </w:tcPr>
          <w:p>
            <w:pPr>
              <w:ind w:left="60"/>
              <w:spacing w:after="0" w:line="175" w:lineRule="exact"/>
              <w:rPr>
                <w:sz w:val="20"/>
                <w:szCs w:val="20"/>
                <w:color w:val="auto"/>
              </w:rPr>
            </w:pPr>
            <w:r>
              <w:rPr>
                <w:rFonts w:ascii="Arial" w:cs="Arial" w:eastAsia="Arial" w:hAnsi="Arial"/>
                <w:sz w:val="16"/>
                <w:szCs w:val="16"/>
                <w:b w:val="1"/>
                <w:bCs w:val="1"/>
                <w:color w:val="41516E"/>
              </w:rPr>
              <w:t>Item 4</w:t>
            </w:r>
          </w:p>
        </w:tc>
        <w:tc>
          <w:tcPr>
            <w:tcW w:w="7880" w:type="dxa"/>
            <w:vAlign w:val="bottom"/>
            <w:shd w:val="clear" w:color="auto" w:fill="EFF0F1"/>
          </w:tcPr>
          <w:p>
            <w:pPr>
              <w:ind w:left="260"/>
              <w:spacing w:after="0" w:line="175" w:lineRule="exact"/>
              <w:rPr>
                <w:sz w:val="20"/>
                <w:szCs w:val="20"/>
                <w:color w:val="auto"/>
              </w:rPr>
            </w:pPr>
            <w:r>
              <w:rPr>
                <w:rFonts w:ascii="Arial" w:cs="Arial" w:eastAsia="Arial" w:hAnsi="Arial"/>
                <w:sz w:val="16"/>
                <w:szCs w:val="16"/>
                <w:color w:val="41516E"/>
              </w:rPr>
              <w:t>The ratification of Deloitte &amp; Touche LLP (“Deloitte”) as our independent registered public accounting firm</w:t>
            </w:r>
          </w:p>
        </w:tc>
        <w:tc>
          <w:tcPr>
            <w:tcW w:w="2580" w:type="dxa"/>
            <w:vAlign w:val="bottom"/>
            <w:shd w:val="clear" w:color="auto" w:fill="EFF0F1"/>
          </w:tcPr>
          <w:p>
            <w:pPr>
              <w:ind w:left="100"/>
              <w:spacing w:after="0" w:line="175" w:lineRule="exact"/>
              <w:rPr>
                <w:sz w:val="20"/>
                <w:szCs w:val="20"/>
                <w:color w:val="auto"/>
              </w:rPr>
            </w:pPr>
            <w:r>
              <w:rPr>
                <w:rFonts w:ascii="Arial" w:cs="Arial" w:eastAsia="Arial" w:hAnsi="Arial"/>
                <w:sz w:val="16"/>
                <w:szCs w:val="16"/>
                <w:b w:val="1"/>
                <w:bCs w:val="1"/>
                <w:color w:val="41516E"/>
              </w:rPr>
              <w:t>FOR</w:t>
            </w:r>
          </w:p>
        </w:tc>
      </w:tr>
      <w:tr>
        <w:trPr>
          <w:trHeight w:val="189"/>
        </w:trPr>
        <w:tc>
          <w:tcPr>
            <w:tcW w:w="780" w:type="dxa"/>
            <w:vAlign w:val="bottom"/>
            <w:shd w:val="clear" w:color="auto" w:fill="EFF0F1"/>
          </w:tcPr>
          <w:p>
            <w:pPr>
              <w:spacing w:after="0"/>
              <w:rPr>
                <w:sz w:val="16"/>
                <w:szCs w:val="16"/>
                <w:color w:val="auto"/>
              </w:rPr>
            </w:pPr>
          </w:p>
        </w:tc>
        <w:tc>
          <w:tcPr>
            <w:tcW w:w="7880" w:type="dxa"/>
            <w:vAlign w:val="bottom"/>
            <w:shd w:val="clear" w:color="auto" w:fill="EFF0F1"/>
          </w:tcPr>
          <w:p>
            <w:pPr>
              <w:ind w:left="260"/>
              <w:spacing w:after="0"/>
              <w:rPr>
                <w:sz w:val="20"/>
                <w:szCs w:val="20"/>
                <w:color w:val="auto"/>
              </w:rPr>
            </w:pPr>
            <w:r>
              <w:rPr>
                <w:rFonts w:ascii="Arial" w:cs="Arial" w:eastAsia="Arial" w:hAnsi="Arial"/>
                <w:sz w:val="16"/>
                <w:szCs w:val="16"/>
                <w:color w:val="41516E"/>
              </w:rPr>
              <w:t>for Fiscal Year 2024, to be decided by the affirmative vote of the holder of the outstanding shares of</w:t>
            </w:r>
          </w:p>
        </w:tc>
        <w:tc>
          <w:tcPr>
            <w:tcW w:w="2580" w:type="dxa"/>
            <w:vAlign w:val="bottom"/>
            <w:shd w:val="clear" w:color="auto" w:fill="EFF0F1"/>
          </w:tcPr>
          <w:p>
            <w:pPr>
              <w:spacing w:after="0"/>
              <w:rPr>
                <w:sz w:val="16"/>
                <w:szCs w:val="16"/>
                <w:color w:val="auto"/>
              </w:rPr>
            </w:pPr>
          </w:p>
        </w:tc>
      </w:tr>
      <w:tr>
        <w:trPr>
          <w:trHeight w:val="203"/>
        </w:trPr>
        <w:tc>
          <w:tcPr>
            <w:tcW w:w="780" w:type="dxa"/>
            <w:vAlign w:val="bottom"/>
            <w:tcBorders>
              <w:bottom w:val="single" w:sz="8" w:color="41516E"/>
            </w:tcBorders>
            <w:shd w:val="clear" w:color="auto" w:fill="EFF0F1"/>
          </w:tcPr>
          <w:p>
            <w:pPr>
              <w:spacing w:after="0"/>
              <w:rPr>
                <w:sz w:val="17"/>
                <w:szCs w:val="17"/>
                <w:color w:val="auto"/>
              </w:rPr>
            </w:pPr>
          </w:p>
        </w:tc>
        <w:tc>
          <w:tcPr>
            <w:tcW w:w="7880" w:type="dxa"/>
            <w:vAlign w:val="bottom"/>
            <w:tcBorders>
              <w:bottom w:val="single" w:sz="8" w:color="41516E"/>
            </w:tcBorders>
            <w:shd w:val="clear" w:color="auto" w:fill="EFF0F1"/>
          </w:tcPr>
          <w:p>
            <w:pPr>
              <w:ind w:left="260"/>
              <w:spacing w:after="0"/>
              <w:rPr>
                <w:sz w:val="20"/>
                <w:szCs w:val="20"/>
                <w:color w:val="auto"/>
              </w:rPr>
            </w:pPr>
            <w:r>
              <w:rPr>
                <w:rFonts w:ascii="Arial" w:cs="Arial" w:eastAsia="Arial" w:hAnsi="Arial"/>
                <w:sz w:val="16"/>
                <w:szCs w:val="16"/>
                <w:color w:val="41516E"/>
              </w:rPr>
              <w:t>Class B Common Stock.</w:t>
            </w:r>
          </w:p>
        </w:tc>
        <w:tc>
          <w:tcPr>
            <w:tcW w:w="2580" w:type="dxa"/>
            <w:vAlign w:val="bottom"/>
            <w:tcBorders>
              <w:bottom w:val="single" w:sz="8" w:color="41516E"/>
            </w:tcBorders>
            <w:shd w:val="clear" w:color="auto" w:fill="EFF0F1"/>
          </w:tcPr>
          <w:p>
            <w:pPr>
              <w:spacing w:after="0"/>
              <w:rPr>
                <w:sz w:val="17"/>
                <w:szCs w:val="17"/>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Board Nominees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80" w:type="dxa"/>
            <w:vAlign w:val="bottom"/>
            <w:gridSpan w:val="3"/>
          </w:tcPr>
          <w:p>
            <w:pPr>
              <w:spacing w:after="0"/>
              <w:rPr>
                <w:sz w:val="20"/>
                <w:szCs w:val="20"/>
                <w:color w:val="auto"/>
              </w:rPr>
            </w:pPr>
            <w:r>
              <w:rPr>
                <w:rFonts w:ascii="Arial" w:cs="Arial" w:eastAsia="Arial" w:hAnsi="Arial"/>
                <w:sz w:val="16"/>
                <w:szCs w:val="16"/>
                <w:b w:val="1"/>
                <w:bCs w:val="1"/>
                <w:color w:val="41516E"/>
              </w:rPr>
              <w:t>CLASS A DIRECTOR NOMINEES</w:t>
            </w:r>
          </w:p>
        </w:tc>
        <w:tc>
          <w:tcPr>
            <w:tcW w:w="48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344"/>
        </w:trPr>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ind w:left="120"/>
              <w:spacing w:after="0"/>
              <w:rPr>
                <w:sz w:val="20"/>
                <w:szCs w:val="20"/>
                <w:color w:val="auto"/>
              </w:rPr>
            </w:pPr>
            <w:r>
              <w:rPr>
                <w:rFonts w:ascii="Arial" w:cs="Arial" w:eastAsia="Arial" w:hAnsi="Arial"/>
                <w:sz w:val="16"/>
                <w:szCs w:val="16"/>
                <w:b w:val="1"/>
                <w:bCs w:val="1"/>
                <w:color w:val="41516E"/>
              </w:rPr>
              <w:t>Director</w:t>
            </w:r>
          </w:p>
        </w:tc>
        <w:tc>
          <w:tcPr>
            <w:tcW w:w="48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3"/>
        </w:trPr>
        <w:tc>
          <w:tcPr>
            <w:tcW w:w="170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Name</w:t>
            </w:r>
          </w:p>
        </w:tc>
        <w:tc>
          <w:tcPr>
            <w:tcW w:w="620" w:type="dxa"/>
            <w:vAlign w:val="bottom"/>
            <w:tcBorders>
              <w:bottom w:val="single" w:sz="8" w:color="41516E"/>
            </w:tcBorders>
          </w:tcPr>
          <w:p>
            <w:pPr>
              <w:ind w:left="200"/>
              <w:spacing w:after="0"/>
              <w:rPr>
                <w:sz w:val="20"/>
                <w:szCs w:val="20"/>
                <w:color w:val="auto"/>
              </w:rPr>
            </w:pPr>
            <w:r>
              <w:rPr>
                <w:rFonts w:ascii="Arial" w:cs="Arial" w:eastAsia="Arial" w:hAnsi="Arial"/>
                <w:sz w:val="16"/>
                <w:szCs w:val="16"/>
                <w:b w:val="1"/>
                <w:bCs w:val="1"/>
                <w:color w:val="41516E"/>
              </w:rPr>
              <w:t>Age</w:t>
            </w:r>
          </w:p>
        </w:tc>
        <w:tc>
          <w:tcPr>
            <w:tcW w:w="860" w:type="dxa"/>
            <w:vAlign w:val="bottom"/>
            <w:tcBorders>
              <w:bottom w:val="single" w:sz="8" w:color="41516E"/>
            </w:tcBorders>
          </w:tcPr>
          <w:p>
            <w:pPr>
              <w:ind w:left="120"/>
              <w:spacing w:after="0"/>
              <w:rPr>
                <w:sz w:val="20"/>
                <w:szCs w:val="20"/>
                <w:color w:val="auto"/>
              </w:rPr>
            </w:pPr>
            <w:r>
              <w:rPr>
                <w:rFonts w:ascii="Arial" w:cs="Arial" w:eastAsia="Arial" w:hAnsi="Arial"/>
                <w:sz w:val="16"/>
                <w:szCs w:val="16"/>
                <w:b w:val="1"/>
                <w:bCs w:val="1"/>
                <w:color w:val="41516E"/>
              </w:rPr>
              <w:t>Since</w:t>
            </w:r>
          </w:p>
        </w:tc>
        <w:tc>
          <w:tcPr>
            <w:tcW w:w="4880" w:type="dxa"/>
            <w:vAlign w:val="bottom"/>
            <w:tcBorders>
              <w:bottom w:val="single" w:sz="8" w:color="41516E"/>
            </w:tcBorders>
          </w:tcPr>
          <w:p>
            <w:pPr>
              <w:ind w:left="100"/>
              <w:spacing w:after="0"/>
              <w:rPr>
                <w:sz w:val="20"/>
                <w:szCs w:val="20"/>
                <w:color w:val="auto"/>
              </w:rPr>
            </w:pPr>
            <w:r>
              <w:rPr>
                <w:rFonts w:ascii="Arial" w:cs="Arial" w:eastAsia="Arial" w:hAnsi="Arial"/>
                <w:sz w:val="16"/>
                <w:szCs w:val="16"/>
                <w:b w:val="1"/>
                <w:bCs w:val="1"/>
                <w:color w:val="41516E"/>
              </w:rPr>
              <w:t>Principal Occupation</w:t>
            </w:r>
          </w:p>
        </w:tc>
        <w:tc>
          <w:tcPr>
            <w:tcW w:w="3180" w:type="dxa"/>
            <w:vAlign w:val="bottom"/>
            <w:tcBorders>
              <w:bottom w:val="single" w:sz="8" w:color="41516E"/>
            </w:tcBorders>
          </w:tcPr>
          <w:p>
            <w:pPr>
              <w:ind w:left="160"/>
              <w:spacing w:after="0"/>
              <w:rPr>
                <w:sz w:val="20"/>
                <w:szCs w:val="20"/>
                <w:color w:val="auto"/>
              </w:rPr>
            </w:pPr>
            <w:r>
              <w:rPr>
                <w:rFonts w:ascii="Arial" w:cs="Arial" w:eastAsia="Arial" w:hAnsi="Arial"/>
                <w:sz w:val="16"/>
                <w:szCs w:val="16"/>
                <w:b w:val="1"/>
                <w:bCs w:val="1"/>
                <w:color w:val="41516E"/>
              </w:rPr>
              <w:t>Current Committee Assignments</w:t>
            </w:r>
          </w:p>
        </w:tc>
      </w:tr>
      <w:tr>
        <w:trPr>
          <w:trHeight w:val="183"/>
        </w:trPr>
        <w:tc>
          <w:tcPr>
            <w:tcW w:w="1700" w:type="dxa"/>
            <w:vAlign w:val="bottom"/>
          </w:tcPr>
          <w:p>
            <w:pPr>
              <w:ind w:left="60"/>
              <w:spacing w:after="0" w:line="183" w:lineRule="exact"/>
              <w:rPr>
                <w:sz w:val="20"/>
                <w:szCs w:val="20"/>
                <w:color w:val="auto"/>
              </w:rPr>
            </w:pPr>
            <w:r>
              <w:rPr>
                <w:rFonts w:ascii="Arial" w:cs="Arial" w:eastAsia="Arial" w:hAnsi="Arial"/>
                <w:sz w:val="16"/>
                <w:szCs w:val="16"/>
                <w:color w:val="41516E"/>
              </w:rPr>
              <w:t>Meghan V. Joyce*</w:t>
            </w:r>
          </w:p>
        </w:tc>
        <w:tc>
          <w:tcPr>
            <w:tcW w:w="620" w:type="dxa"/>
            <w:vAlign w:val="bottom"/>
          </w:tcPr>
          <w:p>
            <w:pPr>
              <w:ind w:left="200"/>
              <w:spacing w:after="0" w:line="183" w:lineRule="exact"/>
              <w:rPr>
                <w:sz w:val="20"/>
                <w:szCs w:val="20"/>
                <w:color w:val="auto"/>
              </w:rPr>
            </w:pPr>
            <w:r>
              <w:rPr>
                <w:rFonts w:ascii="Arial" w:cs="Arial" w:eastAsia="Arial" w:hAnsi="Arial"/>
                <w:sz w:val="16"/>
                <w:szCs w:val="16"/>
                <w:color w:val="41516E"/>
              </w:rPr>
              <w:t>39</w:t>
            </w:r>
          </w:p>
        </w:tc>
        <w:tc>
          <w:tcPr>
            <w:tcW w:w="860" w:type="dxa"/>
            <w:vAlign w:val="bottom"/>
          </w:tcPr>
          <w:p>
            <w:pPr>
              <w:ind w:left="120"/>
              <w:spacing w:after="0" w:line="183" w:lineRule="exact"/>
              <w:rPr>
                <w:sz w:val="20"/>
                <w:szCs w:val="20"/>
                <w:color w:val="auto"/>
              </w:rPr>
            </w:pPr>
            <w:r>
              <w:rPr>
                <w:rFonts w:ascii="Arial" w:cs="Arial" w:eastAsia="Arial" w:hAnsi="Arial"/>
                <w:sz w:val="16"/>
                <w:szCs w:val="16"/>
                <w:color w:val="41516E"/>
              </w:rPr>
              <w:t>2019</w:t>
            </w:r>
          </w:p>
        </w:tc>
        <w:tc>
          <w:tcPr>
            <w:tcW w:w="4880" w:type="dxa"/>
            <w:vAlign w:val="bottom"/>
          </w:tcPr>
          <w:p>
            <w:pPr>
              <w:ind w:left="100"/>
              <w:spacing w:after="0" w:line="183" w:lineRule="exact"/>
              <w:rPr>
                <w:sz w:val="20"/>
                <w:szCs w:val="20"/>
                <w:color w:val="auto"/>
              </w:rPr>
            </w:pPr>
            <w:r>
              <w:rPr>
                <w:rFonts w:ascii="Arial" w:cs="Arial" w:eastAsia="Arial" w:hAnsi="Arial"/>
                <w:sz w:val="16"/>
                <w:szCs w:val="16"/>
                <w:color w:val="41516E"/>
              </w:rPr>
              <w:t>Co-Founder and CEO of Duckbill Technologies, Inc.</w:t>
            </w:r>
          </w:p>
        </w:tc>
        <w:tc>
          <w:tcPr>
            <w:tcW w:w="3180" w:type="dxa"/>
            <w:vAlign w:val="bottom"/>
          </w:tcPr>
          <w:p>
            <w:pPr>
              <w:ind w:left="160"/>
              <w:spacing w:after="0" w:line="183" w:lineRule="exact"/>
              <w:rPr>
                <w:sz w:val="20"/>
                <w:szCs w:val="20"/>
                <w:color w:val="auto"/>
              </w:rPr>
            </w:pPr>
            <w:r>
              <w:rPr>
                <w:rFonts w:ascii="Arial" w:cs="Arial" w:eastAsia="Arial" w:hAnsi="Arial"/>
                <w:sz w:val="16"/>
                <w:szCs w:val="16"/>
                <w:color w:val="41516E"/>
              </w:rPr>
              <w:t>NomGov (Chair), Audit</w:t>
            </w:r>
          </w:p>
        </w:tc>
      </w:tr>
      <w:tr>
        <w:trPr>
          <w:trHeight w:val="175"/>
        </w:trPr>
        <w:tc>
          <w:tcPr>
            <w:tcW w:w="1700" w:type="dxa"/>
            <w:vAlign w:val="bottom"/>
            <w:shd w:val="clear" w:color="auto" w:fill="EFF0F1"/>
          </w:tcPr>
          <w:p>
            <w:pPr>
              <w:ind w:left="60"/>
              <w:spacing w:after="0" w:line="175" w:lineRule="exact"/>
              <w:rPr>
                <w:sz w:val="20"/>
                <w:szCs w:val="20"/>
                <w:color w:val="auto"/>
              </w:rPr>
            </w:pPr>
            <w:r>
              <w:rPr>
                <w:rFonts w:ascii="Arial" w:cs="Arial" w:eastAsia="Arial" w:hAnsi="Arial"/>
                <w:sz w:val="16"/>
                <w:szCs w:val="16"/>
                <w:color w:val="41516E"/>
              </w:rPr>
              <w:t>Cynthia L. Swanson</w:t>
            </w:r>
          </w:p>
        </w:tc>
        <w:tc>
          <w:tcPr>
            <w:tcW w:w="620" w:type="dxa"/>
            <w:vAlign w:val="bottom"/>
            <w:shd w:val="clear" w:color="auto" w:fill="EFF0F1"/>
          </w:tcPr>
          <w:p>
            <w:pPr>
              <w:ind w:left="200"/>
              <w:spacing w:after="0" w:line="175" w:lineRule="exact"/>
              <w:rPr>
                <w:sz w:val="20"/>
                <w:szCs w:val="20"/>
                <w:color w:val="auto"/>
              </w:rPr>
            </w:pPr>
            <w:r>
              <w:rPr>
                <w:rFonts w:ascii="Arial" w:cs="Arial" w:eastAsia="Arial" w:hAnsi="Arial"/>
                <w:sz w:val="16"/>
                <w:szCs w:val="16"/>
                <w:color w:val="41516E"/>
              </w:rPr>
              <w:t>62</w:t>
            </w:r>
          </w:p>
        </w:tc>
        <w:tc>
          <w:tcPr>
            <w:tcW w:w="860" w:type="dxa"/>
            <w:vAlign w:val="bottom"/>
            <w:shd w:val="clear" w:color="auto" w:fill="EFF0F1"/>
          </w:tcPr>
          <w:p>
            <w:pPr>
              <w:ind w:left="120"/>
              <w:spacing w:after="0" w:line="175" w:lineRule="exact"/>
              <w:rPr>
                <w:sz w:val="20"/>
                <w:szCs w:val="20"/>
                <w:color w:val="auto"/>
              </w:rPr>
            </w:pPr>
            <w:r>
              <w:rPr>
                <w:rFonts w:ascii="Arial" w:cs="Arial" w:eastAsia="Arial" w:hAnsi="Arial"/>
                <w:sz w:val="16"/>
                <w:szCs w:val="16"/>
                <w:color w:val="41516E"/>
              </w:rPr>
              <w:t>2023</w:t>
            </w:r>
          </w:p>
        </w:tc>
        <w:tc>
          <w:tcPr>
            <w:tcW w:w="4880" w:type="dxa"/>
            <w:vAlign w:val="bottom"/>
            <w:shd w:val="clear" w:color="auto" w:fill="EFF0F1"/>
          </w:tcPr>
          <w:p>
            <w:pPr>
              <w:ind w:left="100"/>
              <w:spacing w:after="0" w:line="175" w:lineRule="exact"/>
              <w:rPr>
                <w:sz w:val="20"/>
                <w:szCs w:val="20"/>
                <w:color w:val="auto"/>
              </w:rPr>
            </w:pPr>
            <w:r>
              <w:rPr>
                <w:rFonts w:ascii="Arial" w:cs="Arial" w:eastAsia="Arial" w:hAnsi="Arial"/>
                <w:sz w:val="16"/>
                <w:szCs w:val="16"/>
                <w:color w:val="41516E"/>
              </w:rPr>
              <w:t>(Retired) Chief Financial Officer (Europe and Sub Sahara Africa)</w:t>
            </w:r>
          </w:p>
        </w:tc>
        <w:tc>
          <w:tcPr>
            <w:tcW w:w="3180" w:type="dxa"/>
            <w:vAlign w:val="bottom"/>
            <w:shd w:val="clear" w:color="auto" w:fill="EFF0F1"/>
          </w:tcPr>
          <w:p>
            <w:pPr>
              <w:ind w:left="160"/>
              <w:spacing w:after="0" w:line="175" w:lineRule="exact"/>
              <w:rPr>
                <w:sz w:val="20"/>
                <w:szCs w:val="20"/>
                <w:color w:val="auto"/>
              </w:rPr>
            </w:pPr>
            <w:r>
              <w:rPr>
                <w:rFonts w:ascii="Arial" w:cs="Arial" w:eastAsia="Arial" w:hAnsi="Arial"/>
                <w:sz w:val="16"/>
                <w:szCs w:val="16"/>
                <w:color w:val="41516E"/>
              </w:rPr>
              <w:t>Audit, Comp</w:t>
            </w:r>
          </w:p>
        </w:tc>
      </w:tr>
      <w:tr>
        <w:trPr>
          <w:trHeight w:val="203"/>
        </w:trPr>
        <w:tc>
          <w:tcPr>
            <w:tcW w:w="1700" w:type="dxa"/>
            <w:vAlign w:val="bottom"/>
            <w:shd w:val="clear" w:color="auto" w:fill="EFF0F1"/>
          </w:tcPr>
          <w:p>
            <w:pPr>
              <w:spacing w:after="0"/>
              <w:rPr>
                <w:sz w:val="17"/>
                <w:szCs w:val="17"/>
                <w:color w:val="auto"/>
              </w:rPr>
            </w:pPr>
          </w:p>
        </w:tc>
        <w:tc>
          <w:tcPr>
            <w:tcW w:w="620" w:type="dxa"/>
            <w:vAlign w:val="bottom"/>
            <w:shd w:val="clear" w:color="auto" w:fill="EFF0F1"/>
          </w:tcPr>
          <w:p>
            <w:pPr>
              <w:spacing w:after="0"/>
              <w:rPr>
                <w:sz w:val="17"/>
                <w:szCs w:val="17"/>
                <w:color w:val="auto"/>
              </w:rPr>
            </w:pPr>
          </w:p>
        </w:tc>
        <w:tc>
          <w:tcPr>
            <w:tcW w:w="860" w:type="dxa"/>
            <w:vAlign w:val="bottom"/>
            <w:shd w:val="clear" w:color="auto" w:fill="EFF0F1"/>
          </w:tcPr>
          <w:p>
            <w:pPr>
              <w:spacing w:after="0"/>
              <w:rPr>
                <w:sz w:val="17"/>
                <w:szCs w:val="17"/>
                <w:color w:val="auto"/>
              </w:rPr>
            </w:pPr>
          </w:p>
        </w:tc>
        <w:tc>
          <w:tcPr>
            <w:tcW w:w="4880" w:type="dxa"/>
            <w:vAlign w:val="bottom"/>
            <w:shd w:val="clear" w:color="auto" w:fill="EFF0F1"/>
          </w:tcPr>
          <w:p>
            <w:pPr>
              <w:ind w:left="100"/>
              <w:spacing w:after="0"/>
              <w:rPr>
                <w:sz w:val="20"/>
                <w:szCs w:val="20"/>
                <w:color w:val="auto"/>
              </w:rPr>
            </w:pPr>
            <w:r>
              <w:rPr>
                <w:rFonts w:ascii="Arial" w:cs="Arial" w:eastAsia="Arial" w:hAnsi="Arial"/>
                <w:sz w:val="16"/>
                <w:szCs w:val="16"/>
                <w:color w:val="41516E"/>
              </w:rPr>
              <w:t>of PepsiCo</w:t>
            </w:r>
          </w:p>
        </w:tc>
        <w:tc>
          <w:tcPr>
            <w:tcW w:w="3180" w:type="dxa"/>
            <w:vAlign w:val="bottom"/>
            <w:shd w:val="clear" w:color="auto" w:fill="EFF0F1"/>
          </w:tcPr>
          <w:p>
            <w:pPr>
              <w:spacing w:after="0"/>
              <w:rPr>
                <w:sz w:val="17"/>
                <w:szCs w:val="17"/>
                <w:color w:val="auto"/>
              </w:rPr>
            </w:pPr>
          </w:p>
        </w:tc>
      </w:tr>
      <w:tr>
        <w:trPr>
          <w:trHeight w:val="189"/>
        </w:trPr>
        <w:tc>
          <w:tcPr>
            <w:tcW w:w="1700" w:type="dxa"/>
            <w:vAlign w:val="bottom"/>
            <w:tcBorders>
              <w:bottom w:val="single" w:sz="8" w:color="41516E"/>
            </w:tcBorders>
          </w:tcPr>
          <w:p>
            <w:pPr>
              <w:ind w:left="60"/>
              <w:spacing w:after="0"/>
              <w:rPr>
                <w:sz w:val="20"/>
                <w:szCs w:val="20"/>
                <w:color w:val="auto"/>
              </w:rPr>
            </w:pPr>
            <w:r>
              <w:rPr>
                <w:rFonts w:ascii="Arial" w:cs="Arial" w:eastAsia="Arial" w:hAnsi="Arial"/>
                <w:sz w:val="16"/>
                <w:szCs w:val="16"/>
                <w:color w:val="41516E"/>
              </w:rPr>
              <w:t>Jean-Michel Valette</w:t>
            </w:r>
          </w:p>
        </w:tc>
        <w:tc>
          <w:tcPr>
            <w:tcW w:w="620" w:type="dxa"/>
            <w:vAlign w:val="bottom"/>
            <w:tcBorders>
              <w:bottom w:val="single" w:sz="8" w:color="41516E"/>
            </w:tcBorders>
          </w:tcPr>
          <w:p>
            <w:pPr>
              <w:ind w:left="200"/>
              <w:spacing w:after="0"/>
              <w:rPr>
                <w:sz w:val="20"/>
                <w:szCs w:val="20"/>
                <w:color w:val="auto"/>
              </w:rPr>
            </w:pPr>
            <w:r>
              <w:rPr>
                <w:rFonts w:ascii="Arial" w:cs="Arial" w:eastAsia="Arial" w:hAnsi="Arial"/>
                <w:sz w:val="16"/>
                <w:szCs w:val="16"/>
                <w:color w:val="41516E"/>
              </w:rPr>
              <w:t>63</w:t>
            </w:r>
          </w:p>
        </w:tc>
        <w:tc>
          <w:tcPr>
            <w:tcW w:w="860" w:type="dxa"/>
            <w:vAlign w:val="bottom"/>
            <w:tcBorders>
              <w:bottom w:val="single" w:sz="8" w:color="41516E"/>
            </w:tcBorders>
          </w:tcPr>
          <w:p>
            <w:pPr>
              <w:ind w:left="120"/>
              <w:spacing w:after="0"/>
              <w:rPr>
                <w:sz w:val="20"/>
                <w:szCs w:val="20"/>
                <w:color w:val="auto"/>
              </w:rPr>
            </w:pPr>
            <w:r>
              <w:rPr>
                <w:rFonts w:ascii="Arial" w:cs="Arial" w:eastAsia="Arial" w:hAnsi="Arial"/>
                <w:sz w:val="16"/>
                <w:szCs w:val="16"/>
                <w:color w:val="41516E"/>
              </w:rPr>
              <w:t>2003</w:t>
            </w:r>
          </w:p>
        </w:tc>
        <w:tc>
          <w:tcPr>
            <w:tcW w:w="4880" w:type="dxa"/>
            <w:vAlign w:val="bottom"/>
            <w:tcBorders>
              <w:bottom w:val="single" w:sz="8" w:color="41516E"/>
            </w:tcBorders>
          </w:tcPr>
          <w:p>
            <w:pPr>
              <w:ind w:left="100"/>
              <w:spacing w:after="0"/>
              <w:rPr>
                <w:sz w:val="20"/>
                <w:szCs w:val="20"/>
                <w:color w:val="auto"/>
              </w:rPr>
            </w:pPr>
            <w:r>
              <w:rPr>
                <w:rFonts w:ascii="Arial" w:cs="Arial" w:eastAsia="Arial" w:hAnsi="Arial"/>
                <w:sz w:val="16"/>
                <w:szCs w:val="16"/>
                <w:color w:val="41516E"/>
              </w:rPr>
              <w:t>Independent advisor for select branded consumer companies</w:t>
            </w:r>
          </w:p>
        </w:tc>
        <w:tc>
          <w:tcPr>
            <w:tcW w:w="3180" w:type="dxa"/>
            <w:vAlign w:val="bottom"/>
            <w:tcBorders>
              <w:bottom w:val="single" w:sz="8" w:color="41516E"/>
            </w:tcBorders>
          </w:tcPr>
          <w:p>
            <w:pPr>
              <w:ind w:left="160"/>
              <w:spacing w:after="0"/>
              <w:rPr>
                <w:sz w:val="20"/>
                <w:szCs w:val="20"/>
                <w:color w:val="auto"/>
              </w:rPr>
            </w:pPr>
            <w:r>
              <w:rPr>
                <w:rFonts w:ascii="Arial" w:cs="Arial" w:eastAsia="Arial" w:hAnsi="Arial"/>
                <w:sz w:val="16"/>
                <w:szCs w:val="16"/>
                <w:color w:val="41516E"/>
              </w:rPr>
              <w:t>Audit (chair), NomGov</w:t>
            </w:r>
          </w:p>
        </w:tc>
      </w:tr>
      <w:tr>
        <w:trPr>
          <w:trHeight w:val="391"/>
        </w:trPr>
        <w:tc>
          <w:tcPr>
            <w:tcW w:w="3180" w:type="dxa"/>
            <w:vAlign w:val="bottom"/>
            <w:gridSpan w:val="3"/>
          </w:tcPr>
          <w:p>
            <w:pPr>
              <w:spacing w:after="0"/>
              <w:rPr>
                <w:sz w:val="20"/>
                <w:szCs w:val="20"/>
                <w:color w:val="auto"/>
              </w:rPr>
            </w:pPr>
            <w:r>
              <w:rPr>
                <w:rFonts w:ascii="Arial" w:cs="Arial" w:eastAsia="Arial" w:hAnsi="Arial"/>
                <w:sz w:val="16"/>
                <w:szCs w:val="16"/>
                <w:b w:val="1"/>
                <w:bCs w:val="1"/>
                <w:color w:val="41516E"/>
              </w:rPr>
              <w:t>CLASS B DIRECTOR NOMINEES</w:t>
            </w:r>
          </w:p>
        </w:tc>
        <w:tc>
          <w:tcPr>
            <w:tcW w:w="48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44"/>
        </w:trPr>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ind w:left="120"/>
              <w:spacing w:after="0"/>
              <w:rPr>
                <w:sz w:val="20"/>
                <w:szCs w:val="20"/>
                <w:color w:val="auto"/>
              </w:rPr>
            </w:pPr>
            <w:r>
              <w:rPr>
                <w:rFonts w:ascii="Arial" w:cs="Arial" w:eastAsia="Arial" w:hAnsi="Arial"/>
                <w:sz w:val="16"/>
                <w:szCs w:val="16"/>
                <w:b w:val="1"/>
                <w:bCs w:val="1"/>
                <w:color w:val="41516E"/>
              </w:rPr>
              <w:t>Director</w:t>
            </w:r>
          </w:p>
        </w:tc>
        <w:tc>
          <w:tcPr>
            <w:tcW w:w="48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03"/>
        </w:trPr>
        <w:tc>
          <w:tcPr>
            <w:tcW w:w="170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Name</w:t>
            </w:r>
          </w:p>
        </w:tc>
        <w:tc>
          <w:tcPr>
            <w:tcW w:w="620" w:type="dxa"/>
            <w:vAlign w:val="bottom"/>
            <w:tcBorders>
              <w:bottom w:val="single" w:sz="8" w:color="41516E"/>
            </w:tcBorders>
          </w:tcPr>
          <w:p>
            <w:pPr>
              <w:ind w:left="200"/>
              <w:spacing w:after="0"/>
              <w:rPr>
                <w:sz w:val="20"/>
                <w:szCs w:val="20"/>
                <w:color w:val="auto"/>
              </w:rPr>
            </w:pPr>
            <w:r>
              <w:rPr>
                <w:rFonts w:ascii="Arial" w:cs="Arial" w:eastAsia="Arial" w:hAnsi="Arial"/>
                <w:sz w:val="16"/>
                <w:szCs w:val="16"/>
                <w:b w:val="1"/>
                <w:bCs w:val="1"/>
                <w:color w:val="41516E"/>
              </w:rPr>
              <w:t>Age</w:t>
            </w:r>
          </w:p>
        </w:tc>
        <w:tc>
          <w:tcPr>
            <w:tcW w:w="860" w:type="dxa"/>
            <w:vAlign w:val="bottom"/>
            <w:tcBorders>
              <w:bottom w:val="single" w:sz="8" w:color="41516E"/>
            </w:tcBorders>
          </w:tcPr>
          <w:p>
            <w:pPr>
              <w:ind w:left="120"/>
              <w:spacing w:after="0"/>
              <w:rPr>
                <w:sz w:val="20"/>
                <w:szCs w:val="20"/>
                <w:color w:val="auto"/>
              </w:rPr>
            </w:pPr>
            <w:r>
              <w:rPr>
                <w:rFonts w:ascii="Arial" w:cs="Arial" w:eastAsia="Arial" w:hAnsi="Arial"/>
                <w:sz w:val="16"/>
                <w:szCs w:val="16"/>
                <w:b w:val="1"/>
                <w:bCs w:val="1"/>
                <w:color w:val="41516E"/>
              </w:rPr>
              <w:t>Since</w:t>
            </w:r>
          </w:p>
        </w:tc>
        <w:tc>
          <w:tcPr>
            <w:tcW w:w="4880" w:type="dxa"/>
            <w:vAlign w:val="bottom"/>
            <w:tcBorders>
              <w:bottom w:val="single" w:sz="8" w:color="41516E"/>
            </w:tcBorders>
          </w:tcPr>
          <w:p>
            <w:pPr>
              <w:ind w:left="100"/>
              <w:spacing w:after="0"/>
              <w:rPr>
                <w:sz w:val="20"/>
                <w:szCs w:val="20"/>
                <w:color w:val="auto"/>
              </w:rPr>
            </w:pPr>
            <w:r>
              <w:rPr>
                <w:rFonts w:ascii="Arial" w:cs="Arial" w:eastAsia="Arial" w:hAnsi="Arial"/>
                <w:sz w:val="16"/>
                <w:szCs w:val="16"/>
                <w:b w:val="1"/>
                <w:bCs w:val="1"/>
                <w:color w:val="41516E"/>
              </w:rPr>
              <w:t>Principal Occupation</w:t>
            </w:r>
          </w:p>
        </w:tc>
        <w:tc>
          <w:tcPr>
            <w:tcW w:w="3180" w:type="dxa"/>
            <w:vAlign w:val="bottom"/>
            <w:tcBorders>
              <w:bottom w:val="single" w:sz="8" w:color="41516E"/>
            </w:tcBorders>
          </w:tcPr>
          <w:p>
            <w:pPr>
              <w:ind w:left="160"/>
              <w:spacing w:after="0"/>
              <w:rPr>
                <w:sz w:val="20"/>
                <w:szCs w:val="20"/>
                <w:color w:val="auto"/>
              </w:rPr>
            </w:pPr>
            <w:r>
              <w:rPr>
                <w:rFonts w:ascii="Arial" w:cs="Arial" w:eastAsia="Arial" w:hAnsi="Arial"/>
                <w:sz w:val="16"/>
                <w:szCs w:val="16"/>
                <w:b w:val="1"/>
                <w:bCs w:val="1"/>
                <w:color w:val="41516E"/>
              </w:rPr>
              <w:t>Current Committee Assignments</w:t>
            </w:r>
          </w:p>
        </w:tc>
      </w:tr>
      <w:tr>
        <w:trPr>
          <w:trHeight w:val="183"/>
        </w:trPr>
        <w:tc>
          <w:tcPr>
            <w:tcW w:w="1700" w:type="dxa"/>
            <w:vAlign w:val="bottom"/>
          </w:tcPr>
          <w:p>
            <w:pPr>
              <w:ind w:left="60"/>
              <w:spacing w:after="0" w:line="183" w:lineRule="exact"/>
              <w:rPr>
                <w:sz w:val="20"/>
                <w:szCs w:val="20"/>
                <w:color w:val="auto"/>
              </w:rPr>
            </w:pPr>
            <w:r>
              <w:rPr>
                <w:rFonts w:ascii="Arial" w:cs="Arial" w:eastAsia="Arial" w:hAnsi="Arial"/>
                <w:sz w:val="16"/>
                <w:szCs w:val="16"/>
                <w:color w:val="41516E"/>
              </w:rPr>
              <w:t>Michael Spillane**</w:t>
            </w:r>
          </w:p>
        </w:tc>
        <w:tc>
          <w:tcPr>
            <w:tcW w:w="620" w:type="dxa"/>
            <w:vAlign w:val="bottom"/>
          </w:tcPr>
          <w:p>
            <w:pPr>
              <w:ind w:left="200"/>
              <w:spacing w:after="0" w:line="183" w:lineRule="exact"/>
              <w:rPr>
                <w:sz w:val="20"/>
                <w:szCs w:val="20"/>
                <w:color w:val="auto"/>
              </w:rPr>
            </w:pPr>
            <w:r>
              <w:rPr>
                <w:rFonts w:ascii="Arial" w:cs="Arial" w:eastAsia="Arial" w:hAnsi="Arial"/>
                <w:sz w:val="16"/>
                <w:szCs w:val="16"/>
                <w:color w:val="41516E"/>
              </w:rPr>
              <w:t>64</w:t>
            </w:r>
          </w:p>
        </w:tc>
        <w:tc>
          <w:tcPr>
            <w:tcW w:w="860" w:type="dxa"/>
            <w:vAlign w:val="bottom"/>
          </w:tcPr>
          <w:p>
            <w:pPr>
              <w:ind w:left="120"/>
              <w:spacing w:after="0" w:line="183" w:lineRule="exact"/>
              <w:rPr>
                <w:sz w:val="20"/>
                <w:szCs w:val="20"/>
                <w:color w:val="auto"/>
              </w:rPr>
            </w:pPr>
            <w:r>
              <w:rPr>
                <w:rFonts w:ascii="Arial" w:cs="Arial" w:eastAsia="Arial" w:hAnsi="Arial"/>
                <w:sz w:val="16"/>
                <w:szCs w:val="16"/>
                <w:color w:val="41516E"/>
              </w:rPr>
              <w:t>2016</w:t>
            </w:r>
          </w:p>
        </w:tc>
        <w:tc>
          <w:tcPr>
            <w:tcW w:w="4880" w:type="dxa"/>
            <w:vAlign w:val="bottom"/>
          </w:tcPr>
          <w:p>
            <w:pPr>
              <w:ind w:left="100"/>
              <w:spacing w:after="0" w:line="183" w:lineRule="exact"/>
              <w:rPr>
                <w:sz w:val="20"/>
                <w:szCs w:val="20"/>
                <w:color w:val="auto"/>
              </w:rPr>
            </w:pPr>
            <w:r>
              <w:rPr>
                <w:rFonts w:ascii="Arial" w:cs="Arial" w:eastAsia="Arial" w:hAnsi="Arial"/>
                <w:sz w:val="16"/>
                <w:szCs w:val="16"/>
                <w:color w:val="41516E"/>
              </w:rPr>
              <w:t>President and CEO of Boston Beer as of April 1, 2024</w:t>
            </w:r>
          </w:p>
        </w:tc>
        <w:tc>
          <w:tcPr>
            <w:tcW w:w="3180" w:type="dxa"/>
            <w:vAlign w:val="bottom"/>
          </w:tcPr>
          <w:p>
            <w:pPr>
              <w:ind w:left="160"/>
              <w:spacing w:after="0" w:line="183" w:lineRule="exact"/>
              <w:rPr>
                <w:sz w:val="20"/>
                <w:szCs w:val="20"/>
                <w:color w:val="auto"/>
              </w:rPr>
            </w:pPr>
            <w:r>
              <w:rPr>
                <w:rFonts w:ascii="Arial" w:cs="Arial" w:eastAsia="Arial" w:hAnsi="Arial"/>
                <w:sz w:val="16"/>
                <w:szCs w:val="16"/>
                <w:color w:val="41516E"/>
              </w:rPr>
              <w:t>Comp, NomGov</w:t>
            </w:r>
          </w:p>
        </w:tc>
      </w:tr>
      <w:tr>
        <w:trPr>
          <w:trHeight w:val="175"/>
        </w:trPr>
        <w:tc>
          <w:tcPr>
            <w:tcW w:w="1700" w:type="dxa"/>
            <w:vAlign w:val="bottom"/>
            <w:shd w:val="clear" w:color="auto" w:fill="EFF0F1"/>
          </w:tcPr>
          <w:p>
            <w:pPr>
              <w:ind w:left="60"/>
              <w:spacing w:after="0" w:line="175" w:lineRule="exact"/>
              <w:rPr>
                <w:sz w:val="20"/>
                <w:szCs w:val="20"/>
                <w:color w:val="auto"/>
              </w:rPr>
            </w:pPr>
            <w:r>
              <w:rPr>
                <w:rFonts w:ascii="Arial" w:cs="Arial" w:eastAsia="Arial" w:hAnsi="Arial"/>
                <w:sz w:val="16"/>
                <w:szCs w:val="16"/>
                <w:color w:val="41516E"/>
              </w:rPr>
              <w:t>Samuel A.</w:t>
            </w:r>
          </w:p>
        </w:tc>
        <w:tc>
          <w:tcPr>
            <w:tcW w:w="620" w:type="dxa"/>
            <w:vAlign w:val="bottom"/>
            <w:shd w:val="clear" w:color="auto" w:fill="EFF0F1"/>
          </w:tcPr>
          <w:p>
            <w:pPr>
              <w:ind w:left="200"/>
              <w:spacing w:after="0" w:line="175" w:lineRule="exact"/>
              <w:rPr>
                <w:sz w:val="20"/>
                <w:szCs w:val="20"/>
                <w:color w:val="auto"/>
              </w:rPr>
            </w:pPr>
            <w:r>
              <w:rPr>
                <w:rFonts w:ascii="Arial" w:cs="Arial" w:eastAsia="Arial" w:hAnsi="Arial"/>
                <w:sz w:val="16"/>
                <w:szCs w:val="16"/>
                <w:color w:val="41516E"/>
              </w:rPr>
              <w:t>54</w:t>
            </w:r>
          </w:p>
        </w:tc>
        <w:tc>
          <w:tcPr>
            <w:tcW w:w="860" w:type="dxa"/>
            <w:vAlign w:val="bottom"/>
            <w:shd w:val="clear" w:color="auto" w:fill="EFF0F1"/>
          </w:tcPr>
          <w:p>
            <w:pPr>
              <w:ind w:left="120"/>
              <w:spacing w:after="0" w:line="175" w:lineRule="exact"/>
              <w:rPr>
                <w:sz w:val="20"/>
                <w:szCs w:val="20"/>
                <w:color w:val="auto"/>
              </w:rPr>
            </w:pPr>
            <w:r>
              <w:rPr>
                <w:rFonts w:ascii="Arial" w:cs="Arial" w:eastAsia="Arial" w:hAnsi="Arial"/>
                <w:sz w:val="16"/>
                <w:szCs w:val="16"/>
                <w:color w:val="41516E"/>
              </w:rPr>
              <w:t>2020</w:t>
            </w:r>
          </w:p>
        </w:tc>
        <w:tc>
          <w:tcPr>
            <w:tcW w:w="4880" w:type="dxa"/>
            <w:vAlign w:val="bottom"/>
            <w:shd w:val="clear" w:color="auto" w:fill="EFF0F1"/>
          </w:tcPr>
          <w:p>
            <w:pPr>
              <w:ind w:left="100"/>
              <w:spacing w:after="0" w:line="175" w:lineRule="exact"/>
              <w:rPr>
                <w:sz w:val="20"/>
                <w:szCs w:val="20"/>
                <w:color w:val="auto"/>
              </w:rPr>
            </w:pPr>
            <w:r>
              <w:rPr>
                <w:rFonts w:ascii="Arial" w:cs="Arial" w:eastAsia="Arial" w:hAnsi="Arial"/>
                <w:sz w:val="16"/>
                <w:szCs w:val="16"/>
                <w:color w:val="41516E"/>
              </w:rPr>
              <w:t>Founder and Brewer of Dogfish Head Brewery</w:t>
            </w:r>
          </w:p>
        </w:tc>
        <w:tc>
          <w:tcPr>
            <w:tcW w:w="3180" w:type="dxa"/>
            <w:vAlign w:val="bottom"/>
            <w:shd w:val="clear" w:color="auto" w:fill="EFF0F1"/>
          </w:tcPr>
          <w:p>
            <w:pPr>
              <w:ind w:left="160"/>
              <w:spacing w:after="0" w:line="175" w:lineRule="exact"/>
              <w:rPr>
                <w:sz w:val="20"/>
                <w:szCs w:val="20"/>
                <w:color w:val="auto"/>
              </w:rPr>
            </w:pPr>
            <w:r>
              <w:rPr>
                <w:rFonts w:ascii="Arial" w:cs="Arial" w:eastAsia="Arial" w:hAnsi="Arial"/>
                <w:sz w:val="16"/>
                <w:szCs w:val="16"/>
                <w:color w:val="41516E"/>
              </w:rPr>
              <w:t>-</w:t>
            </w:r>
          </w:p>
        </w:tc>
      </w:tr>
      <w:tr>
        <w:trPr>
          <w:trHeight w:val="203"/>
        </w:trPr>
        <w:tc>
          <w:tcPr>
            <w:tcW w:w="17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Calagione, III</w:t>
            </w:r>
          </w:p>
        </w:tc>
        <w:tc>
          <w:tcPr>
            <w:tcW w:w="620" w:type="dxa"/>
            <w:vAlign w:val="bottom"/>
            <w:shd w:val="clear" w:color="auto" w:fill="EFF0F1"/>
          </w:tcPr>
          <w:p>
            <w:pPr>
              <w:spacing w:after="0"/>
              <w:rPr>
                <w:sz w:val="17"/>
                <w:szCs w:val="17"/>
                <w:color w:val="auto"/>
              </w:rPr>
            </w:pPr>
          </w:p>
        </w:tc>
        <w:tc>
          <w:tcPr>
            <w:tcW w:w="860" w:type="dxa"/>
            <w:vAlign w:val="bottom"/>
            <w:shd w:val="clear" w:color="auto" w:fill="EFF0F1"/>
          </w:tcPr>
          <w:p>
            <w:pPr>
              <w:spacing w:after="0"/>
              <w:rPr>
                <w:sz w:val="17"/>
                <w:szCs w:val="17"/>
                <w:color w:val="auto"/>
              </w:rPr>
            </w:pPr>
          </w:p>
        </w:tc>
        <w:tc>
          <w:tcPr>
            <w:tcW w:w="4880" w:type="dxa"/>
            <w:vAlign w:val="bottom"/>
            <w:shd w:val="clear" w:color="auto" w:fill="EFF0F1"/>
          </w:tcPr>
          <w:p>
            <w:pPr>
              <w:spacing w:after="0"/>
              <w:rPr>
                <w:sz w:val="17"/>
                <w:szCs w:val="17"/>
                <w:color w:val="auto"/>
              </w:rPr>
            </w:pPr>
          </w:p>
        </w:tc>
        <w:tc>
          <w:tcPr>
            <w:tcW w:w="3180" w:type="dxa"/>
            <w:vAlign w:val="bottom"/>
            <w:shd w:val="clear" w:color="auto" w:fill="EFF0F1"/>
          </w:tcPr>
          <w:p>
            <w:pPr>
              <w:spacing w:after="0"/>
              <w:rPr>
                <w:sz w:val="17"/>
                <w:szCs w:val="17"/>
                <w:color w:val="auto"/>
              </w:rPr>
            </w:pPr>
          </w:p>
        </w:tc>
      </w:tr>
      <w:tr>
        <w:trPr>
          <w:trHeight w:val="189"/>
        </w:trPr>
        <w:tc>
          <w:tcPr>
            <w:tcW w:w="1700" w:type="dxa"/>
            <w:vAlign w:val="bottom"/>
          </w:tcPr>
          <w:p>
            <w:pPr>
              <w:ind w:left="60"/>
              <w:spacing w:after="0"/>
              <w:rPr>
                <w:sz w:val="20"/>
                <w:szCs w:val="20"/>
                <w:color w:val="auto"/>
              </w:rPr>
            </w:pPr>
            <w:r>
              <w:rPr>
                <w:rFonts w:ascii="Arial" w:cs="Arial" w:eastAsia="Arial" w:hAnsi="Arial"/>
                <w:sz w:val="16"/>
                <w:szCs w:val="16"/>
                <w:color w:val="41516E"/>
              </w:rPr>
              <w:t>Cynthia A. Fisher</w:t>
            </w:r>
          </w:p>
        </w:tc>
        <w:tc>
          <w:tcPr>
            <w:tcW w:w="620" w:type="dxa"/>
            <w:vAlign w:val="bottom"/>
          </w:tcPr>
          <w:p>
            <w:pPr>
              <w:ind w:left="200"/>
              <w:spacing w:after="0"/>
              <w:rPr>
                <w:sz w:val="20"/>
                <w:szCs w:val="20"/>
                <w:color w:val="auto"/>
              </w:rPr>
            </w:pPr>
            <w:r>
              <w:rPr>
                <w:rFonts w:ascii="Arial" w:cs="Arial" w:eastAsia="Arial" w:hAnsi="Arial"/>
                <w:sz w:val="16"/>
                <w:szCs w:val="16"/>
                <w:color w:val="41516E"/>
              </w:rPr>
              <w:t>63</w:t>
            </w:r>
          </w:p>
        </w:tc>
        <w:tc>
          <w:tcPr>
            <w:tcW w:w="860" w:type="dxa"/>
            <w:vAlign w:val="bottom"/>
          </w:tcPr>
          <w:p>
            <w:pPr>
              <w:ind w:left="120"/>
              <w:spacing w:after="0"/>
              <w:rPr>
                <w:sz w:val="20"/>
                <w:szCs w:val="20"/>
                <w:color w:val="auto"/>
              </w:rPr>
            </w:pPr>
            <w:r>
              <w:rPr>
                <w:rFonts w:ascii="Arial" w:cs="Arial" w:eastAsia="Arial" w:hAnsi="Arial"/>
                <w:sz w:val="16"/>
                <w:szCs w:val="16"/>
                <w:color w:val="41516E"/>
              </w:rPr>
              <w:t>2012</w:t>
            </w:r>
          </w:p>
        </w:tc>
        <w:tc>
          <w:tcPr>
            <w:tcW w:w="4880" w:type="dxa"/>
            <w:vAlign w:val="bottom"/>
          </w:tcPr>
          <w:p>
            <w:pPr>
              <w:ind w:left="100"/>
              <w:spacing w:after="0"/>
              <w:rPr>
                <w:sz w:val="20"/>
                <w:szCs w:val="20"/>
                <w:color w:val="auto"/>
              </w:rPr>
            </w:pPr>
            <w:r>
              <w:rPr>
                <w:rFonts w:ascii="Arial" w:cs="Arial" w:eastAsia="Arial" w:hAnsi="Arial"/>
                <w:sz w:val="16"/>
                <w:szCs w:val="16"/>
                <w:color w:val="41516E"/>
              </w:rPr>
              <w:t>Founder and Chairman of PatientRightsAdvocate.org</w:t>
            </w:r>
          </w:p>
        </w:tc>
        <w:tc>
          <w:tcPr>
            <w:tcW w:w="3180" w:type="dxa"/>
            <w:vAlign w:val="bottom"/>
          </w:tcPr>
          <w:p>
            <w:pPr>
              <w:ind w:left="160"/>
              <w:spacing w:after="0"/>
              <w:rPr>
                <w:sz w:val="20"/>
                <w:szCs w:val="20"/>
                <w:color w:val="auto"/>
              </w:rPr>
            </w:pPr>
            <w:r>
              <w:rPr>
                <w:rFonts w:ascii="Arial" w:cs="Arial" w:eastAsia="Arial" w:hAnsi="Arial"/>
                <w:sz w:val="16"/>
                <w:szCs w:val="16"/>
                <w:color w:val="41516E"/>
              </w:rPr>
              <w:t>-</w:t>
            </w:r>
          </w:p>
        </w:tc>
      </w:tr>
      <w:tr>
        <w:trPr>
          <w:trHeight w:val="189"/>
        </w:trPr>
        <w:tc>
          <w:tcPr>
            <w:tcW w:w="17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C. James Koch</w:t>
            </w:r>
          </w:p>
        </w:tc>
        <w:tc>
          <w:tcPr>
            <w:tcW w:w="620" w:type="dxa"/>
            <w:vAlign w:val="bottom"/>
            <w:shd w:val="clear" w:color="auto" w:fill="EFF0F1"/>
          </w:tcPr>
          <w:p>
            <w:pPr>
              <w:ind w:left="200"/>
              <w:spacing w:after="0"/>
              <w:rPr>
                <w:sz w:val="20"/>
                <w:szCs w:val="20"/>
                <w:color w:val="auto"/>
              </w:rPr>
            </w:pPr>
            <w:r>
              <w:rPr>
                <w:rFonts w:ascii="Arial" w:cs="Arial" w:eastAsia="Arial" w:hAnsi="Arial"/>
                <w:sz w:val="16"/>
                <w:szCs w:val="16"/>
                <w:color w:val="41516E"/>
              </w:rPr>
              <w:t>74</w:t>
            </w:r>
          </w:p>
        </w:tc>
        <w:tc>
          <w:tcPr>
            <w:tcW w:w="860" w:type="dxa"/>
            <w:vAlign w:val="bottom"/>
            <w:shd w:val="clear" w:color="auto" w:fill="EFF0F1"/>
          </w:tcPr>
          <w:p>
            <w:pPr>
              <w:ind w:left="120"/>
              <w:spacing w:after="0"/>
              <w:rPr>
                <w:sz w:val="20"/>
                <w:szCs w:val="20"/>
                <w:color w:val="auto"/>
              </w:rPr>
            </w:pPr>
            <w:r>
              <w:rPr>
                <w:rFonts w:ascii="Arial" w:cs="Arial" w:eastAsia="Arial" w:hAnsi="Arial"/>
                <w:sz w:val="16"/>
                <w:szCs w:val="16"/>
                <w:color w:val="41516E"/>
              </w:rPr>
              <w:t>1995</w:t>
            </w:r>
          </w:p>
        </w:tc>
        <w:tc>
          <w:tcPr>
            <w:tcW w:w="4880" w:type="dxa"/>
            <w:vAlign w:val="bottom"/>
            <w:shd w:val="clear" w:color="auto" w:fill="EFF0F1"/>
          </w:tcPr>
          <w:p>
            <w:pPr>
              <w:ind w:left="100"/>
              <w:spacing w:after="0"/>
              <w:rPr>
                <w:sz w:val="20"/>
                <w:szCs w:val="20"/>
                <w:color w:val="auto"/>
              </w:rPr>
            </w:pPr>
            <w:r>
              <w:rPr>
                <w:rFonts w:ascii="Arial" w:cs="Arial" w:eastAsia="Arial" w:hAnsi="Arial"/>
                <w:sz w:val="16"/>
                <w:szCs w:val="16"/>
                <w:color w:val="41516E"/>
              </w:rPr>
              <w:t>Founder and Chairman of Boston Beer</w:t>
            </w:r>
          </w:p>
        </w:tc>
        <w:tc>
          <w:tcPr>
            <w:tcW w:w="3180" w:type="dxa"/>
            <w:vAlign w:val="bottom"/>
            <w:shd w:val="clear" w:color="auto" w:fill="EFF0F1"/>
          </w:tcPr>
          <w:p>
            <w:pPr>
              <w:ind w:left="160"/>
              <w:spacing w:after="0"/>
              <w:rPr>
                <w:sz w:val="20"/>
                <w:szCs w:val="20"/>
                <w:color w:val="auto"/>
              </w:rPr>
            </w:pPr>
            <w:r>
              <w:rPr>
                <w:rFonts w:ascii="Arial" w:cs="Arial" w:eastAsia="Arial" w:hAnsi="Arial"/>
                <w:sz w:val="16"/>
                <w:szCs w:val="16"/>
                <w:color w:val="41516E"/>
              </w:rPr>
              <w:t>-</w:t>
            </w:r>
          </w:p>
        </w:tc>
      </w:tr>
      <w:tr>
        <w:trPr>
          <w:trHeight w:val="189"/>
        </w:trPr>
        <w:tc>
          <w:tcPr>
            <w:tcW w:w="1700" w:type="dxa"/>
            <w:vAlign w:val="bottom"/>
            <w:tcBorders>
              <w:bottom w:val="single" w:sz="8" w:color="41516E"/>
            </w:tcBorders>
          </w:tcPr>
          <w:p>
            <w:pPr>
              <w:ind w:left="60"/>
              <w:spacing w:after="0"/>
              <w:rPr>
                <w:sz w:val="20"/>
                <w:szCs w:val="20"/>
                <w:color w:val="auto"/>
              </w:rPr>
            </w:pPr>
            <w:r>
              <w:rPr>
                <w:rFonts w:ascii="Arial" w:cs="Arial" w:eastAsia="Arial" w:hAnsi="Arial"/>
                <w:sz w:val="16"/>
                <w:szCs w:val="16"/>
                <w:color w:val="41516E"/>
              </w:rPr>
              <w:t>Julio N. Nemeth</w:t>
            </w:r>
          </w:p>
        </w:tc>
        <w:tc>
          <w:tcPr>
            <w:tcW w:w="620" w:type="dxa"/>
            <w:vAlign w:val="bottom"/>
            <w:tcBorders>
              <w:bottom w:val="single" w:sz="8" w:color="41516E"/>
            </w:tcBorders>
          </w:tcPr>
          <w:p>
            <w:pPr>
              <w:ind w:left="200"/>
              <w:spacing w:after="0"/>
              <w:rPr>
                <w:sz w:val="20"/>
                <w:szCs w:val="20"/>
                <w:color w:val="auto"/>
              </w:rPr>
            </w:pPr>
            <w:r>
              <w:rPr>
                <w:rFonts w:ascii="Arial" w:cs="Arial" w:eastAsia="Arial" w:hAnsi="Arial"/>
                <w:sz w:val="16"/>
                <w:szCs w:val="16"/>
                <w:color w:val="41516E"/>
              </w:rPr>
              <w:t>63</w:t>
            </w:r>
          </w:p>
        </w:tc>
        <w:tc>
          <w:tcPr>
            <w:tcW w:w="860" w:type="dxa"/>
            <w:vAlign w:val="bottom"/>
            <w:tcBorders>
              <w:bottom w:val="single" w:sz="8" w:color="41516E"/>
            </w:tcBorders>
          </w:tcPr>
          <w:p>
            <w:pPr>
              <w:ind w:left="120"/>
              <w:spacing w:after="0"/>
              <w:rPr>
                <w:sz w:val="20"/>
                <w:szCs w:val="20"/>
                <w:color w:val="auto"/>
              </w:rPr>
            </w:pPr>
            <w:r>
              <w:rPr>
                <w:rFonts w:ascii="Arial" w:cs="Arial" w:eastAsia="Arial" w:hAnsi="Arial"/>
                <w:sz w:val="16"/>
                <w:szCs w:val="16"/>
                <w:color w:val="41516E"/>
              </w:rPr>
              <w:t>2020</w:t>
            </w:r>
          </w:p>
        </w:tc>
        <w:tc>
          <w:tcPr>
            <w:tcW w:w="4880" w:type="dxa"/>
            <w:vAlign w:val="bottom"/>
            <w:tcBorders>
              <w:bottom w:val="single" w:sz="8" w:color="41516E"/>
            </w:tcBorders>
          </w:tcPr>
          <w:p>
            <w:pPr>
              <w:ind w:left="100"/>
              <w:spacing w:after="0"/>
              <w:rPr>
                <w:sz w:val="20"/>
                <w:szCs w:val="20"/>
                <w:color w:val="auto"/>
              </w:rPr>
            </w:pPr>
            <w:r>
              <w:rPr>
                <w:rFonts w:ascii="Arial" w:cs="Arial" w:eastAsia="Arial" w:hAnsi="Arial"/>
                <w:sz w:val="16"/>
                <w:szCs w:val="16"/>
                <w:color w:val="41516E"/>
              </w:rPr>
              <w:t>(Retired) Chief Product Supply Officer of Procter &amp; Gamble</w:t>
            </w:r>
          </w:p>
        </w:tc>
        <w:tc>
          <w:tcPr>
            <w:tcW w:w="3180" w:type="dxa"/>
            <w:vAlign w:val="bottom"/>
            <w:tcBorders>
              <w:bottom w:val="single" w:sz="8" w:color="41516E"/>
            </w:tcBorders>
          </w:tcPr>
          <w:p>
            <w:pPr>
              <w:ind w:left="160"/>
              <w:spacing w:after="0"/>
              <w:rPr>
                <w:sz w:val="20"/>
                <w:szCs w:val="20"/>
                <w:color w:val="auto"/>
              </w:rPr>
            </w:pPr>
            <w:r>
              <w:rPr>
                <w:rFonts w:ascii="Arial" w:cs="Arial" w:eastAsia="Arial" w:hAnsi="Arial"/>
                <w:sz w:val="16"/>
                <w:szCs w:val="16"/>
                <w:color w:val="41516E"/>
              </w:rPr>
              <w:t>Comp (Chair), NomGov</w:t>
            </w:r>
          </w:p>
        </w:tc>
      </w:tr>
    </w:tbl>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40" w:type="dxa"/>
            <w:vAlign w:val="bottom"/>
            <w:gridSpan w:val="5"/>
          </w:tcPr>
          <w:p>
            <w:pPr>
              <w:spacing w:after="0"/>
              <w:rPr>
                <w:sz w:val="20"/>
                <w:szCs w:val="20"/>
                <w:color w:val="auto"/>
              </w:rPr>
            </w:pPr>
            <w:r>
              <w:rPr>
                <w:rFonts w:ascii="Arial" w:cs="Arial" w:eastAsia="Arial" w:hAnsi="Arial"/>
                <w:sz w:val="14"/>
                <w:szCs w:val="14"/>
                <w:i w:val="1"/>
                <w:iCs w:val="1"/>
                <w:color w:val="41516E"/>
              </w:rPr>
              <w:t>Abbreviations: Audit=Audit Committee; Comp=Compensation Committee; NomGov=Nominating/Governance Committee</w:t>
            </w:r>
          </w:p>
        </w:tc>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gridSpan w:val="2"/>
          </w:tcPr>
          <w:p>
            <w:pPr>
              <w:spacing w:after="0"/>
              <w:rPr>
                <w:sz w:val="20"/>
                <w:szCs w:val="20"/>
                <w:color w:val="auto"/>
              </w:rPr>
            </w:pPr>
            <w:r>
              <w:rPr>
                <w:rFonts w:ascii="Arial" w:cs="Arial" w:eastAsia="Arial" w:hAnsi="Arial"/>
                <w:sz w:val="14"/>
                <w:szCs w:val="14"/>
                <w:i w:val="1"/>
                <w:iCs w:val="1"/>
                <w:color w:val="41516E"/>
              </w:rPr>
              <w:t>* Interim Lead Director as of April 1, 2024</w:t>
            </w:r>
          </w:p>
        </w:tc>
        <w:tc>
          <w:tcPr>
            <w:tcW w:w="4080" w:type="dxa"/>
            <w:vAlign w:val="bottom"/>
            <w:gridSpan w:val="2"/>
          </w:tcPr>
          <w:p>
            <w:pPr>
              <w:ind w:left="60"/>
              <w:spacing w:after="0"/>
              <w:rPr>
                <w:sz w:val="20"/>
                <w:szCs w:val="20"/>
                <w:color w:val="auto"/>
              </w:rPr>
            </w:pPr>
            <w:r>
              <w:rPr>
                <w:rFonts w:ascii="Arial" w:cs="Arial" w:eastAsia="Arial" w:hAnsi="Arial"/>
                <w:sz w:val="14"/>
                <w:szCs w:val="14"/>
                <w:i w:val="1"/>
                <w:iCs w:val="1"/>
                <w:color w:val="41516E"/>
              </w:rPr>
              <w:t>** Lead Director through March 31, 2024</w:t>
            </w:r>
          </w:p>
        </w:tc>
        <w:tc>
          <w:tcPr>
            <w:tcW w:w="18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41516E"/>
              </w:rPr>
              <w:t>www.bostonbeer.com</w:t>
            </w:r>
          </w:p>
        </w:tc>
        <w:tc>
          <w:tcPr>
            <w:tcW w:w="920" w:type="dxa"/>
            <w:vAlign w:val="bottom"/>
            <w:tcBorders>
              <w:bottom w:val="single" w:sz="8" w:color="41516E"/>
            </w:tcBorders>
          </w:tcPr>
          <w:p>
            <w:pPr>
              <w:spacing w:after="0"/>
              <w:rPr>
                <w:sz w:val="24"/>
                <w:szCs w:val="24"/>
                <w:color w:val="auto"/>
              </w:rPr>
            </w:pPr>
          </w:p>
        </w:tc>
        <w:tc>
          <w:tcPr>
            <w:tcW w:w="1020" w:type="dxa"/>
            <w:vAlign w:val="bottom"/>
            <w:tcBorders>
              <w:bottom w:val="single" w:sz="8" w:color="41516E"/>
            </w:tcBorders>
          </w:tcPr>
          <w:p>
            <w:pPr>
              <w:spacing w:after="0"/>
              <w:rPr>
                <w:sz w:val="24"/>
                <w:szCs w:val="24"/>
                <w:color w:val="auto"/>
              </w:rPr>
            </w:pPr>
          </w:p>
        </w:tc>
        <w:tc>
          <w:tcPr>
            <w:tcW w:w="306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THE BOSTON BEER COMPANY, INC.</w:t>
            </w:r>
          </w:p>
        </w:tc>
        <w:tc>
          <w:tcPr>
            <w:tcW w:w="1860" w:type="dxa"/>
            <w:vAlign w:val="bottom"/>
            <w:vMerge w:val="restart"/>
          </w:tcPr>
          <w:p>
            <w:pPr>
              <w:ind w:left="160"/>
              <w:spacing w:after="0"/>
              <w:rPr>
                <w:sz w:val="20"/>
                <w:szCs w:val="20"/>
                <w:color w:val="auto"/>
              </w:rPr>
            </w:pPr>
            <w:r>
              <w:rPr>
                <w:rFonts w:ascii="Arial" w:cs="Arial" w:eastAsia="Arial" w:hAnsi="Arial"/>
                <w:sz w:val="16"/>
                <w:szCs w:val="16"/>
                <w:b w:val="1"/>
                <w:bCs w:val="1"/>
                <w:color w:val="41516E"/>
              </w:rPr>
              <w:t xml:space="preserve">2024 </w:t>
            </w:r>
            <w:r>
              <w:rPr>
                <w:rFonts w:ascii="Arial" w:cs="Arial" w:eastAsia="Arial" w:hAnsi="Arial"/>
                <w:sz w:val="16"/>
                <w:szCs w:val="16"/>
                <w:color w:val="41516E"/>
              </w:rPr>
              <w:t>Proxy Statement</w:t>
            </w:r>
          </w:p>
        </w:tc>
        <w:tc>
          <w:tcPr>
            <w:tcW w:w="2280" w:type="dxa"/>
            <w:vAlign w:val="bottom"/>
            <w:tcBorders>
              <w:bottom w:val="single" w:sz="8" w:color="41516E"/>
            </w:tcBorders>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8</w:t>
            </w:r>
          </w:p>
        </w:tc>
        <w:tc>
          <w:tcPr>
            <w:tcW w:w="0" w:type="dxa"/>
            <w:vAlign w:val="bottom"/>
          </w:tcPr>
          <w:p>
            <w:pPr>
              <w:spacing w:after="0"/>
              <w:rPr>
                <w:sz w:val="1"/>
                <w:szCs w:val="1"/>
                <w:color w:val="auto"/>
              </w:rPr>
            </w:pPr>
          </w:p>
        </w:tc>
      </w:tr>
      <w:tr>
        <w:trPr>
          <w:trHeight w:val="94"/>
        </w:trPr>
        <w:tc>
          <w:tcPr>
            <w:tcW w:w="17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22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1780" w:type="dxa"/>
            <w:vAlign w:val="bottom"/>
            <w:tcBorders>
              <w:bottom w:val="single" w:sz="8" w:color="C0C0C0"/>
            </w:tcBorders>
          </w:tcPr>
          <w:p>
            <w:pPr>
              <w:spacing w:after="0"/>
              <w:rPr>
                <w:sz w:val="24"/>
                <w:szCs w:val="24"/>
                <w:color w:val="auto"/>
              </w:rPr>
            </w:pPr>
          </w:p>
        </w:tc>
        <w:tc>
          <w:tcPr>
            <w:tcW w:w="920" w:type="dxa"/>
            <w:vAlign w:val="bottom"/>
            <w:tcBorders>
              <w:bottom w:val="single" w:sz="8" w:color="C0C0C0"/>
            </w:tcBorders>
          </w:tcPr>
          <w:p>
            <w:pPr>
              <w:spacing w:after="0"/>
              <w:rPr>
                <w:sz w:val="24"/>
                <w:szCs w:val="24"/>
                <w:color w:val="auto"/>
              </w:rPr>
            </w:pPr>
          </w:p>
        </w:tc>
        <w:tc>
          <w:tcPr>
            <w:tcW w:w="1020" w:type="dxa"/>
            <w:vAlign w:val="bottom"/>
            <w:tcBorders>
              <w:bottom w:val="single" w:sz="8" w:color="C0C0C0"/>
            </w:tcBorders>
          </w:tcPr>
          <w:p>
            <w:pPr>
              <w:spacing w:after="0"/>
              <w:rPr>
                <w:sz w:val="24"/>
                <w:szCs w:val="24"/>
                <w:color w:val="auto"/>
              </w:rPr>
            </w:pPr>
          </w:p>
        </w:tc>
        <w:tc>
          <w:tcPr>
            <w:tcW w:w="3060" w:type="dxa"/>
            <w:vAlign w:val="bottom"/>
            <w:tcBorders>
              <w:bottom w:val="single" w:sz="8" w:color="C0C0C0"/>
            </w:tcBorders>
          </w:tcPr>
          <w:p>
            <w:pPr>
              <w:spacing w:after="0"/>
              <w:rPr>
                <w:sz w:val="24"/>
                <w:szCs w:val="24"/>
                <w:color w:val="auto"/>
              </w:rPr>
            </w:pPr>
          </w:p>
        </w:tc>
        <w:tc>
          <w:tcPr>
            <w:tcW w:w="186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-393700</wp:posOffset>
            </wp:positionV>
            <wp:extent cx="7683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8034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In March 2023, then-Class B Director Michael Lynton informed the Company of his intention not to stand for reelection at the 2023 Annual Meeting. Accordingly, that role was vacant as of the May 2023 Annual Meeting of Stockholders, at which time the Board continued to fix the number of Directors at nine while searching for Mr. Lynton’s successor. On June 26, 2023, the Board, acting in accordance with its authority under the Company’s By-Laws, filled the vacancy by announcing the appointment of Ms. Swanson as a Class B Director effective as of July 1, 2023.</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In February 2024, at the time of Mr. Burwick’s announcement that he intended to step down, the Board determined to: (1) nominate Ms. Swanson as a Class A Director and Mr. Spillane as a Class B Director at the 2024 Annual Meeting; (2) leave a Class B vacancy that will be filled upon the identification of an appropriate candidate; and (3) continue to fix the number of Directors at nine. At that time, it was also determined that Ms. Joyce would be appointed Interim Lead Director and Mr. Valette would be appointed as a member of the Compensation Committee, each appointment to be effective as of April 1, 2024. Mr. Spillane will not be independent as of April 1 and will step down from his committees.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A search is ongoing to fill the vacancy left by Mr. Burwick’s pending departure. Pursuant to our By-Laws, the full Board of Directors has the authority to fill the open seat if a new Director is identified after the 2024 Annual Meeting and before the 2025 Annual Meeting, with the new Director then subject to the approval of the Class B Stockholder at the 2025 Annual Meeting.</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Named Executive Officers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For Fiscal Year 2023, Boston Beer’s “Named Executive Officers,” or “NEOs,” were President and Chief Executive Officer David A. Burwick, Treasurer and Chief Financial Officer Diego Reynoso, Chief Accounting Officer and Vice President of Finance Matthew D. Murphy, and our next three most-highly compensated Executive Officers, namely Chief Supply Chain Officer Philip A. Hodges, Chief Sales Officer John C. Geist, and Chief Marketing Officer Lesya Lysyj. Additionally, pursuant to 17 CFR § 229.402, former Treasurer and Chief Financial Officer Frank H. Smalla qualifies as an NEO for Fiscal Year 2023. Mr. Smalla stepped down from his position as Treasurer and Chief Financial Officer effective as of March 6, 2023, remaining with the Company in an advisory role through April 14, 2023.</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Mr. Murphy served as the Company’s interim Chief Financial Officer from March 7, 2023 until September 4, 2023. Mr. Geist retired from his position of Chief Sales Officer effective December 31, 2023, and remains with the Company as a Senior Sales Advisor. He ceased being an Executive Officer of the Company after December 31, 2023.</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Executive Compensation</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Boston Beer’s executive compensation program seeks to attract, develop, engage, and reward highly talented executives with an overall compensation package that provides strong performers the opportunity to earn competitive compensation over the long term through a combination of base salary, cash incentives, and equity awards. The program focuses on “pay for performance” through cash bonuses linked to company performance targets and equity awards with both performance-based vesting tied to key metrics and time-based vesting linked to continued employment. We believe that executive compensation should be aligned with achieving the Company’s strategic goals and delivering strong Company performance, both in terms of growth and long-term stockholder value.</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Boston Beer is dedicated to having effective corporate governance standards in place around our executive compensation program. Some highlights of those standards include:</w:t>
      </w:r>
    </w:p>
    <w:p>
      <w:pPr>
        <w:spacing w:after="0" w:line="129"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6"/>
          <w:szCs w:val="16"/>
          <w:color w:val="41516E"/>
        </w:rPr>
      </w:pPr>
      <w:r>
        <w:rPr>
          <w:rFonts w:ascii="Arial" w:cs="Arial" w:eastAsia="Arial" w:hAnsi="Arial"/>
          <w:sz w:val="16"/>
          <w:szCs w:val="16"/>
          <w:color w:val="41516E"/>
        </w:rPr>
        <w:t>Independent oversight over executive compensation by the Compensation Committee;</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4"/>
        </w:numPr>
        <w:rPr>
          <w:rFonts w:ascii="Times New Roman" w:cs="Times New Roman" w:eastAsia="Times New Roman" w:hAnsi="Times New Roman"/>
          <w:sz w:val="16"/>
          <w:szCs w:val="16"/>
          <w:color w:val="41516E"/>
        </w:rPr>
      </w:pPr>
      <w:r>
        <w:rPr>
          <w:rFonts w:ascii="Arial" w:cs="Arial" w:eastAsia="Arial" w:hAnsi="Arial"/>
          <w:sz w:val="16"/>
          <w:szCs w:val="16"/>
          <w:color w:val="41516E"/>
        </w:rPr>
        <w:t>Competitive benchmarking of executive compensation against a peer group;</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4"/>
        </w:numPr>
        <w:rPr>
          <w:rFonts w:ascii="Times New Roman" w:cs="Times New Roman" w:eastAsia="Times New Roman" w:hAnsi="Times New Roman"/>
          <w:sz w:val="16"/>
          <w:szCs w:val="16"/>
          <w:color w:val="41516E"/>
        </w:rPr>
      </w:pPr>
      <w:r>
        <w:rPr>
          <w:rFonts w:ascii="Arial" w:cs="Arial" w:eastAsia="Arial" w:hAnsi="Arial"/>
          <w:sz w:val="16"/>
          <w:szCs w:val="16"/>
          <w:color w:val="41516E"/>
        </w:rPr>
        <w:t>Cash bonus program for Executive Officers based primarily on Company performance (depletions growth, EBIT, and cost savings);</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4"/>
        </w:numPr>
        <w:rPr>
          <w:rFonts w:ascii="Times New Roman" w:cs="Times New Roman" w:eastAsia="Times New Roman" w:hAnsi="Times New Roman"/>
          <w:sz w:val="16"/>
          <w:szCs w:val="16"/>
          <w:color w:val="41516E"/>
        </w:rPr>
      </w:pPr>
      <w:r>
        <w:rPr>
          <w:rFonts w:ascii="Arial" w:cs="Arial" w:eastAsia="Arial" w:hAnsi="Arial"/>
          <w:sz w:val="16"/>
          <w:szCs w:val="16"/>
          <w:color w:val="41516E"/>
        </w:rPr>
        <w:t>Discretion to reduce equity and individual bonus payouts to zero for non-performance;</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4"/>
        </w:numPr>
        <w:rPr>
          <w:rFonts w:ascii="Times New Roman" w:cs="Times New Roman" w:eastAsia="Times New Roman" w:hAnsi="Times New Roman"/>
          <w:sz w:val="16"/>
          <w:szCs w:val="16"/>
          <w:color w:val="41516E"/>
        </w:rPr>
      </w:pPr>
      <w:r>
        <w:rPr>
          <w:rFonts w:ascii="Arial" w:cs="Arial" w:eastAsia="Arial" w:hAnsi="Arial"/>
          <w:sz w:val="16"/>
          <w:szCs w:val="16"/>
          <w:color w:val="41516E"/>
        </w:rPr>
        <w:t>Long-term equity program with a mix of performance and time-based vesting criteria;</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4"/>
        </w:numPr>
        <w:rPr>
          <w:rFonts w:ascii="Times New Roman" w:cs="Times New Roman" w:eastAsia="Times New Roman" w:hAnsi="Times New Roman"/>
          <w:sz w:val="16"/>
          <w:szCs w:val="16"/>
          <w:color w:val="41516E"/>
        </w:rPr>
      </w:pPr>
      <w:r>
        <w:rPr>
          <w:rFonts w:ascii="Arial" w:cs="Arial" w:eastAsia="Arial" w:hAnsi="Arial"/>
          <w:sz w:val="16"/>
          <w:szCs w:val="16"/>
          <w:color w:val="41516E"/>
        </w:rPr>
        <w:t>Annual advisory Say-on-Pay vote;</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4"/>
        </w:numPr>
        <w:rPr>
          <w:rFonts w:ascii="Times New Roman" w:cs="Times New Roman" w:eastAsia="Times New Roman" w:hAnsi="Times New Roman"/>
          <w:sz w:val="16"/>
          <w:szCs w:val="16"/>
          <w:color w:val="41516E"/>
        </w:rPr>
      </w:pPr>
      <w:r>
        <w:rPr>
          <w:rFonts w:ascii="Arial" w:cs="Arial" w:eastAsia="Arial" w:hAnsi="Arial"/>
          <w:sz w:val="16"/>
          <w:szCs w:val="16"/>
          <w:color w:val="41516E"/>
        </w:rPr>
        <w:t>Policy banning hedging and pledging of stock by Directors, Officers, and other designated coworkers; and</w:t>
      </w:r>
    </w:p>
    <w:p>
      <w:pPr>
        <w:spacing w:after="0" w:line="98" w:lineRule="exact"/>
        <w:rPr>
          <w:rFonts w:ascii="Times New Roman" w:cs="Times New Roman" w:eastAsia="Times New Roman" w:hAnsi="Times New Roman"/>
          <w:sz w:val="16"/>
          <w:szCs w:val="16"/>
          <w:color w:val="41516E"/>
        </w:rPr>
      </w:pPr>
    </w:p>
    <w:p>
      <w:pPr>
        <w:ind w:left="180" w:hanging="172"/>
        <w:spacing w:after="0"/>
        <w:tabs>
          <w:tab w:leader="none" w:pos="180" w:val="left"/>
        </w:tabs>
        <w:numPr>
          <w:ilvl w:val="0"/>
          <w:numId w:val="4"/>
        </w:numPr>
        <w:rPr>
          <w:rFonts w:ascii="Times New Roman" w:cs="Times New Roman" w:eastAsia="Times New Roman" w:hAnsi="Times New Roman"/>
          <w:sz w:val="16"/>
          <w:szCs w:val="16"/>
          <w:color w:val="41516E"/>
        </w:rPr>
      </w:pPr>
      <w:r>
        <w:rPr>
          <w:rFonts w:ascii="Arial" w:cs="Arial" w:eastAsia="Arial" w:hAnsi="Arial"/>
          <w:sz w:val="16"/>
          <w:szCs w:val="16"/>
          <w:color w:val="41516E"/>
        </w:rPr>
        <w:t>Robust equity ownership guidelines applicable to our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140335</wp:posOffset>
            </wp:positionV>
            <wp:extent cx="8572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700" w:type="dxa"/>
            <w:vAlign w:val="bottom"/>
            <w:tcBorders>
              <w:bottom w:val="single" w:sz="8" w:color="41516E"/>
            </w:tcBorders>
          </w:tcPr>
          <w:p>
            <w:pPr>
              <w:spacing w:after="0"/>
              <w:rPr>
                <w:sz w:val="10"/>
                <w:szCs w:val="10"/>
                <w:color w:val="auto"/>
              </w:rPr>
            </w:pPr>
          </w:p>
        </w:tc>
        <w:tc>
          <w:tcPr>
            <w:tcW w:w="4920" w:type="dxa"/>
            <w:vAlign w:val="bottom"/>
            <w:vMerge w:val="restart"/>
          </w:tcPr>
          <w:p>
            <w:pPr>
              <w:ind w:left="8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300" w:type="dxa"/>
            <w:vAlign w:val="bottom"/>
            <w:tcBorders>
              <w:bottom w:val="single" w:sz="8" w:color="41516E"/>
            </w:tcBorders>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9</w:t>
            </w:r>
          </w:p>
        </w:tc>
        <w:tc>
          <w:tcPr>
            <w:tcW w:w="0" w:type="dxa"/>
            <w:vAlign w:val="bottom"/>
          </w:tcPr>
          <w:p>
            <w:pPr>
              <w:spacing w:after="0"/>
              <w:rPr>
                <w:sz w:val="1"/>
                <w:szCs w:val="1"/>
                <w:color w:val="auto"/>
              </w:rPr>
            </w:pPr>
          </w:p>
        </w:tc>
      </w:tr>
      <w:tr>
        <w:trPr>
          <w:trHeight w:val="80"/>
        </w:trPr>
        <w:tc>
          <w:tcPr>
            <w:tcW w:w="370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700" w:type="dxa"/>
            <w:vAlign w:val="bottom"/>
            <w:tcBorders>
              <w:bottom w:val="single" w:sz="8" w:color="C0C0C0"/>
            </w:tcBorders>
          </w:tcPr>
          <w:p>
            <w:pPr>
              <w:spacing w:after="0"/>
              <w:rPr>
                <w:sz w:val="24"/>
                <w:szCs w:val="24"/>
                <w:color w:val="auto"/>
              </w:rPr>
            </w:pPr>
          </w:p>
        </w:tc>
        <w:tc>
          <w:tcPr>
            <w:tcW w:w="4920" w:type="dxa"/>
            <w:vAlign w:val="bottom"/>
            <w:tcBorders>
              <w:bottom w:val="single" w:sz="8" w:color="C0C0C0"/>
            </w:tcBorders>
          </w:tcPr>
          <w:p>
            <w:pPr>
              <w:spacing w:after="0"/>
              <w:rPr>
                <w:sz w:val="24"/>
                <w:szCs w:val="24"/>
                <w:color w:val="auto"/>
              </w:rPr>
            </w:pPr>
          </w:p>
        </w:tc>
        <w:tc>
          <w:tcPr>
            <w:tcW w:w="230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2023 Compensation of President &amp; CEO David A. Burwick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41516E"/>
        </w:rPr>
        <w:t>Mr. Burwick’s compensation in 2023 included a base salary, a performance-based cash bonus, and two annual equity grants awarded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1516E"/>
        </w:rPr>
        <w:t>Company’s long-term equity program. The mix of his total compensation for 2023 is set forth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280" w:type="dxa"/>
            <w:vAlign w:val="bottom"/>
          </w:tcPr>
          <w:p>
            <w:pPr>
              <w:jc w:val="right"/>
              <w:ind w:right="3239"/>
              <w:spacing w:after="0"/>
              <w:rPr>
                <w:sz w:val="20"/>
                <w:szCs w:val="20"/>
                <w:color w:val="auto"/>
              </w:rPr>
            </w:pPr>
            <w:r>
              <w:rPr>
                <w:rFonts w:ascii="Arial" w:cs="Arial" w:eastAsia="Arial" w:hAnsi="Arial"/>
                <w:sz w:val="16"/>
                <w:szCs w:val="16"/>
                <w:b w:val="1"/>
                <w:bCs w:val="1"/>
                <w:color w:val="41516E"/>
              </w:rPr>
              <w:t>President &amp; CEO David A. Burwick</w:t>
            </w:r>
          </w:p>
        </w:tc>
        <w:tc>
          <w:tcPr>
            <w:tcW w:w="960" w:type="dxa"/>
            <w:vAlign w:val="bottom"/>
          </w:tcPr>
          <w:p>
            <w:pPr>
              <w:spacing w:after="0"/>
              <w:rPr>
                <w:sz w:val="16"/>
                <w:szCs w:val="16"/>
                <w:color w:val="auto"/>
              </w:rPr>
            </w:pPr>
          </w:p>
        </w:tc>
      </w:tr>
      <w:tr>
        <w:trPr>
          <w:trHeight w:val="203"/>
        </w:trPr>
        <w:tc>
          <w:tcPr>
            <w:tcW w:w="60" w:type="dxa"/>
            <w:vAlign w:val="bottom"/>
            <w:tcBorders>
              <w:bottom w:val="single" w:sz="8" w:color="41516E"/>
            </w:tcBorders>
          </w:tcPr>
          <w:p>
            <w:pPr>
              <w:spacing w:after="0"/>
              <w:rPr>
                <w:sz w:val="17"/>
                <w:szCs w:val="17"/>
                <w:color w:val="auto"/>
              </w:rPr>
            </w:pPr>
          </w:p>
        </w:tc>
        <w:tc>
          <w:tcPr>
            <w:tcW w:w="1060" w:type="dxa"/>
            <w:vAlign w:val="bottom"/>
            <w:tcBorders>
              <w:bottom w:val="single" w:sz="8" w:color="41516E"/>
            </w:tcBorders>
          </w:tcPr>
          <w:p>
            <w:pPr>
              <w:spacing w:after="0"/>
              <w:rPr>
                <w:sz w:val="17"/>
                <w:szCs w:val="17"/>
                <w:color w:val="auto"/>
              </w:rPr>
            </w:pPr>
          </w:p>
        </w:tc>
        <w:tc>
          <w:tcPr>
            <w:tcW w:w="540" w:type="dxa"/>
            <w:vAlign w:val="bottom"/>
            <w:tcBorders>
              <w:bottom w:val="single" w:sz="8" w:color="41516E"/>
            </w:tcBorders>
          </w:tcPr>
          <w:p>
            <w:pPr>
              <w:spacing w:after="0"/>
              <w:rPr>
                <w:sz w:val="17"/>
                <w:szCs w:val="17"/>
                <w:color w:val="auto"/>
              </w:rPr>
            </w:pPr>
          </w:p>
        </w:tc>
        <w:tc>
          <w:tcPr>
            <w:tcW w:w="2340" w:type="dxa"/>
            <w:vAlign w:val="bottom"/>
            <w:tcBorders>
              <w:bottom w:val="single" w:sz="8" w:color="41516E"/>
            </w:tcBorders>
          </w:tcPr>
          <w:p>
            <w:pPr>
              <w:spacing w:after="0"/>
              <w:rPr>
                <w:sz w:val="17"/>
                <w:szCs w:val="17"/>
                <w:color w:val="auto"/>
              </w:rPr>
            </w:pPr>
          </w:p>
        </w:tc>
        <w:tc>
          <w:tcPr>
            <w:tcW w:w="6280" w:type="dxa"/>
            <w:vAlign w:val="bottom"/>
            <w:tcBorders>
              <w:bottom w:val="single" w:sz="8" w:color="41516E"/>
            </w:tcBorders>
          </w:tcPr>
          <w:p>
            <w:pPr>
              <w:jc w:val="right"/>
              <w:ind w:right="3439"/>
              <w:spacing w:after="0"/>
              <w:rPr>
                <w:sz w:val="20"/>
                <w:szCs w:val="20"/>
                <w:color w:val="auto"/>
              </w:rPr>
            </w:pPr>
            <w:r>
              <w:rPr>
                <w:rFonts w:ascii="Arial" w:cs="Arial" w:eastAsia="Arial" w:hAnsi="Arial"/>
                <w:sz w:val="16"/>
                <w:szCs w:val="16"/>
                <w:b w:val="1"/>
                <w:bCs w:val="1"/>
                <w:color w:val="41516E"/>
              </w:rPr>
              <w:t>2023 Total Compensation Mix</w:t>
            </w:r>
          </w:p>
        </w:tc>
        <w:tc>
          <w:tcPr>
            <w:tcW w:w="960" w:type="dxa"/>
            <w:vAlign w:val="bottom"/>
            <w:tcBorders>
              <w:bottom w:val="single" w:sz="8" w:color="41516E"/>
            </w:tcBorders>
          </w:tcPr>
          <w:p>
            <w:pPr>
              <w:spacing w:after="0"/>
              <w:rPr>
                <w:sz w:val="17"/>
                <w:szCs w:val="17"/>
                <w:color w:val="auto"/>
              </w:rPr>
            </w:pPr>
          </w:p>
        </w:tc>
      </w:tr>
      <w:tr>
        <w:trPr>
          <w:trHeight w:val="217"/>
        </w:trPr>
        <w:tc>
          <w:tcPr>
            <w:tcW w:w="60" w:type="dxa"/>
            <w:vAlign w:val="bottom"/>
          </w:tcPr>
          <w:p>
            <w:pPr>
              <w:spacing w:after="0"/>
              <w:rPr>
                <w:sz w:val="18"/>
                <w:szCs w:val="18"/>
                <w:color w:val="auto"/>
              </w:rPr>
            </w:pPr>
          </w:p>
        </w:tc>
        <w:tc>
          <w:tcPr>
            <w:tcW w:w="1600" w:type="dxa"/>
            <w:vAlign w:val="bottom"/>
            <w:tcBorders>
              <w:bottom w:val="single" w:sz="8" w:color="41516E"/>
            </w:tcBorders>
            <w:gridSpan w:val="2"/>
          </w:tcPr>
          <w:p>
            <w:pPr>
              <w:spacing w:after="0"/>
              <w:rPr>
                <w:sz w:val="20"/>
                <w:szCs w:val="20"/>
                <w:color w:val="auto"/>
              </w:rPr>
            </w:pPr>
            <w:r>
              <w:rPr>
                <w:rFonts w:ascii="Arial" w:cs="Arial" w:eastAsia="Arial" w:hAnsi="Arial"/>
                <w:sz w:val="16"/>
                <w:szCs w:val="16"/>
                <w:i w:val="1"/>
                <w:iCs w:val="1"/>
                <w:color w:val="41516E"/>
              </w:rPr>
              <w:t>Annual Compensation</w:t>
            </w:r>
          </w:p>
        </w:tc>
        <w:tc>
          <w:tcPr>
            <w:tcW w:w="23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9"/>
        </w:trPr>
        <w:tc>
          <w:tcPr>
            <w:tcW w:w="60" w:type="dxa"/>
            <w:vAlign w:val="bottom"/>
            <w:shd w:val="clear" w:color="auto" w:fill="EFF0F1"/>
          </w:tcPr>
          <w:p>
            <w:pPr>
              <w:spacing w:after="0"/>
              <w:rPr>
                <w:sz w:val="16"/>
                <w:szCs w:val="16"/>
                <w:color w:val="auto"/>
              </w:rPr>
            </w:pPr>
          </w:p>
        </w:tc>
        <w:tc>
          <w:tcPr>
            <w:tcW w:w="3940" w:type="dxa"/>
            <w:vAlign w:val="bottom"/>
            <w:gridSpan w:val="3"/>
            <w:shd w:val="clear" w:color="auto" w:fill="EFF0F1"/>
          </w:tcPr>
          <w:p>
            <w:pPr>
              <w:spacing w:after="0"/>
              <w:rPr>
                <w:sz w:val="20"/>
                <w:szCs w:val="20"/>
                <w:color w:val="auto"/>
              </w:rPr>
            </w:pPr>
            <w:r>
              <w:rPr>
                <w:rFonts w:ascii="Arial" w:cs="Arial" w:eastAsia="Arial" w:hAnsi="Arial"/>
                <w:sz w:val="16"/>
                <w:szCs w:val="16"/>
                <w:color w:val="41516E"/>
              </w:rPr>
              <w:t>Base Salary Received</w:t>
            </w:r>
          </w:p>
        </w:tc>
        <w:tc>
          <w:tcPr>
            <w:tcW w:w="6280" w:type="dxa"/>
            <w:vAlign w:val="bottom"/>
            <w:shd w:val="clear" w:color="auto" w:fill="EFF0F1"/>
          </w:tcPr>
          <w:p>
            <w:pPr>
              <w:jc w:val="right"/>
              <w:ind w:right="39"/>
              <w:spacing w:after="0"/>
              <w:rPr>
                <w:sz w:val="20"/>
                <w:szCs w:val="20"/>
                <w:color w:val="auto"/>
              </w:rPr>
            </w:pPr>
            <w:r>
              <w:rPr>
                <w:rFonts w:ascii="Arial" w:cs="Arial" w:eastAsia="Arial" w:hAnsi="Arial"/>
                <w:sz w:val="16"/>
                <w:szCs w:val="16"/>
                <w:color w:val="41516E"/>
              </w:rPr>
              <w:t>$</w:t>
            </w:r>
          </w:p>
        </w:tc>
        <w:tc>
          <w:tcPr>
            <w:tcW w:w="96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860,500</w:t>
            </w:r>
          </w:p>
        </w:tc>
      </w:tr>
      <w:tr>
        <w:trPr>
          <w:trHeight w:val="189"/>
        </w:trPr>
        <w:tc>
          <w:tcPr>
            <w:tcW w:w="60" w:type="dxa"/>
            <w:vAlign w:val="bottom"/>
          </w:tcPr>
          <w:p>
            <w:pPr>
              <w:spacing w:after="0"/>
              <w:rPr>
                <w:sz w:val="16"/>
                <w:szCs w:val="16"/>
                <w:color w:val="auto"/>
              </w:rPr>
            </w:pPr>
          </w:p>
        </w:tc>
        <w:tc>
          <w:tcPr>
            <w:tcW w:w="3940" w:type="dxa"/>
            <w:vAlign w:val="bottom"/>
            <w:gridSpan w:val="3"/>
          </w:tcPr>
          <w:p>
            <w:pPr>
              <w:spacing w:after="0"/>
              <w:rPr>
                <w:sz w:val="20"/>
                <w:szCs w:val="20"/>
                <w:color w:val="auto"/>
              </w:rPr>
            </w:pPr>
            <w:r>
              <w:rPr>
                <w:rFonts w:ascii="Arial" w:cs="Arial" w:eastAsia="Arial" w:hAnsi="Arial"/>
                <w:sz w:val="16"/>
                <w:szCs w:val="16"/>
                <w:color w:val="41516E"/>
              </w:rPr>
              <w:t>Performance Cash Bonus</w:t>
            </w:r>
          </w:p>
        </w:tc>
        <w:tc>
          <w:tcPr>
            <w:tcW w:w="6280" w:type="dxa"/>
            <w:vAlign w:val="bottom"/>
          </w:tcPr>
          <w:p>
            <w:pPr>
              <w:jc w:val="right"/>
              <w:ind w:right="39"/>
              <w:spacing w:after="0"/>
              <w:rPr>
                <w:sz w:val="20"/>
                <w:szCs w:val="20"/>
                <w:color w:val="auto"/>
              </w:rPr>
            </w:pPr>
            <w:r>
              <w:rPr>
                <w:rFonts w:ascii="Arial" w:cs="Arial" w:eastAsia="Arial" w:hAnsi="Arial"/>
                <w:sz w:val="16"/>
                <w:szCs w:val="16"/>
                <w:color w:val="41516E"/>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41516E"/>
              </w:rPr>
              <w:t>1,032,605</w:t>
            </w:r>
          </w:p>
        </w:tc>
      </w:tr>
      <w:tr>
        <w:trPr>
          <w:trHeight w:val="189"/>
        </w:trPr>
        <w:tc>
          <w:tcPr>
            <w:tcW w:w="60" w:type="dxa"/>
            <w:vAlign w:val="bottom"/>
            <w:shd w:val="clear" w:color="auto" w:fill="EFF0F1"/>
          </w:tcPr>
          <w:p>
            <w:pPr>
              <w:spacing w:after="0"/>
              <w:rPr>
                <w:sz w:val="16"/>
                <w:szCs w:val="16"/>
                <w:color w:val="auto"/>
              </w:rPr>
            </w:pPr>
          </w:p>
        </w:tc>
        <w:tc>
          <w:tcPr>
            <w:tcW w:w="1060" w:type="dxa"/>
            <w:vAlign w:val="bottom"/>
            <w:shd w:val="clear" w:color="auto" w:fill="EFF0F1"/>
          </w:tcPr>
          <w:p>
            <w:pPr>
              <w:spacing w:after="0"/>
              <w:rPr>
                <w:sz w:val="20"/>
                <w:szCs w:val="20"/>
                <w:color w:val="auto"/>
              </w:rPr>
            </w:pPr>
            <w:r>
              <w:rPr>
                <w:rFonts w:ascii="Arial" w:cs="Arial" w:eastAsia="Arial" w:hAnsi="Arial"/>
                <w:sz w:val="16"/>
                <w:szCs w:val="16"/>
                <w:color w:val="41516E"/>
              </w:rPr>
              <w:t>March 1, 2023</w:t>
            </w:r>
          </w:p>
        </w:tc>
        <w:tc>
          <w:tcPr>
            <w:tcW w:w="2880" w:type="dxa"/>
            <w:vAlign w:val="bottom"/>
            <w:gridSpan w:val="2"/>
            <w:shd w:val="clear" w:color="auto" w:fill="EFF0F1"/>
          </w:tcPr>
          <w:p>
            <w:pPr>
              <w:ind w:left="20"/>
              <w:spacing w:after="0"/>
              <w:rPr>
                <w:sz w:val="20"/>
                <w:szCs w:val="20"/>
                <w:color w:val="auto"/>
              </w:rPr>
            </w:pPr>
            <w:r>
              <w:rPr>
                <w:rFonts w:ascii="Arial" w:cs="Arial" w:eastAsia="Arial" w:hAnsi="Arial"/>
                <w:sz w:val="16"/>
                <w:szCs w:val="16"/>
                <w:color w:val="41516E"/>
              </w:rPr>
              <w:t>Annual Stock Option Award</w:t>
            </w:r>
          </w:p>
        </w:tc>
        <w:tc>
          <w:tcPr>
            <w:tcW w:w="6280" w:type="dxa"/>
            <w:vAlign w:val="bottom"/>
            <w:shd w:val="clear" w:color="auto" w:fill="EFF0F1"/>
          </w:tcPr>
          <w:p>
            <w:pPr>
              <w:jc w:val="right"/>
              <w:ind w:right="39"/>
              <w:spacing w:after="0"/>
              <w:rPr>
                <w:sz w:val="20"/>
                <w:szCs w:val="20"/>
                <w:color w:val="auto"/>
              </w:rPr>
            </w:pPr>
            <w:r>
              <w:rPr>
                <w:rFonts w:ascii="Arial" w:cs="Arial" w:eastAsia="Arial" w:hAnsi="Arial"/>
                <w:sz w:val="16"/>
                <w:szCs w:val="16"/>
                <w:color w:val="41516E"/>
              </w:rPr>
              <w:t>$</w:t>
            </w:r>
          </w:p>
        </w:tc>
        <w:tc>
          <w:tcPr>
            <w:tcW w:w="96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2,000,007</w:t>
            </w:r>
          </w:p>
        </w:tc>
      </w:tr>
      <w:tr>
        <w:trPr>
          <w:trHeight w:val="189"/>
        </w:trPr>
        <w:tc>
          <w:tcPr>
            <w:tcW w:w="6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color w:val="41516E"/>
              </w:rPr>
              <w:t>March 1, 2023</w:t>
            </w:r>
          </w:p>
        </w:tc>
        <w:tc>
          <w:tcPr>
            <w:tcW w:w="2880" w:type="dxa"/>
            <w:vAlign w:val="bottom"/>
            <w:gridSpan w:val="2"/>
          </w:tcPr>
          <w:p>
            <w:pPr>
              <w:ind w:left="20"/>
              <w:spacing w:after="0"/>
              <w:rPr>
                <w:sz w:val="20"/>
                <w:szCs w:val="20"/>
                <w:color w:val="auto"/>
              </w:rPr>
            </w:pPr>
            <w:r>
              <w:rPr>
                <w:rFonts w:ascii="Arial" w:cs="Arial" w:eastAsia="Arial" w:hAnsi="Arial"/>
                <w:sz w:val="16"/>
                <w:szCs w:val="16"/>
                <w:color w:val="41516E"/>
              </w:rPr>
              <w:t>Annual Restricted Stock Unit Award</w:t>
            </w:r>
          </w:p>
        </w:tc>
        <w:tc>
          <w:tcPr>
            <w:tcW w:w="6280" w:type="dxa"/>
            <w:vAlign w:val="bottom"/>
          </w:tcPr>
          <w:p>
            <w:pPr>
              <w:jc w:val="right"/>
              <w:ind w:right="39"/>
              <w:spacing w:after="0"/>
              <w:rPr>
                <w:sz w:val="20"/>
                <w:szCs w:val="20"/>
                <w:color w:val="auto"/>
              </w:rPr>
            </w:pPr>
            <w:r>
              <w:rPr>
                <w:rFonts w:ascii="Arial" w:cs="Arial" w:eastAsia="Arial" w:hAnsi="Arial"/>
                <w:sz w:val="16"/>
                <w:szCs w:val="16"/>
                <w:color w:val="41516E"/>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41516E"/>
              </w:rPr>
              <w:t>2,000,113</w:t>
            </w:r>
          </w:p>
        </w:tc>
      </w:tr>
      <w:tr>
        <w:trPr>
          <w:trHeight w:val="189"/>
        </w:trPr>
        <w:tc>
          <w:tcPr>
            <w:tcW w:w="60" w:type="dxa"/>
            <w:vAlign w:val="bottom"/>
            <w:tcBorders>
              <w:bottom w:val="single" w:sz="8" w:color="41516E"/>
            </w:tcBorders>
            <w:shd w:val="clear" w:color="auto" w:fill="EFF0F1"/>
          </w:tcPr>
          <w:p>
            <w:pPr>
              <w:spacing w:after="0"/>
              <w:rPr>
                <w:sz w:val="16"/>
                <w:szCs w:val="16"/>
                <w:color w:val="auto"/>
              </w:rPr>
            </w:pPr>
          </w:p>
        </w:tc>
        <w:tc>
          <w:tcPr>
            <w:tcW w:w="3940" w:type="dxa"/>
            <w:vAlign w:val="bottom"/>
            <w:tcBorders>
              <w:bottom w:val="single" w:sz="8" w:color="41516E"/>
            </w:tcBorders>
            <w:gridSpan w:val="3"/>
            <w:shd w:val="clear" w:color="auto" w:fill="EFF0F1"/>
          </w:tcPr>
          <w:p>
            <w:pPr>
              <w:spacing w:after="0"/>
              <w:rPr>
                <w:sz w:val="20"/>
                <w:szCs w:val="20"/>
                <w:color w:val="auto"/>
              </w:rPr>
            </w:pPr>
            <w:r>
              <w:rPr>
                <w:rFonts w:ascii="Arial" w:cs="Arial" w:eastAsia="Arial" w:hAnsi="Arial"/>
                <w:sz w:val="16"/>
                <w:szCs w:val="16"/>
                <w:color w:val="41516E"/>
              </w:rPr>
              <w:t>Other Compensation</w:t>
            </w:r>
          </w:p>
        </w:tc>
        <w:tc>
          <w:tcPr>
            <w:tcW w:w="6280" w:type="dxa"/>
            <w:vAlign w:val="bottom"/>
            <w:tcBorders>
              <w:bottom w:val="single" w:sz="8" w:color="41516E"/>
            </w:tcBorders>
            <w:shd w:val="clear" w:color="auto" w:fill="EFF0F1"/>
          </w:tcPr>
          <w:p>
            <w:pPr>
              <w:jc w:val="right"/>
              <w:ind w:right="39"/>
              <w:spacing w:after="0"/>
              <w:rPr>
                <w:sz w:val="20"/>
                <w:szCs w:val="20"/>
                <w:color w:val="auto"/>
              </w:rPr>
            </w:pPr>
            <w:r>
              <w:rPr>
                <w:rFonts w:ascii="Arial" w:cs="Arial" w:eastAsia="Arial" w:hAnsi="Arial"/>
                <w:sz w:val="16"/>
                <w:szCs w:val="16"/>
                <w:color w:val="41516E"/>
              </w:rPr>
              <w:t>$</w:t>
            </w:r>
          </w:p>
        </w:tc>
        <w:tc>
          <w:tcPr>
            <w:tcW w:w="960" w:type="dxa"/>
            <w:vAlign w:val="bottom"/>
            <w:tcBorders>
              <w:bottom w:val="single" w:sz="8" w:color="41516E"/>
            </w:tcBorders>
            <w:shd w:val="clear" w:color="auto" w:fill="EFF0F1"/>
          </w:tcPr>
          <w:p>
            <w:pPr>
              <w:jc w:val="right"/>
              <w:ind w:right="19"/>
              <w:spacing w:after="0"/>
              <w:rPr>
                <w:sz w:val="20"/>
                <w:szCs w:val="20"/>
                <w:color w:val="auto"/>
              </w:rPr>
            </w:pPr>
            <w:r>
              <w:rPr>
                <w:rFonts w:ascii="Arial" w:cs="Arial" w:eastAsia="Arial" w:hAnsi="Arial"/>
                <w:sz w:val="16"/>
                <w:szCs w:val="16"/>
                <w:color w:val="41516E"/>
              </w:rPr>
              <w:t>14,117</w:t>
            </w:r>
          </w:p>
        </w:tc>
      </w:tr>
      <w:tr>
        <w:trPr>
          <w:trHeight w:val="183"/>
        </w:trPr>
        <w:tc>
          <w:tcPr>
            <w:tcW w:w="60" w:type="dxa"/>
            <w:vAlign w:val="bottom"/>
            <w:tcBorders>
              <w:bottom w:val="single" w:sz="8" w:color="41516E"/>
            </w:tcBorders>
          </w:tcPr>
          <w:p>
            <w:pPr>
              <w:spacing w:after="0"/>
              <w:rPr>
                <w:sz w:val="15"/>
                <w:szCs w:val="15"/>
                <w:color w:val="auto"/>
              </w:rPr>
            </w:pPr>
          </w:p>
        </w:tc>
        <w:tc>
          <w:tcPr>
            <w:tcW w:w="3940" w:type="dxa"/>
            <w:vAlign w:val="bottom"/>
            <w:tcBorders>
              <w:bottom w:val="single" w:sz="8" w:color="41516E"/>
            </w:tcBorders>
            <w:gridSpan w:val="3"/>
          </w:tcPr>
          <w:p>
            <w:pPr>
              <w:spacing w:after="0" w:line="183" w:lineRule="exact"/>
              <w:rPr>
                <w:sz w:val="20"/>
                <w:szCs w:val="20"/>
                <w:color w:val="auto"/>
              </w:rPr>
            </w:pPr>
            <w:r>
              <w:rPr>
                <w:rFonts w:ascii="Arial" w:cs="Arial" w:eastAsia="Arial" w:hAnsi="Arial"/>
                <w:sz w:val="16"/>
                <w:szCs w:val="16"/>
                <w:b w:val="1"/>
                <w:bCs w:val="1"/>
                <w:color w:val="41516E"/>
              </w:rPr>
              <w:t>2023 TOTAL COMPENSATION</w:t>
            </w:r>
          </w:p>
        </w:tc>
        <w:tc>
          <w:tcPr>
            <w:tcW w:w="6280" w:type="dxa"/>
            <w:vAlign w:val="bottom"/>
            <w:tcBorders>
              <w:bottom w:val="single" w:sz="8" w:color="41516E"/>
            </w:tcBorders>
          </w:tcPr>
          <w:p>
            <w:pPr>
              <w:jc w:val="right"/>
              <w:ind w:right="39"/>
              <w:spacing w:after="0" w:line="183" w:lineRule="exact"/>
              <w:rPr>
                <w:sz w:val="20"/>
                <w:szCs w:val="20"/>
                <w:color w:val="auto"/>
              </w:rPr>
            </w:pPr>
            <w:r>
              <w:rPr>
                <w:rFonts w:ascii="Arial" w:cs="Arial" w:eastAsia="Arial" w:hAnsi="Arial"/>
                <w:sz w:val="16"/>
                <w:szCs w:val="16"/>
                <w:b w:val="1"/>
                <w:bCs w:val="1"/>
                <w:color w:val="41516E"/>
              </w:rPr>
              <w:t>$</w:t>
            </w:r>
          </w:p>
        </w:tc>
        <w:tc>
          <w:tcPr>
            <w:tcW w:w="960" w:type="dxa"/>
            <w:vAlign w:val="bottom"/>
            <w:tcBorders>
              <w:bottom w:val="single" w:sz="8" w:color="41516E"/>
            </w:tcBorders>
          </w:tcPr>
          <w:p>
            <w:pPr>
              <w:jc w:val="right"/>
              <w:ind w:right="19"/>
              <w:spacing w:after="0" w:line="183" w:lineRule="exact"/>
              <w:rPr>
                <w:sz w:val="20"/>
                <w:szCs w:val="20"/>
                <w:color w:val="auto"/>
              </w:rPr>
            </w:pPr>
            <w:r>
              <w:rPr>
                <w:rFonts w:ascii="Arial" w:cs="Arial" w:eastAsia="Arial" w:hAnsi="Arial"/>
                <w:sz w:val="16"/>
                <w:szCs w:val="16"/>
                <w:b w:val="1"/>
                <w:bCs w:val="1"/>
                <w:color w:val="41516E"/>
              </w:rPr>
              <w:t>5,907,342</w:t>
            </w:r>
          </w:p>
        </w:tc>
      </w:tr>
    </w:tbl>
    <w:p>
      <w:pPr>
        <w:spacing w:after="0" w:line="175" w:lineRule="exact"/>
        <w:rPr>
          <w:sz w:val="20"/>
          <w:szCs w:val="20"/>
          <w:color w:val="auto"/>
        </w:rPr>
      </w:pPr>
    </w:p>
    <w:p>
      <w:pPr>
        <w:ind w:left="180" w:hanging="172"/>
        <w:spacing w:after="0" w:line="285" w:lineRule="auto"/>
        <w:tabs>
          <w:tab w:leader="none" w:pos="180" w:val="left"/>
        </w:tabs>
        <w:numPr>
          <w:ilvl w:val="0"/>
          <w:numId w:val="5"/>
        </w:numPr>
        <w:rPr>
          <w:rFonts w:ascii="Times New Roman" w:cs="Times New Roman" w:eastAsia="Times New Roman" w:hAnsi="Times New Roman"/>
          <w:sz w:val="16"/>
          <w:szCs w:val="16"/>
          <w:color w:val="41516E"/>
        </w:rPr>
      </w:pPr>
      <w:r>
        <w:rPr>
          <w:rFonts w:ascii="Arial" w:cs="Arial" w:eastAsia="Arial" w:hAnsi="Arial"/>
          <w:sz w:val="16"/>
          <w:szCs w:val="16"/>
          <w:b w:val="1"/>
          <w:bCs w:val="1"/>
          <w:color w:val="41516E"/>
        </w:rPr>
        <w:t xml:space="preserve">Base Salary: </w:t>
      </w:r>
      <w:r>
        <w:rPr>
          <w:rFonts w:ascii="Arial" w:cs="Arial" w:eastAsia="Arial" w:hAnsi="Arial"/>
          <w:sz w:val="16"/>
          <w:szCs w:val="16"/>
          <w:color w:val="41516E"/>
        </w:rPr>
        <w:t>Mr. Burwick’s 2023 annual base salary represented a 3% increase from his 2022 base salary. His 2023 base salary was approved by the</w:t>
      </w:r>
      <w:r>
        <w:rPr>
          <w:rFonts w:ascii="Arial" w:cs="Arial" w:eastAsia="Arial" w:hAnsi="Arial"/>
          <w:sz w:val="16"/>
          <w:szCs w:val="16"/>
          <w:b w:val="1"/>
          <w:bCs w:val="1"/>
          <w:color w:val="41516E"/>
        </w:rPr>
        <w:t xml:space="preserve"> </w:t>
      </w:r>
      <w:r>
        <w:rPr>
          <w:rFonts w:ascii="Arial" w:cs="Arial" w:eastAsia="Arial" w:hAnsi="Arial"/>
          <w:sz w:val="16"/>
          <w:szCs w:val="16"/>
          <w:color w:val="41516E"/>
        </w:rPr>
        <w:t>Compensation Committee and the Board of Directors in February 2023.</w:t>
      </w:r>
    </w:p>
    <w:p>
      <w:pPr>
        <w:spacing w:after="0" w:line="21" w:lineRule="exact"/>
        <w:rPr>
          <w:rFonts w:ascii="Times New Roman" w:cs="Times New Roman" w:eastAsia="Times New Roman" w:hAnsi="Times New Roman"/>
          <w:sz w:val="16"/>
          <w:szCs w:val="16"/>
          <w:color w:val="41516E"/>
        </w:rPr>
      </w:pPr>
    </w:p>
    <w:p>
      <w:pPr>
        <w:jc w:val="both"/>
        <w:ind w:left="180" w:hanging="172"/>
        <w:spacing w:after="0" w:line="253" w:lineRule="auto"/>
        <w:tabs>
          <w:tab w:leader="none" w:pos="180" w:val="left"/>
        </w:tabs>
        <w:numPr>
          <w:ilvl w:val="0"/>
          <w:numId w:val="5"/>
        </w:numPr>
        <w:rPr>
          <w:rFonts w:ascii="Times New Roman" w:cs="Times New Roman" w:eastAsia="Times New Roman" w:hAnsi="Times New Roman"/>
          <w:sz w:val="16"/>
          <w:szCs w:val="16"/>
          <w:color w:val="41516E"/>
        </w:rPr>
      </w:pPr>
      <w:r>
        <w:rPr>
          <w:rFonts w:ascii="Arial" w:cs="Arial" w:eastAsia="Arial" w:hAnsi="Arial"/>
          <w:sz w:val="16"/>
          <w:szCs w:val="16"/>
          <w:b w:val="1"/>
          <w:bCs w:val="1"/>
          <w:color w:val="41516E"/>
        </w:rPr>
        <w:t xml:space="preserve">Performance Cash Bonus: </w:t>
      </w:r>
      <w:r>
        <w:rPr>
          <w:rFonts w:ascii="Arial" w:cs="Arial" w:eastAsia="Arial" w:hAnsi="Arial"/>
          <w:sz w:val="16"/>
          <w:szCs w:val="16"/>
          <w:color w:val="41516E"/>
        </w:rPr>
        <w:t>As disclosed in a Current Report on Form 8-K (an “8-K”) filed by the Company on February 10, 2023, the Compensation</w:t>
      </w:r>
      <w:r>
        <w:rPr>
          <w:rFonts w:ascii="Arial" w:cs="Arial" w:eastAsia="Arial" w:hAnsi="Arial"/>
          <w:sz w:val="16"/>
          <w:szCs w:val="16"/>
          <w:b w:val="1"/>
          <w:bCs w:val="1"/>
          <w:color w:val="41516E"/>
        </w:rPr>
        <w:t xml:space="preserve"> </w:t>
      </w:r>
      <w:r>
        <w:rPr>
          <w:rFonts w:ascii="Arial" w:cs="Arial" w:eastAsia="Arial" w:hAnsi="Arial"/>
          <w:sz w:val="16"/>
          <w:szCs w:val="16"/>
          <w:color w:val="41516E"/>
        </w:rPr>
        <w:t>Committee approved a target cash bonus for Mr. Burwick of 120% of his 2023 base salary, which represented a 20% increase from Mr. Burwick’s 2022 target cash bonus percentage. The Company’s cash bonus program, including its 2023 cash bonus scale, is described in more detail in the Compensation Discussion and Analysis, or “CD&amp;A,” section of this Proxy Statement under the heading “Cash Incentive Bonuses.” As described under that heading, the Compensation Committee reviewed Fiscal Year 2023 Company performance against the 2023 cash bonus scale in February 2024 and determined that the Company achieved 95% on the scale and funded the bonus pool at 100%. The Committee accordingly approved a bonus to Mr. Burwick in the amount of $1,032,605, which was paid in March 2024.</w:t>
      </w:r>
    </w:p>
    <w:p>
      <w:pPr>
        <w:spacing w:after="0" w:line="45" w:lineRule="exact"/>
        <w:rPr>
          <w:rFonts w:ascii="Times New Roman" w:cs="Times New Roman" w:eastAsia="Times New Roman" w:hAnsi="Times New Roman"/>
          <w:sz w:val="16"/>
          <w:szCs w:val="16"/>
          <w:color w:val="41516E"/>
        </w:rPr>
      </w:pPr>
    </w:p>
    <w:p>
      <w:pPr>
        <w:jc w:val="both"/>
        <w:ind w:left="180" w:hanging="172"/>
        <w:spacing w:after="0" w:line="254" w:lineRule="auto"/>
        <w:tabs>
          <w:tab w:leader="none" w:pos="180" w:val="left"/>
        </w:tabs>
        <w:numPr>
          <w:ilvl w:val="0"/>
          <w:numId w:val="5"/>
        </w:numPr>
        <w:rPr>
          <w:rFonts w:ascii="Times New Roman" w:cs="Times New Roman" w:eastAsia="Times New Roman" w:hAnsi="Times New Roman"/>
          <w:sz w:val="16"/>
          <w:szCs w:val="16"/>
          <w:color w:val="41516E"/>
        </w:rPr>
      </w:pPr>
      <w:r>
        <w:rPr>
          <w:rFonts w:ascii="Arial" w:cs="Arial" w:eastAsia="Arial" w:hAnsi="Arial"/>
          <w:sz w:val="16"/>
          <w:szCs w:val="16"/>
          <w:b w:val="1"/>
          <w:bCs w:val="1"/>
          <w:color w:val="41516E"/>
        </w:rPr>
        <w:t xml:space="preserve">Performance-Based Stock Option Award: </w:t>
      </w:r>
      <w:r>
        <w:rPr>
          <w:rFonts w:ascii="Arial" w:cs="Arial" w:eastAsia="Arial" w:hAnsi="Arial"/>
          <w:sz w:val="16"/>
          <w:szCs w:val="16"/>
          <w:color w:val="41516E"/>
        </w:rPr>
        <w:t>On March 1, 2023, the Company granted Mr. Burwick a performance-based stock option award for a total of</w:t>
      </w:r>
      <w:r>
        <w:rPr>
          <w:rFonts w:ascii="Arial" w:cs="Arial" w:eastAsia="Arial" w:hAnsi="Arial"/>
          <w:sz w:val="16"/>
          <w:szCs w:val="16"/>
          <w:b w:val="1"/>
          <w:bCs w:val="1"/>
          <w:color w:val="41516E"/>
        </w:rPr>
        <w:t xml:space="preserve"> </w:t>
      </w:r>
      <w:r>
        <w:rPr>
          <w:rFonts w:ascii="Arial" w:cs="Arial" w:eastAsia="Arial" w:hAnsi="Arial"/>
          <w:sz w:val="16"/>
          <w:szCs w:val="16"/>
          <w:color w:val="41516E"/>
        </w:rPr>
        <w:t>12,430 shares, valued at $2,000,007 on the grant date. As described in more detail under the heading “Stock Option Awards,” the option shares have an exercise price of $323.80, are contingent upon certain net revenue growth targets in Fiscal Year 2024 over Fiscal Year 2022, have a three-year vesting schedule from March 2025 to March 2027 should the performance criteria be achieved, and are also contingent on continued employment (as an employee or consultant) on the applicable vesting dates. The stock option award structure is identical in nature to the stock option awards granted to the other NEOs on March 1, 2023.</w:t>
      </w:r>
    </w:p>
    <w:p>
      <w:pPr>
        <w:spacing w:after="0" w:line="45" w:lineRule="exact"/>
        <w:rPr>
          <w:rFonts w:ascii="Times New Roman" w:cs="Times New Roman" w:eastAsia="Times New Roman" w:hAnsi="Times New Roman"/>
          <w:sz w:val="16"/>
          <w:szCs w:val="16"/>
          <w:color w:val="41516E"/>
        </w:rPr>
      </w:pPr>
    </w:p>
    <w:p>
      <w:pPr>
        <w:jc w:val="both"/>
        <w:ind w:left="180" w:hanging="172"/>
        <w:spacing w:after="0" w:line="259" w:lineRule="auto"/>
        <w:tabs>
          <w:tab w:leader="none" w:pos="180" w:val="left"/>
        </w:tabs>
        <w:numPr>
          <w:ilvl w:val="0"/>
          <w:numId w:val="5"/>
        </w:numPr>
        <w:rPr>
          <w:rFonts w:ascii="Times New Roman" w:cs="Times New Roman" w:eastAsia="Times New Roman" w:hAnsi="Times New Roman"/>
          <w:sz w:val="16"/>
          <w:szCs w:val="16"/>
          <w:color w:val="41516E"/>
        </w:rPr>
      </w:pPr>
      <w:r>
        <w:rPr>
          <w:rFonts w:ascii="Arial" w:cs="Arial" w:eastAsia="Arial" w:hAnsi="Arial"/>
          <w:sz w:val="16"/>
          <w:szCs w:val="16"/>
          <w:b w:val="1"/>
          <w:bCs w:val="1"/>
          <w:color w:val="41516E"/>
        </w:rPr>
        <w:t xml:space="preserve">Restricted Stock Units: </w:t>
      </w:r>
      <w:r>
        <w:rPr>
          <w:rFonts w:ascii="Arial" w:cs="Arial" w:eastAsia="Arial" w:hAnsi="Arial"/>
          <w:sz w:val="16"/>
          <w:szCs w:val="16"/>
          <w:color w:val="41516E"/>
        </w:rPr>
        <w:t>On March 1, 2023, the Company granted Mr. Burwick an award of 6,177 Restricted Stock Units (“RSUs”), valued at $2,000,113</w:t>
      </w:r>
      <w:r>
        <w:rPr>
          <w:rFonts w:ascii="Arial" w:cs="Arial" w:eastAsia="Arial" w:hAnsi="Arial"/>
          <w:sz w:val="16"/>
          <w:szCs w:val="16"/>
          <w:b w:val="1"/>
          <w:bCs w:val="1"/>
          <w:color w:val="41516E"/>
        </w:rPr>
        <w:t xml:space="preserve"> </w:t>
      </w:r>
      <w:r>
        <w:rPr>
          <w:rFonts w:ascii="Arial" w:cs="Arial" w:eastAsia="Arial" w:hAnsi="Arial"/>
          <w:sz w:val="16"/>
          <w:szCs w:val="16"/>
          <w:color w:val="41516E"/>
        </w:rPr>
        <w:t>on the grant date. As described in more detail under the heading “Restricted Stock Units,” the RSUs vest over a four-year period and are contingent upon continued employment (as an employee or consultant) on the applicable vesting dates. The RSU award structure is identical in nature to the annual RSUs granted to the other NEOs on March 1, 2023.</w:t>
      </w:r>
    </w:p>
    <w:p>
      <w:pPr>
        <w:spacing w:after="0" w:line="42" w:lineRule="exact"/>
        <w:rPr>
          <w:rFonts w:ascii="Times New Roman" w:cs="Times New Roman" w:eastAsia="Times New Roman" w:hAnsi="Times New Roman"/>
          <w:sz w:val="16"/>
          <w:szCs w:val="16"/>
          <w:color w:val="41516E"/>
        </w:rPr>
      </w:pPr>
    </w:p>
    <w:p>
      <w:pPr>
        <w:jc w:val="both"/>
        <w:ind w:left="180" w:hanging="172"/>
        <w:spacing w:after="0" w:line="266" w:lineRule="auto"/>
        <w:tabs>
          <w:tab w:leader="none" w:pos="180" w:val="left"/>
        </w:tabs>
        <w:numPr>
          <w:ilvl w:val="0"/>
          <w:numId w:val="5"/>
        </w:numPr>
        <w:rPr>
          <w:rFonts w:ascii="Times New Roman" w:cs="Times New Roman" w:eastAsia="Times New Roman" w:hAnsi="Times New Roman"/>
          <w:sz w:val="16"/>
          <w:szCs w:val="16"/>
          <w:color w:val="41516E"/>
        </w:rPr>
      </w:pPr>
      <w:r>
        <w:rPr>
          <w:rFonts w:ascii="Arial" w:cs="Arial" w:eastAsia="Arial" w:hAnsi="Arial"/>
          <w:sz w:val="16"/>
          <w:szCs w:val="16"/>
          <w:b w:val="1"/>
          <w:bCs w:val="1"/>
          <w:color w:val="41516E"/>
        </w:rPr>
        <w:t xml:space="preserve">Other Compensation: </w:t>
      </w:r>
      <w:r>
        <w:rPr>
          <w:rFonts w:ascii="Arial" w:cs="Arial" w:eastAsia="Arial" w:hAnsi="Arial"/>
          <w:sz w:val="16"/>
          <w:szCs w:val="16"/>
          <w:color w:val="41516E"/>
        </w:rPr>
        <w:t>“Other Compensation” includes $13,200 in matching contributions to the Company’s 401(k) plan and $917 in Company</w:t>
      </w:r>
      <w:r>
        <w:rPr>
          <w:rFonts w:ascii="Arial" w:cs="Arial" w:eastAsia="Arial" w:hAnsi="Arial"/>
          <w:sz w:val="16"/>
          <w:szCs w:val="16"/>
          <w:b w:val="1"/>
          <w:bCs w:val="1"/>
          <w:color w:val="41516E"/>
        </w:rPr>
        <w:t xml:space="preserve"> </w:t>
      </w:r>
      <w:r>
        <w:rPr>
          <w:rFonts w:ascii="Arial" w:cs="Arial" w:eastAsia="Arial" w:hAnsi="Arial"/>
          <w:sz w:val="16"/>
          <w:szCs w:val="16"/>
          <w:color w:val="41516E"/>
        </w:rPr>
        <w:t>contributions to annual group life insurance, accidental death and dismemberment insurance, and short-term and long-term disability. Mr. Burwick was eligible for the same level and offering of those benefits as other Company coworkers.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Each of the categories of Mr. Burwick’s compensation mix are described in detail in the CD&amp;A section of this Proxy Statement under the heading “Compensation of David A. Burwick, President &amp; Chief Executive Officer.” Included in that discussion are the establishment of Mr. Burwick’s base salary, his achievement on the 2023 Bonus Scale, and the grant of his annual equity awards, all of which were approved by the Compensation Committee and the full Board of Directors. The Compensation Committee believes that Mr. Burwick’s compensation package is structured in a way that provides him with appropriate incentives and rewards for superior performance and increasing stockholder value.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Mr. Burwick’s compensation was a topic of discussion with stockholders following our 2023 non-binding Say-on-Pay resolution, which received a favorable vote of 91.7% of the votes cast. Our stockholder outreach and engagement efforts prior to and following that result are discussed in detail under the heading “Stockholder Engagement” below.</w:t>
      </w:r>
    </w:p>
    <w:p>
      <w:pPr>
        <w:spacing w:after="0" w:line="124"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Other Named Executive Officer 2023 Compensation Mix</w:t>
      </w:r>
    </w:p>
    <w:p>
      <w:pPr>
        <w:spacing w:after="0" w:line="3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The mix of 2023 potential compensation of our Named Executive Officers, other than Mr. Burwick, was also consistent with the goals of our executive compensation program. For example, as shown in the adjacent chart, variable compensation, in the form of equity awards and performance-based bonus potential, provided approximately 81% of total potential compensation, in the aggregate, of our other Named Executive Officers.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41516E"/>
        </w:rPr>
        <w:t>OTHER NEO TARGET COMPENSATION MIX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132080</wp:posOffset>
            </wp:positionV>
            <wp:extent cx="2400300" cy="1783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30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The actual compensation paid to each of our Named Executive Officers in 2023 is discussed in the CD&amp;A. Of the total compensation potential of our other Named Executive Officers for 2023, base salary constituted 4% to 37%, performance bonus potential based on 2023 performance constituted 2 to 23%, and equity compensation constituted 38% to 86%. For the purposes of these calculations, “other compensation” includes but is not limited to $600,000 in relocation assistance paid to Mr. Reynoso in connection with his recruitment and hiring and $645,500 in consulting fees paid to Mr. Hodges in 2023 prior to his hiring as a full-time employee in July 2023.</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As discussed in more detail in the CD&amp;A, Mr. Smalla received a base salary of $184,969 for service in 2023 through April 14, but he did not receive a cash bonus for 2023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90805</wp:posOffset>
            </wp:positionV>
            <wp:extent cx="8572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40" w:type="dxa"/>
            <w:vAlign w:val="bottom"/>
            <w:tcBorders>
              <w:bottom w:val="single" w:sz="8" w:color="41516E"/>
            </w:tcBorders>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11</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40" w:type="dxa"/>
            <w:vAlign w:val="bottom"/>
            <w:tcBorders>
              <w:bottom w:val="single" w:sz="8" w:color="C0C0C0"/>
            </w:tcBorders>
          </w:tcPr>
          <w:p>
            <w:pPr>
              <w:spacing w:after="0"/>
              <w:rPr>
                <w:sz w:val="24"/>
                <w:szCs w:val="24"/>
                <w:color w:val="auto"/>
              </w:rPr>
            </w:pPr>
          </w:p>
        </w:tc>
        <w:tc>
          <w:tcPr>
            <w:tcW w:w="40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Nominees </w:t>
      </w:r>
      <w:r>
        <w:rPr>
          <w:rFonts w:ascii="Arial" w:cs="Arial" w:eastAsia="Arial" w:hAnsi="Arial"/>
          <w:sz w:val="47"/>
          <w:szCs w:val="47"/>
          <w:b w:val="1"/>
          <w:bCs w:val="1"/>
          <w:color w:val="798297"/>
        </w:rPr>
        <w:t>for Board of Directors</w:t>
      </w:r>
    </w:p>
    <w:p>
      <w:pPr>
        <w:spacing w:after="0" w:line="200" w:lineRule="exact"/>
        <w:rPr>
          <w:sz w:val="20"/>
          <w:szCs w:val="20"/>
          <w:color w:val="auto"/>
        </w:rPr>
      </w:pP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The nominees for election to our Board of Directors at the Annual Meeting are identified below. They are being nominated as Class A or Class B Directors, as noted, to serve for a one-year term ending at the close of the 2024 Annual Meeting. Each has been nominated in accordance with our Articles of Organization, By-Laws, and Corporate Governance Guidelines. As discussed in more detail below, each nominee has extensive business and senior management experience, and together they collectively represent a group of individuals with diverse skills and experience in the areas that we consider to be critical to our business, including the alcohol beverage industry, marketing and brand development, operations and supply chain management, finance, sales, corporate governance, human capital, entrepreneurship, and general enterprise management.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When Mr. Burwick steps down from the Board and Mr. Spillane succeeds him as CEO, the composition of the Board will not meet the independence requirements of the New York Stock Exchange (“NYSE”). At that time, only four of our incumbent members of the Board - Ms. Joyce, Mr. Nemeth, Ms. Swanson and Mr. Valette - will have no material relationship with Boston Beer, either directly or indirectly as a partner, stockholder, or officer of an organization that has a material relationship with the Company. This non-compliance will continue through the election of the eight Directors standing for reelection, who are named in this Proxy Statement. As mentioned above, the Board has determined to continue to set the number of Directors on the Board at nine, leaving a Class B vacancy to be filled upon the identification of an appropriate candidate. It is anticipated that the candidate so identified will be independent and that the Board will meet the NYSE’s independence requirements once the candidate is appointed to fill the vacancy.</w:t>
      </w:r>
    </w:p>
    <w:p>
      <w:pPr>
        <w:spacing w:after="0" w:line="135"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Nominees for Class A Director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41516E"/>
        </w:rPr>
        <w:t>We recommend that the Class A Stockholders vote “FOR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132080</wp:posOffset>
            </wp:positionV>
            <wp:extent cx="1234440" cy="1920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44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1516E"/>
        </w:rPr>
        <w:t>MEGHAN V. JOYCE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Age: 39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Director since: 2019</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INDEPENDENT CLASS A DIRECTOR NOMINEE</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41516E"/>
        </w:rPr>
        <w:t>Ms. Joyce is the Co-Founder and Chief Executive Officer of Duckbill Technologies, Inc., a pre-seed venture-backed tech startup company based in Boston, a position she has held since April 2022. Prior to this role, she was the Chief Operating Officer and EVP of Platform for Oscar Health (NYSE: OSCR), a technology-focused health insurance company based in New York, New York, a position she held from September 2019 until April 2022. In this role, she oversaw Oscar’s operations, technology, marketing, and clinical operations, as well as its technology and services solutions. She has continued to serve as a Senior Advisor for Oscar since April 2022. Prior to her position at Oscar, she worked for Uber Technologies, Inc., a tech company headquartered in San Francisco, from 2013 to 2019. From 2017 to 2019, she served as Regional General Manager for Uber US &amp; Canada Cities, responsible for business outcomes and rider and driver experience in communities across the US &amp; Canada. Ms. Joyce served as Uber’s East Coast General Manager from 2015 to 2017 and Boston General Manager from 2013 to 2015. Prior to that, she served as a Senior Policy Advisor for the United States Department of the Treasury in Washington, D.C. from 2011 to 2012. Ms. Joyce previously worked as an investor for Bain Capital and a consultant for Bain &amp; Company. In August 2021, Ms. Joyce was appointed to the Board of Directors of Guardant Health, Inc., an oncology-focused health company based in Palo Alto, California. She serves on Guardant’s Audit Committee and Compensation Committee.</w:t>
      </w: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41516E"/>
        </w:rPr>
        <w:t xml:space="preserve">Committees: </w:t>
      </w:r>
      <w:r>
        <w:rPr>
          <w:rFonts w:ascii="Arial" w:cs="Arial" w:eastAsia="Arial" w:hAnsi="Arial"/>
          <w:sz w:val="16"/>
          <w:szCs w:val="16"/>
          <w:color w:val="41516E"/>
        </w:rPr>
        <w:t>Nominating/Governance Committee (Chair), Audit</w:t>
      </w:r>
      <w:r>
        <w:rPr>
          <w:rFonts w:ascii="Arial" w:cs="Arial" w:eastAsia="Arial" w:hAnsi="Arial"/>
          <w:sz w:val="16"/>
          <w:szCs w:val="16"/>
          <w:b w:val="1"/>
          <w:bCs w:val="1"/>
          <w:color w:val="41516E"/>
        </w:rPr>
        <w:t xml:space="preserve"> </w:t>
      </w:r>
      <w:r>
        <w:rPr>
          <w:rFonts w:ascii="Arial" w:cs="Arial" w:eastAsia="Arial" w:hAnsi="Arial"/>
          <w:sz w:val="16"/>
          <w:szCs w:val="16"/>
          <w:color w:val="41516E"/>
        </w:rPr>
        <w:t>Committee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Other Public Company Directorships: </w:t>
      </w:r>
      <w:r>
        <w:rPr>
          <w:rFonts w:ascii="Arial" w:cs="Arial" w:eastAsia="Arial" w:hAnsi="Arial"/>
          <w:sz w:val="16"/>
          <w:szCs w:val="16"/>
          <w:color w:val="41516E"/>
        </w:rPr>
        <w:t>Guardant Health, Inc.</w:t>
      </w:r>
    </w:p>
    <w:p>
      <w:pPr>
        <w:spacing w:after="0" w:line="248"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41516E"/>
        </w:rPr>
        <w:t>Specific qualifications and experience of particular relevance to Boston Beer</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41516E"/>
        </w:rPr>
        <w:t>Ms. Joyce has extensive experience in business strategy, managing growth, financial modeling, modern consumer recruitment and engagement, digital marketing and implementation of new technologies, and management and retention of diverse employee groups. She was appointed Chair of our Nominating/Governance Committee in May 2020, after having served on the committee since May 2019. She has served on the Audit Committee since May 2019 and served on the Compensation Committee from May 2019 to May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1516E"/>
        </w:rPr>
        <w:t>CYNTHIA 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1092835</wp:posOffset>
            </wp:positionH>
            <wp:positionV relativeFrom="paragraph">
              <wp:posOffset>-2099310</wp:posOffset>
            </wp:positionV>
            <wp:extent cx="1225550" cy="1920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25550" cy="1920240"/>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Age: 62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Director since: 2023</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INDEPENDENT CLASS A DIRECTOR NOMINEE</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41516E"/>
        </w:rPr>
        <w:t>Ms. Swanson was appointed to Boston Beer’s Board of Directors in July 2023. She has over thirty years of senior financial management experience in the beverage industry. From 1991 to 2020, Ms. Swanson served in several senior roles with PepsiCo, a multinational food, snack, and beverage company headquartered in Purchase, New York. Most recently she served as Chief Financial Officer of PepsiCo Europe and Sub Sahara Africa from January 2017 to March 2020, a role that was based in Geneva, Switzerland. Prior to that, she served as Chief Financial Officer of PepsiCo Americas Beverages from September 2005 to December 2016; Senior Vice President of PepsiCo Global Mergers, Acquisitions &amp; Merger Integration from 2002 to 2005; Chief Financial Officer Frito-Lay International Latin America, Asia Pacific &amp; Australia Division from 2000 to 2002; and Vice President and Chief Financial Officer of Pepsi-Cola International Central Europe Region from 1993 to 1999. From 2013 to 2016, Ms. Swanson served on the Board of Directors of Women In Need, Inc., a non-profit organization aiming to break the cycle of homelessness for women and their children in New York, New York.</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Committees: </w:t>
      </w:r>
      <w:r>
        <w:rPr>
          <w:rFonts w:ascii="Arial" w:cs="Arial" w:eastAsia="Arial" w:hAnsi="Arial"/>
          <w:sz w:val="16"/>
          <w:szCs w:val="16"/>
          <w:color w:val="41516E"/>
        </w:rPr>
        <w:t>Audit Committee, Compensation Committee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Other Public Company Directorships: </w:t>
      </w:r>
      <w:r>
        <w:rPr>
          <w:rFonts w:ascii="Arial" w:cs="Arial" w:eastAsia="Arial" w:hAnsi="Arial"/>
          <w:sz w:val="16"/>
          <w:szCs w:val="16"/>
          <w:color w:val="41516E"/>
        </w:rPr>
        <w:t>None</w:t>
      </w:r>
    </w:p>
    <w:p>
      <w:pPr>
        <w:spacing w:after="0" w:line="248"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41516E"/>
        </w:rPr>
        <w:t>Specific qualifications and experience of particular relevance to Boston Beer</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Ms. Swanson has extensive experience leading beverage and consumer packaged goods organizations. Her significant financial experience in the beverage industry helps shape our overall financial and operational strategies. She was appointed to our Audit Committee and our Compensation Committee in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1306195</wp:posOffset>
            </wp:positionV>
            <wp:extent cx="8572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87" w:lineRule="exact"/>
        <w:rPr>
          <w:sz w:val="20"/>
          <w:szCs w:val="20"/>
          <w:color w:val="auto"/>
        </w:rPr>
      </w:pPr>
    </w:p>
    <w:p>
      <w:pPr>
        <w:sectPr>
          <w:pgSz w:w="11900" w:h="16838" w:orient="portrait"/>
          <w:cols w:equalWidth="0" w:num="2">
            <w:col w:w="5400" w:space="460"/>
            <w:col w:w="5380"/>
          </w:cols>
          <w:pgMar w:left="320" w:top="238" w:right="339" w:bottom="1440" w:gutter="0" w:footer="0" w:header="0"/>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13</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118110</wp:posOffset>
            </wp:positionV>
            <wp:extent cx="1242695" cy="1577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4269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840"/>
        <w:spacing w:after="0"/>
        <w:rPr>
          <w:sz w:val="20"/>
          <w:szCs w:val="20"/>
          <w:color w:val="auto"/>
        </w:rPr>
      </w:pPr>
      <w:r>
        <w:rPr>
          <w:rFonts w:ascii="Arial" w:cs="Arial" w:eastAsia="Arial" w:hAnsi="Arial"/>
          <w:sz w:val="18"/>
          <w:szCs w:val="18"/>
          <w:b w:val="1"/>
          <w:bCs w:val="1"/>
          <w:color w:val="41516E"/>
        </w:rPr>
        <w:t>JEAN-MICHEL VALETTE</w:t>
      </w:r>
    </w:p>
    <w:p>
      <w:pPr>
        <w:spacing w:after="0" w:line="95" w:lineRule="exact"/>
        <w:rPr>
          <w:sz w:val="20"/>
          <w:szCs w:val="20"/>
          <w:color w:val="auto"/>
        </w:rPr>
      </w:pPr>
    </w:p>
    <w:p>
      <w:pPr>
        <w:jc w:val="center"/>
        <w:ind w:right="5840"/>
        <w:spacing w:after="0"/>
        <w:rPr>
          <w:sz w:val="20"/>
          <w:szCs w:val="20"/>
          <w:color w:val="auto"/>
        </w:rPr>
      </w:pPr>
      <w:r>
        <w:rPr>
          <w:rFonts w:ascii="Arial" w:cs="Arial" w:eastAsia="Arial" w:hAnsi="Arial"/>
          <w:sz w:val="16"/>
          <w:szCs w:val="16"/>
          <w:b w:val="1"/>
          <w:bCs w:val="1"/>
          <w:color w:val="41516E"/>
        </w:rPr>
        <w:t>Age: 63</w:t>
      </w:r>
    </w:p>
    <w:p>
      <w:pPr>
        <w:spacing w:after="0" w:line="21" w:lineRule="exact"/>
        <w:rPr>
          <w:sz w:val="20"/>
          <w:szCs w:val="20"/>
          <w:color w:val="auto"/>
        </w:rPr>
      </w:pPr>
    </w:p>
    <w:p>
      <w:pPr>
        <w:jc w:val="center"/>
        <w:ind w:right="5840"/>
        <w:spacing w:after="0"/>
        <w:rPr>
          <w:sz w:val="20"/>
          <w:szCs w:val="20"/>
          <w:color w:val="auto"/>
        </w:rPr>
      </w:pPr>
      <w:r>
        <w:rPr>
          <w:rFonts w:ascii="Arial" w:cs="Arial" w:eastAsia="Arial" w:hAnsi="Arial"/>
          <w:sz w:val="16"/>
          <w:szCs w:val="16"/>
          <w:b w:val="1"/>
          <w:bCs w:val="1"/>
          <w:color w:val="41516E"/>
        </w:rPr>
        <w:t>Director since: 2003</w:t>
      </w:r>
    </w:p>
    <w:p>
      <w:pPr>
        <w:spacing w:after="0" w:line="84" w:lineRule="exact"/>
        <w:rPr>
          <w:sz w:val="20"/>
          <w:szCs w:val="20"/>
          <w:color w:val="auto"/>
        </w:rPr>
      </w:pPr>
    </w:p>
    <w:p>
      <w:pPr>
        <w:jc w:val="center"/>
        <w:ind w:right="5840"/>
        <w:spacing w:after="0"/>
        <w:rPr>
          <w:sz w:val="20"/>
          <w:szCs w:val="20"/>
          <w:color w:val="auto"/>
        </w:rPr>
      </w:pPr>
      <w:r>
        <w:rPr>
          <w:rFonts w:ascii="Arial" w:cs="Arial" w:eastAsia="Arial" w:hAnsi="Arial"/>
          <w:sz w:val="16"/>
          <w:szCs w:val="16"/>
          <w:b w:val="1"/>
          <w:bCs w:val="1"/>
          <w:color w:val="41516E"/>
        </w:rPr>
        <w:t>INDEPENDENT CLASS A DIRECTOR NOMINEE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41516E"/>
        </w:rPr>
        <w:t>Mr. Valette currently serves as an independent advisor to select branded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1516E"/>
        </w:rPr>
        <w:t>consumer companies. He has been on Boston Beer’s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since May 2003 and served as the Board’s Lead Director from May 2013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May 2023. He is a Director and Audit Committee Chair of Intertek Group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plc, a publicly traded global quality assurance and testing company active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across a broad range of sectors and geographies, based in London,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England. He also serves as a director of several private companies,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including as Chairman of Huneeus Vintners and Drip Drop Hydration,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He served as a Director of Sleep Number Corporation, a publicly traded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sleep technology company based in Minneapolis, Minnesota from 1994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2023, including as chairman from 2010 until 2022. Until November 2012,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he  was  Chairman  of  the  Board  and  a  member  of  the  Audit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Nominating/Governance  Committees  of  Peet’s  Coffee  &amp;  Tea  Inc.,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California-based specialty coffee company. Peet’s went private in 2012;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from that timed until April 2022, Mr. Valette served as a Director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Chairman of its Audit and Valuation Committees. Peet’s parent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JDE Peet’s N.V., went public in May 2020; Mr. Valette does not serve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that Board. Until October 2006, he was Chairman of Robert Mondavi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Winery, a California wine company. Prior to assuming that position, he had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served as President and Managing Director of Robert Mondavi Winery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from October 2004 to January 2005.</w:t>
      </w:r>
    </w:p>
    <w:p>
      <w:pPr>
        <w:spacing w:after="0" w:line="178" w:lineRule="exact"/>
        <w:rPr>
          <w:sz w:val="20"/>
          <w:szCs w:val="20"/>
          <w:color w:val="auto"/>
        </w:rPr>
      </w:pPr>
    </w:p>
    <w:p>
      <w:pPr>
        <w:spacing w:after="0"/>
        <w:tabs>
          <w:tab w:leader="none" w:pos="1200" w:val="left"/>
          <w:tab w:leader="none" w:pos="1820" w:val="left"/>
          <w:tab w:leader="none" w:pos="2860" w:val="left"/>
          <w:tab w:leader="none" w:pos="3640" w:val="left"/>
        </w:tabs>
        <w:rPr>
          <w:sz w:val="20"/>
          <w:szCs w:val="20"/>
          <w:color w:val="auto"/>
        </w:rPr>
      </w:pPr>
      <w:r>
        <w:rPr>
          <w:rFonts w:ascii="Arial" w:cs="Arial" w:eastAsia="Arial" w:hAnsi="Arial"/>
          <w:sz w:val="16"/>
          <w:szCs w:val="16"/>
          <w:b w:val="1"/>
          <w:bCs w:val="1"/>
          <w:color w:val="41516E"/>
        </w:rPr>
        <w:t>Committees:</w:t>
      </w:r>
      <w:r>
        <w:rPr>
          <w:sz w:val="20"/>
          <w:szCs w:val="20"/>
          <w:color w:val="auto"/>
        </w:rPr>
        <w:tab/>
      </w:r>
      <w:r>
        <w:rPr>
          <w:rFonts w:ascii="Arial" w:cs="Arial" w:eastAsia="Arial" w:hAnsi="Arial"/>
          <w:sz w:val="16"/>
          <w:szCs w:val="16"/>
          <w:color w:val="41516E"/>
        </w:rPr>
        <w:t>Audit</w:t>
        <w:tab/>
        <w:t>Committee</w:t>
        <w:tab/>
        <w:t>(Chair),</w:t>
        <w:tab/>
        <w:t>Nominating/Governance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1516E"/>
        </w:rPr>
        <w:t>Committee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Other Public Company Directorships: </w:t>
      </w:r>
      <w:r>
        <w:rPr>
          <w:rFonts w:ascii="Arial" w:cs="Arial" w:eastAsia="Arial" w:hAnsi="Arial"/>
          <w:sz w:val="16"/>
          <w:szCs w:val="16"/>
          <w:color w:val="41516E"/>
        </w:rPr>
        <w:t>Intertek Group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Specific qualifications and experience of particular relevance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Boston Beer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41516E"/>
        </w:rPr>
        <w:t>Mr. Valette has more than thirty years of experience in management, public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1516E"/>
        </w:rPr>
        <w:t>company corporate governance, strategic planning, and finance,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extensive experience in the alcohol beverage industry. Mr. Valette has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served on our Nominating/Governance Committee since May 2004. He has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also served as a member of our Audit Committee since May 2003, and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Committee’s Chair since January 2019. He served on our Compensation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Committee from May 2018 to May 2020.</w:t>
      </w:r>
    </w:p>
    <w:p>
      <w:pPr>
        <w:spacing w:after="0" w:line="158"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Nominees for Class B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145415</wp:posOffset>
            </wp:positionV>
            <wp:extent cx="1285875" cy="1628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8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1516E"/>
        </w:rPr>
        <w:t>SAMUEL A. CALAGIONE, III</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Age: 54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Director since: 2020</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CLASS B DIRECTOR NOMINEE</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41516E"/>
        </w:rPr>
        <w:t>Mr. Calagione is Founder and Brewer of Dogfish Head Brewery with overall responsibility for managing the Dogfish Head brand and providing insight into all of the Company’s brands. He founded Dogfish Head with his wife Mariah Calagione in June 1995 and served as CEO until the merger with Boston Beer in July 2019. He joined the Company’s Board of Directors in October 2020. His innovative style has earned him a James Beard Award for Outstanding Wine, Spirits, or Beer Professional and a reputation as one of the country’s most adventurous brewers. He has been featured in The Wall Street Journal, USA Today, People, Forbes, Bon Appetit, and many other magazines and newspapers. He is also the author of five books, including Brewing Up a Business (2011), Off-Centered Leadership (2016), and The Dogfish Head Book: 26 Off-Centered Years (2021).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Committees: </w:t>
      </w:r>
      <w:r>
        <w:rPr>
          <w:rFonts w:ascii="Arial" w:cs="Arial" w:eastAsia="Arial" w:hAnsi="Arial"/>
          <w:sz w:val="16"/>
          <w:szCs w:val="16"/>
          <w:color w:val="41516E"/>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Other Public Company Directorships: </w:t>
      </w:r>
      <w:r>
        <w:rPr>
          <w:rFonts w:ascii="Arial" w:cs="Arial" w:eastAsia="Arial" w:hAnsi="Arial"/>
          <w:sz w:val="16"/>
          <w:szCs w:val="16"/>
          <w:color w:val="41516E"/>
        </w:rPr>
        <w:t>None</w:t>
      </w:r>
    </w:p>
    <w:p>
      <w:pPr>
        <w:spacing w:after="0" w:line="248"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41516E"/>
        </w:rPr>
        <w:t>Specific qualifications and experience of particular relevance to Boston Beer</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During his twenty-eight years at the helm of Dogfish Head, he grew the company from a small brewpub in Rehoboth, Delaware to an award-winning, nationally recognized brand and destination. Mr. Calagione’s skills in brewing, innovation, marketing, consumer engagement, media relations, management, distributor relations, and entrepreneurship are an invaluable asset to Boston Beer’s leadership team and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1516E"/>
        </w:rPr>
        <w:t>CYNTHIA A.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-1807845</wp:posOffset>
            </wp:positionV>
            <wp:extent cx="1285875" cy="1628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5875" cy="162877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Age: 63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Director since: 2012</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CLASS B DIRECTOR NOMINEE</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41516E"/>
        </w:rPr>
        <w:t>Ms. Fisher is an independent investor, entrepreneur, and advisor. She is Founder and Chairman of PatientRightsAdvocate.org, a nonprofit, non-partisan organization based in Newton, Massachusetts. The organization seeks systemwide healthcare price transparency to empower American consumers and employers to know actual quality and prices of care and coverage upfront and create a functional marketplace in healthcare to lower costs, improve quality, and broaden affordable access through competition and choice. Ms. Fisher also serves on the Board of Directors of Easterly Government Properties, Inc. (NYSE: DEA), a publicly held real estate investment trust based in Washington, D.C., where she is a member of the Audit Committee, Compensation Committee, and Nominating &amp; Corporate Governance Committee. She also founded WaterRev, LLC, an investment company located in Newton, Massachusetts, focused on innovative technology companies that enable sustainable practices of water use.</w:t>
      </w:r>
    </w:p>
    <w:p>
      <w:pPr>
        <w:spacing w:after="0" w:line="35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41516E"/>
        </w:rPr>
        <w:t>In 1992, Ms. Fisher founded ViaCord, Inc., a cord blood stem cell banking company, and served as its Founder, Chairman, and CEO from 1993 to 2000. In 2000, she co-founded ViaCell, Inc., a cellular medicines company, and served as President and on the Board of Directors. ViaCell, the successor to ViaCord, went public in 2005 and was subsequently sold to PerkinElmer in 2007. Ms. Fisher co-founded and is Chairman of Fitmoney.org, which provides curriculum for K-12 financial literacy. She serves on the board of the National Park Foundation and previously served on the Board of Directors of Water.org. Ms. Fisher is the spouse of C. James Koch, Boston Beer’s Founder and Chairman.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Committees: </w:t>
      </w:r>
      <w:r>
        <w:rPr>
          <w:rFonts w:ascii="Arial" w:cs="Arial" w:eastAsia="Arial" w:hAnsi="Arial"/>
          <w:sz w:val="16"/>
          <w:szCs w:val="16"/>
          <w:color w:val="41516E"/>
        </w:rPr>
        <w:t>None</w:t>
      </w:r>
    </w:p>
    <w:p>
      <w:pPr>
        <w:spacing w:after="0" w:line="24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41516E"/>
        </w:rPr>
        <w:t xml:space="preserve">Other Public Company Directorships: </w:t>
      </w:r>
      <w:r>
        <w:rPr>
          <w:rFonts w:ascii="Arial" w:cs="Arial" w:eastAsia="Arial" w:hAnsi="Arial"/>
          <w:sz w:val="16"/>
          <w:szCs w:val="16"/>
          <w:color w:val="41516E"/>
        </w:rPr>
        <w:t>Easterly Government Properties,</w:t>
      </w:r>
      <w:r>
        <w:rPr>
          <w:rFonts w:ascii="Arial" w:cs="Arial" w:eastAsia="Arial" w:hAnsi="Arial"/>
          <w:sz w:val="16"/>
          <w:szCs w:val="16"/>
          <w:b w:val="1"/>
          <w:bCs w:val="1"/>
          <w:color w:val="41516E"/>
        </w:rPr>
        <w:t xml:space="preserve"> </w:t>
      </w:r>
      <w:r>
        <w:rPr>
          <w:rFonts w:ascii="Arial" w:cs="Arial" w:eastAsia="Arial" w:hAnsi="Arial"/>
          <w:sz w:val="16"/>
          <w:szCs w:val="16"/>
          <w:color w:val="41516E"/>
        </w:rPr>
        <w:t>Inc.</w:t>
      </w:r>
    </w:p>
    <w:p>
      <w:pPr>
        <w:spacing w:after="0" w:line="183"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41516E"/>
        </w:rPr>
        <w:t>Specific qualifications and experience of particular relevance to Boston Beer</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41516E"/>
        </w:rPr>
        <w:t>She brings significant entrepreneurial experience, as well as insight in business strategy, operations, and consumer marketing to the Board’s overall business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100330</wp:posOffset>
            </wp:positionV>
            <wp:extent cx="857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60"/>
            <w:col w:w="5380"/>
          </w:cols>
          <w:pgMar w:left="320" w:top="238" w:right="33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15</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118110</wp:posOffset>
            </wp:positionV>
            <wp:extent cx="1285875" cy="1568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5875" cy="15684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118110</wp:posOffset>
            </wp:positionV>
            <wp:extent cx="1285875" cy="1543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5875" cy="154305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1516E"/>
        </w:rPr>
        <w:t>C. JAMES KOCH</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Age: 74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Director since: 1995</w:t>
      </w:r>
    </w:p>
    <w:p>
      <w:pPr>
        <w:spacing w:after="0" w:line="84" w:lineRule="exact"/>
        <w:rPr>
          <w:sz w:val="20"/>
          <w:szCs w:val="20"/>
          <w:color w:val="auto"/>
        </w:rPr>
      </w:pPr>
    </w:p>
    <w:p>
      <w:pPr>
        <w:jc w:val="center"/>
        <w:ind w:left="20"/>
        <w:spacing w:after="0"/>
        <w:rPr>
          <w:sz w:val="20"/>
          <w:szCs w:val="20"/>
          <w:color w:val="auto"/>
        </w:rPr>
      </w:pPr>
      <w:r>
        <w:rPr>
          <w:rFonts w:ascii="Arial" w:cs="Arial" w:eastAsia="Arial" w:hAnsi="Arial"/>
          <w:sz w:val="16"/>
          <w:szCs w:val="16"/>
          <w:b w:val="1"/>
          <w:bCs w:val="1"/>
          <w:color w:val="41516E"/>
        </w:rPr>
        <w:t>CLASS B DIRECTOR NOMINEE</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41516E"/>
        </w:rPr>
        <w:t>Jim Koch founded Boston Beer in 1984 and currently serves as its Chairman. Until January 2001, Mr. Koch also served as the Company’s Chief Executive Officer. Prior to starting Boston Beer, he had worked as a consultant for an international consulting firm with a focus on manufacturing. He was appointed to the Board of Directors of Beyond Meat, Inc, a publicly-traded producer of plant-based meat substitutes based in Los Angeles, California, in May 2023. He sits on Beyond Meat’s Risk Committee.</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Committees</w:t>
      </w:r>
      <w:r>
        <w:rPr>
          <w:rFonts w:ascii="Arial" w:cs="Arial" w:eastAsia="Arial" w:hAnsi="Arial"/>
          <w:sz w:val="16"/>
          <w:szCs w:val="16"/>
          <w:color w:val="41516E"/>
        </w:rPr>
        <w:t>: None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Other Public Company Directorships: </w:t>
      </w:r>
      <w:r>
        <w:rPr>
          <w:rFonts w:ascii="Arial" w:cs="Arial" w:eastAsia="Arial" w:hAnsi="Arial"/>
          <w:sz w:val="16"/>
          <w:szCs w:val="16"/>
          <w:color w:val="41516E"/>
        </w:rPr>
        <w:t>Beyond Meat, Inc.</w:t>
      </w:r>
    </w:p>
    <w:p>
      <w:pPr>
        <w:spacing w:after="0" w:line="248"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41516E"/>
        </w:rPr>
        <w:t>Specific qualifications and experience of particular relevance to Boston Beer</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His forty years at the helm of Boston Beer, during which it has grown from a small start-up company to its current position as a leading craft brewer, are a testament to his skill in brewing, strategy, brand development, and industry leadership.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1516E"/>
        </w:rPr>
        <w:t>JULIO N. NEMETH</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Age: 63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Director since: 2020</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INDEPENDENT CLASS B DIRECTOR NOMINEE</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41516E"/>
        </w:rPr>
        <w:t>Mr. Nemeth was appointed to Boston Beer’s Board of Directors in January 2020. He has served on the Compensation Committee since that time. He was appointed Chair of the Compensation Committee and joined the Nominating/Governance Committee in May 2023. He served on our Audit Committee from 2020 to 2023. Mr. Nemeth previously served as Chief Product Supply Officer at Procter &amp; Gamble, a consumer goods corporation headquartered in Cincinnati, OH (NYSE: PG), from 2019 until his retirement in June 2023. He also served as the Executive Sponsor of the Hispanic Leadership Team and the People with Disabilities Network at P&amp;G. He held numerous senior roles with P&amp;G since 1990, including President, Global Business Services from 2015 to 2019 and Senior Vice President, Product Supply, Global Operations from 2013 to 2014. Prior to his time at P&amp;G, he served as a Project Engineer for Union Carbide Corporation in Brazil from 1987 to 1990 and as a Design Engineer for Fabirnor Argentina from 1984 to 1987.</w:t>
      </w:r>
    </w:p>
    <w:p>
      <w:pPr>
        <w:spacing w:after="0" w:line="1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41516E"/>
        </w:rPr>
        <w:t xml:space="preserve">Committees: </w:t>
      </w:r>
      <w:r>
        <w:rPr>
          <w:rFonts w:ascii="Arial" w:cs="Arial" w:eastAsia="Arial" w:hAnsi="Arial"/>
          <w:sz w:val="16"/>
          <w:szCs w:val="16"/>
          <w:color w:val="41516E"/>
        </w:rPr>
        <w:t>Compensation Committee (Chair), Nominating/ Governance</w:t>
      </w:r>
      <w:r>
        <w:rPr>
          <w:rFonts w:ascii="Arial" w:cs="Arial" w:eastAsia="Arial" w:hAnsi="Arial"/>
          <w:sz w:val="16"/>
          <w:szCs w:val="16"/>
          <w:b w:val="1"/>
          <w:bCs w:val="1"/>
          <w:color w:val="41516E"/>
        </w:rPr>
        <w:t xml:space="preserve"> </w:t>
      </w:r>
      <w:r>
        <w:rPr>
          <w:rFonts w:ascii="Arial" w:cs="Arial" w:eastAsia="Arial" w:hAnsi="Arial"/>
          <w:sz w:val="16"/>
          <w:szCs w:val="16"/>
          <w:color w:val="41516E"/>
        </w:rPr>
        <w:t>Committee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Other Public Company Directorships: </w:t>
      </w:r>
      <w:r>
        <w:rPr>
          <w:rFonts w:ascii="Arial" w:cs="Arial" w:eastAsia="Arial" w:hAnsi="Arial"/>
          <w:sz w:val="16"/>
          <w:szCs w:val="16"/>
          <w:color w:val="41516E"/>
        </w:rPr>
        <w:t>None</w:t>
      </w:r>
    </w:p>
    <w:p>
      <w:pPr>
        <w:spacing w:after="0" w:line="248"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41516E"/>
        </w:rPr>
        <w:t>Specific qualifications and experience of particular relevance to Boston Beer</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Mr. Nemeth has more than forty years of operations, engineering, procurement, manufacturing, customer service, quality, distribution, innovation, and general management experience in the consumer goods industry, with significant experience in supply chain management. Prior to his retirement in 2023, he led P&amp;G’s global product supply organization, which included 58,000 employees, over 100 manufacturing plants, and roughly 200 distribution centers around the world.</w:t>
      </w:r>
    </w:p>
    <w:p>
      <w:pPr>
        <w:spacing w:after="0" w:line="135" w:lineRule="exact"/>
        <w:rPr>
          <w:sz w:val="20"/>
          <w:szCs w:val="20"/>
          <w:color w:val="auto"/>
        </w:rPr>
      </w:pPr>
    </w:p>
    <w:p>
      <w:pPr>
        <w:sectPr>
          <w:pgSz w:w="11900" w:h="16838" w:orient="portrait"/>
          <w:cols w:equalWidth="0" w:num="2">
            <w:col w:w="5400" w:space="460"/>
            <w:col w:w="5380"/>
          </w:cols>
          <w:pgMar w:left="320" w:top="238" w:right="339" w:bottom="1440" w:gutter="0" w:footer="0" w:header="0"/>
          <w:type w:val="continuous"/>
        </w:sect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118110</wp:posOffset>
            </wp:positionV>
            <wp:extent cx="1285875" cy="13798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587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820"/>
        <w:spacing w:after="0"/>
        <w:rPr>
          <w:sz w:val="20"/>
          <w:szCs w:val="20"/>
          <w:color w:val="auto"/>
        </w:rPr>
      </w:pPr>
      <w:r>
        <w:rPr>
          <w:rFonts w:ascii="Arial" w:cs="Arial" w:eastAsia="Arial" w:hAnsi="Arial"/>
          <w:sz w:val="18"/>
          <w:szCs w:val="18"/>
          <w:b w:val="1"/>
          <w:bCs w:val="1"/>
          <w:color w:val="41516E"/>
        </w:rPr>
        <w:t>MICHAEL SPILLANE</w:t>
      </w:r>
    </w:p>
    <w:p>
      <w:pPr>
        <w:spacing w:after="0" w:line="95" w:lineRule="exact"/>
        <w:rPr>
          <w:sz w:val="20"/>
          <w:szCs w:val="20"/>
          <w:color w:val="auto"/>
        </w:rPr>
      </w:pPr>
    </w:p>
    <w:p>
      <w:pPr>
        <w:jc w:val="center"/>
        <w:ind w:right="5820"/>
        <w:spacing w:after="0"/>
        <w:rPr>
          <w:sz w:val="20"/>
          <w:szCs w:val="20"/>
          <w:color w:val="auto"/>
        </w:rPr>
      </w:pPr>
      <w:r>
        <w:rPr>
          <w:rFonts w:ascii="Arial" w:cs="Arial" w:eastAsia="Arial" w:hAnsi="Arial"/>
          <w:sz w:val="16"/>
          <w:szCs w:val="16"/>
          <w:b w:val="1"/>
          <w:bCs w:val="1"/>
          <w:color w:val="41516E"/>
        </w:rPr>
        <w:t>Age: 64</w:t>
      </w:r>
    </w:p>
    <w:p>
      <w:pPr>
        <w:spacing w:after="0" w:line="21" w:lineRule="exact"/>
        <w:rPr>
          <w:sz w:val="20"/>
          <w:szCs w:val="20"/>
          <w:color w:val="auto"/>
        </w:rPr>
      </w:pPr>
    </w:p>
    <w:p>
      <w:pPr>
        <w:jc w:val="center"/>
        <w:ind w:right="5820"/>
        <w:spacing w:after="0"/>
        <w:rPr>
          <w:sz w:val="20"/>
          <w:szCs w:val="20"/>
          <w:color w:val="auto"/>
        </w:rPr>
      </w:pPr>
      <w:r>
        <w:rPr>
          <w:rFonts w:ascii="Arial" w:cs="Arial" w:eastAsia="Arial" w:hAnsi="Arial"/>
          <w:sz w:val="16"/>
          <w:szCs w:val="16"/>
          <w:b w:val="1"/>
          <w:bCs w:val="1"/>
          <w:color w:val="41516E"/>
        </w:rPr>
        <w:t>Director since: 2016</w:t>
      </w:r>
    </w:p>
    <w:p>
      <w:pPr>
        <w:spacing w:after="0" w:line="84" w:lineRule="exact"/>
        <w:rPr>
          <w:sz w:val="20"/>
          <w:szCs w:val="20"/>
          <w:color w:val="auto"/>
        </w:rPr>
      </w:pPr>
    </w:p>
    <w:p>
      <w:pPr>
        <w:jc w:val="center"/>
        <w:ind w:right="5820"/>
        <w:spacing w:after="0"/>
        <w:rPr>
          <w:sz w:val="20"/>
          <w:szCs w:val="20"/>
          <w:color w:val="auto"/>
        </w:rPr>
      </w:pPr>
      <w:r>
        <w:rPr>
          <w:rFonts w:ascii="Arial" w:cs="Arial" w:eastAsia="Arial" w:hAnsi="Arial"/>
          <w:sz w:val="16"/>
          <w:szCs w:val="16"/>
          <w:b w:val="1"/>
          <w:bCs w:val="1"/>
          <w:color w:val="41516E"/>
        </w:rPr>
        <w:t>CLASS B DIRECTOR NOMINEE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41516E"/>
        </w:rPr>
        <w:t>Mr. Spillane has served on Boston Beer’s Board of Directors since 2016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1516E"/>
        </w:rPr>
        <w:t>and has been appointed President and Chief Executive Officer effective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April 1, 2024. He previously served as President of Consumer Creation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Nike, Inc. (NYSE: NKE), a publicly traded manufacturer and marketer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athletic footwear, apparel, and equipment from 2020 until September 2023.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Prior to that, Mr. Spillane held a variety of roles with Nike dating back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2007, including President of Categories and Product from May 2017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May 2020, President of Product and Merchandising from April 2016 to May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2017, Vice President and General Manager of Global Footwear from May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2015 to April 2016, and General Manager and Vice President, Greater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China from May 2013 to May 2015. From 2011 to 2013, he held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position of Chief Executive Officer at Umbro International, a Nike subsidiary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based  in  England.  From  2009  to  2011,  Mr.  Spillane  was  the  Chief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Executive Officer of Converse, a Nike subsidiary based in Massachusetts.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From 2007 to 2009, he held the position of President, North America,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Global Product at Nike. Prior to joining Nike, Mr. Spillane held senior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management roles at various apparel and textile companies, including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Malden Mills, Tommy Hilfiger USA, Jockey International, and Missbrenner,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Inc.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Other Public Company Directorships: </w:t>
      </w:r>
      <w:r>
        <w:rPr>
          <w:rFonts w:ascii="Arial" w:cs="Arial" w:eastAsia="Arial" w:hAnsi="Arial"/>
          <w:sz w:val="16"/>
          <w:szCs w:val="16"/>
          <w:color w:val="41516E"/>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Specific qualifications and experience of particular relevance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Boston Beer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41516E"/>
        </w:rPr>
        <w:t>Mr. Spillane has extensive experience in the marketing of consumer goods,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1516E"/>
        </w:rPr>
        <w:t>including digital marketing, social media, consumer insight, planning,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merchandising.  He  also  has  significant  senior  corporate  governance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experience at consumer goods companies, both public and private. He has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served on our Compensation Committee since May 2016, including as</w:t>
      </w:r>
    </w:p>
    <w:p>
      <w:pPr>
        <w:spacing w:after="0" w:line="5" w:lineRule="exact"/>
        <w:rPr>
          <w:sz w:val="20"/>
          <w:szCs w:val="20"/>
          <w:color w:val="auto"/>
        </w:rPr>
      </w:pPr>
    </w:p>
    <w:p>
      <w:pPr>
        <w:spacing w:after="0"/>
        <w:tabs>
          <w:tab w:leader="none" w:pos="520" w:val="left"/>
          <w:tab w:leader="none" w:pos="980" w:val="left"/>
          <w:tab w:leader="none" w:pos="1420" w:val="left"/>
          <w:tab w:leader="none" w:pos="1920" w:val="left"/>
          <w:tab w:leader="none" w:pos="2200" w:val="left"/>
          <w:tab w:leader="none" w:pos="2640" w:val="left"/>
          <w:tab w:leader="none" w:pos="3180" w:val="left"/>
          <w:tab w:leader="none" w:pos="3600" w:val="left"/>
          <w:tab w:leader="none" w:pos="3900" w:val="left"/>
          <w:tab w:leader="none" w:pos="4140" w:val="left"/>
          <w:tab w:leader="none" w:pos="4880" w:val="left"/>
          <w:tab w:leader="none" w:pos="5140" w:val="left"/>
        </w:tabs>
        <w:rPr>
          <w:sz w:val="20"/>
          <w:szCs w:val="20"/>
          <w:color w:val="auto"/>
        </w:rPr>
      </w:pPr>
      <w:r>
        <w:rPr>
          <w:rFonts w:ascii="Arial" w:cs="Arial" w:eastAsia="Arial" w:hAnsi="Arial"/>
          <w:sz w:val="16"/>
          <w:szCs w:val="16"/>
          <w:color w:val="41516E"/>
        </w:rPr>
        <w:t>Chair</w:t>
        <w:tab/>
        <w:t>from</w:t>
        <w:tab/>
        <w:t>May</w:t>
        <w:tab/>
        <w:t>2016</w:t>
        <w:tab/>
        <w:t>to</w:t>
        <w:tab/>
        <w:t>May</w:t>
        <w:tab/>
        <w:t>2023,</w:t>
        <w:tab/>
        <w:t>and</w:t>
        <w:tab/>
        <w:t>as</w:t>
        <w:tab/>
        <w:t>a</w:t>
        <w:tab/>
        <w:t>member</w:t>
        <w:tab/>
        <w:t>of</w:t>
        <w:tab/>
        <w:t>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1516E"/>
        </w:rPr>
        <w:t>Nominating/Governance Committee since May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121920</wp:posOffset>
            </wp:positionV>
            <wp:extent cx="8572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17</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Corporate </w:t>
      </w:r>
      <w:r>
        <w:rPr>
          <w:rFonts w:ascii="Arial" w:cs="Arial" w:eastAsia="Arial" w:hAnsi="Arial"/>
          <w:sz w:val="47"/>
          <w:szCs w:val="47"/>
          <w:b w:val="1"/>
          <w:bCs w:val="1"/>
          <w:color w:val="798297"/>
        </w:rPr>
        <w:t>Governance – Our Board of Directors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Board Governance</w:t>
      </w:r>
    </w:p>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We are committed to having effective corporate governance and the highest ethical standards, because we believe that these values support our long-term performance. Our Articles of Organization, By-Laws, Corporate Governance Guidelines, the charters of the Board’s committees, and our Code of Business Conduct and Ethics provide the framework of our corporate governance standards. These documents are available on the Governance Documents tab of the Investor Relations section of our website, investors.bostonbeer.com, and are also available in print by request. Requests should be directed to the attention of Investor Relations, The Boston Beer Company, Inc., One Design Center Place, Suite 850, Boston, Massachusetts 02210.</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Director Independence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As noted earlier, while, as of the mailing of this Proxy Statement, five of our current nine Directors are independent. Once Mr. Burwick steps down from the Board on March 31 and is succeeded as CEO by Mr. Spillane on April 1, only four of our eight Directors will be independent. If all of the Director nominees standing for reelection are reelected, the Board will remain one independent Director short of meeting the majority independence requirement until the ongoing Director search is completed and the Class B Director vacancy is filled.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41516E"/>
        </w:rPr>
        <w:t>Only independent Directors may serve as members of our Audit, Compensation, and Nominating/Governance Committees or as Lead Director.</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Board Leadership Structure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Since 2001, Boston Beer has separated the roles of CEO and Chairman. We believe that this strengthens the Company by allowing the CEO to focus on the day-to-day management of the business and the Chairman to focus on issues of product quality and innovation, overall brand strategy, and supply chain operations. The Chairman continues to be active on a daily basis in our business, but with more focus in critical areas of the business and outreach, including participation in industry trade associations. Both the Chairman and the CEO participate fully in deliberations of the Board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41516E"/>
        </w:rPr>
        <w:t>In May 2013, the non-employee members of the Board of Directors voted to establish the position of Lead Director and adopted a charter for the position.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1516E"/>
        </w:rPr>
        <w:t>The role of the Lead Director is to serve in a leadership capacity to coordinate the activities of the other Non-Employee Directors, including but not limited to:</w:t>
      </w:r>
    </w:p>
    <w:p>
      <w:pPr>
        <w:spacing w:after="0" w:line="5" w:lineRule="exact"/>
        <w:rPr>
          <w:sz w:val="20"/>
          <w:szCs w:val="20"/>
          <w:color w:val="auto"/>
        </w:rPr>
      </w:pPr>
    </w:p>
    <w:p>
      <w:pPr>
        <w:jc w:val="both"/>
        <w:ind w:firstLine="8"/>
        <w:spacing w:after="0" w:line="251" w:lineRule="auto"/>
        <w:tabs>
          <w:tab w:leader="none" w:pos="190" w:val="left"/>
        </w:tabs>
        <w:numPr>
          <w:ilvl w:val="0"/>
          <w:numId w:val="6"/>
        </w:numPr>
        <w:rPr>
          <w:rFonts w:ascii="Arial" w:cs="Arial" w:eastAsia="Arial" w:hAnsi="Arial"/>
          <w:sz w:val="16"/>
          <w:szCs w:val="16"/>
          <w:color w:val="41516E"/>
        </w:rPr>
      </w:pPr>
      <w:r>
        <w:rPr>
          <w:rFonts w:ascii="Arial" w:cs="Arial" w:eastAsia="Arial" w:hAnsi="Arial"/>
          <w:sz w:val="16"/>
          <w:szCs w:val="16"/>
          <w:color w:val="41516E"/>
        </w:rPr>
        <w:t>presiding at meetings of the Board in the absence of, or upon the request of, the Chairman; (ii) presiding over all executive sessions of the Board at Board meetings; (iii) reviewing Board agendas and recommending matters for the Board to consider; (iv) serving as a liaison between Directors and the Chairman and CEO without inhibiting direct communications among the Chairman, CEO, and other Directors; and (v) advising the Board concerning the retention of advisors and consultants who report directly to the Board. As noted earlier, Ms. Joyce has been appointed interim Lead Director to serve once Mr. Spillane’s tenure as President and CEO begins.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Executive Sessions of the Board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The Directors meet in executive sessions as part of each regularly scheduled Board meeting. A portion of each executive session includes the CEO, the Chairman, Mr. Calagione, and the Company’s Chief Legal Officer &amp; General Counsel, but not other members of management. Other portions of each executive session may include all Directors other than the CEO or only the independent Directors. The Lead Director leads these sessions and reports back to the Chairman and the CEO regarding these executive session discussions. Since 2021, the Chair of the Nominating/Governance Committee has joined the Lead Director in reporting back to the Chairman and the CEO. The independent Directors met formally in executive sessions four times during Fiscal Year 2023</w:t>
      </w:r>
      <w:r>
        <w:rPr>
          <w:rFonts w:ascii="Arial" w:cs="Arial" w:eastAsia="Arial" w:hAnsi="Arial"/>
          <w:sz w:val="17"/>
          <w:szCs w:val="17"/>
          <w:color w:val="41516E"/>
        </w:rPr>
        <w:t>.</w:t>
      </w:r>
    </w:p>
    <w:p>
      <w:pPr>
        <w:spacing w:after="0" w:line="127"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-76835</wp:posOffset>
            </wp:positionV>
            <wp:extent cx="12084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-76835</wp:posOffset>
            </wp:positionV>
            <wp:extent cx="14147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Board Risk Oversight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The Board as a whole has ultimate responsibility for risk oversight. It exercises this oversight function through its standing committees, each of which has primary risk oversight accountability with respect to all matters within the scope of its responsibilities, as set forth in its charter. As further described below under the headings “Audit Committee”, “Compensation Committee”, and “Nominating/Governance Committee”, the Audit Committee and management regularly discuss Boston Beer’s risk assessment and risk management programs and processes, the Compensation Committee reviews the risks associated with our compensation practices, and the Nominating/Governance Committee reviews risks associated with our governance practices.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Board Meetings and Attendance</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We believe that all members of the Board of Directors should attend and actively participate in meetings of the Board and of its committees. Directors are also strongly encouraged to attend the annual meetings of stockholders.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During Fiscal Year 2023, there were five regular meetings of the Board of Directors. Each Director attended at least 75% of the aggregate of the meetings of the Board of Directors and the meetings of the committees on which they served. All Directors attended the 2023 Annual Meeting of Stockholders.</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Communications with the Board</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 xml:space="preserve">Stockholders and other interested parties may communicate with the Board of Directors or any individual Director by submitting an email to the Company’s Board at </w:t>
      </w:r>
      <w:r>
        <w:rPr>
          <w:rFonts w:ascii="Arial" w:cs="Arial" w:eastAsia="Arial" w:hAnsi="Arial"/>
          <w:sz w:val="16"/>
          <w:szCs w:val="16"/>
          <w:u w:val="single" w:color="auto"/>
          <w:color w:val="41516E"/>
        </w:rPr>
        <w:t>bod@bostonbeer.com</w:t>
      </w:r>
      <w:r>
        <w:rPr>
          <w:rFonts w:ascii="Arial" w:cs="Arial" w:eastAsia="Arial" w:hAnsi="Arial"/>
          <w:sz w:val="16"/>
          <w:szCs w:val="16"/>
          <w:color w:val="41516E"/>
        </w:rPr>
        <w:t>. Communications that are intended specifically for the independent Directors should be sent to the email address above to the attention of the Lead Director.</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Board Committees</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Committee Structure</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41516E"/>
        </w:rPr>
        <w:t>There are three standing committees of the Board of Directors: the Audit Committee, the Compensation Committee, and the Nominating/ Governance Committee. The membership of these committees is limited to independent Directors. Membership of the committees as of the mailing of this Proxy Statement is outlined in the below chart</w:t>
      </w:r>
      <w:r>
        <w:rPr>
          <w:rFonts w:ascii="Arial" w:cs="Arial" w:eastAsia="Arial" w:hAnsi="Arial"/>
          <w:sz w:val="17"/>
          <w:szCs w:val="17"/>
          <w:color w:val="41516E"/>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Director</w:t>
            </w:r>
          </w:p>
        </w:tc>
        <w:tc>
          <w:tcPr>
            <w:tcW w:w="3800" w:type="dxa"/>
            <w:vAlign w:val="bottom"/>
            <w:tcBorders>
              <w:bottom w:val="single" w:sz="8" w:color="41516E"/>
            </w:tcBorders>
          </w:tcPr>
          <w:p>
            <w:pPr>
              <w:ind w:left="3080"/>
              <w:spacing w:after="0"/>
              <w:rPr>
                <w:sz w:val="20"/>
                <w:szCs w:val="20"/>
                <w:color w:val="auto"/>
              </w:rPr>
            </w:pPr>
            <w:r>
              <w:rPr>
                <w:rFonts w:ascii="Arial" w:cs="Arial" w:eastAsia="Arial" w:hAnsi="Arial"/>
                <w:sz w:val="16"/>
                <w:szCs w:val="16"/>
                <w:b w:val="1"/>
                <w:bCs w:val="1"/>
                <w:color w:val="41516E"/>
              </w:rPr>
              <w:t>Audit</w:t>
            </w:r>
          </w:p>
        </w:tc>
        <w:tc>
          <w:tcPr>
            <w:tcW w:w="1680" w:type="dxa"/>
            <w:vAlign w:val="bottom"/>
            <w:tcBorders>
              <w:bottom w:val="single" w:sz="8" w:color="41516E"/>
            </w:tcBorders>
          </w:tcPr>
          <w:p>
            <w:pPr>
              <w:jc w:val="center"/>
              <w:ind w:left="19"/>
              <w:spacing w:after="0"/>
              <w:rPr>
                <w:sz w:val="20"/>
                <w:szCs w:val="20"/>
                <w:color w:val="auto"/>
              </w:rPr>
            </w:pPr>
            <w:r>
              <w:rPr>
                <w:rFonts w:ascii="Arial" w:cs="Arial" w:eastAsia="Arial" w:hAnsi="Arial"/>
                <w:sz w:val="16"/>
                <w:szCs w:val="16"/>
                <w:b w:val="1"/>
                <w:bCs w:val="1"/>
                <w:color w:val="41516E"/>
              </w:rPr>
              <w:t>Compensation</w:t>
            </w:r>
          </w:p>
        </w:tc>
        <w:tc>
          <w:tcPr>
            <w:tcW w:w="1100" w:type="dxa"/>
            <w:vAlign w:val="bottom"/>
            <w:tcBorders>
              <w:bottom w:val="single" w:sz="8" w:color="41516E"/>
            </w:tcBorders>
          </w:tcPr>
          <w:p>
            <w:pPr>
              <w:jc w:val="center"/>
              <w:ind w:left="19"/>
              <w:spacing w:after="0"/>
              <w:rPr>
                <w:sz w:val="20"/>
                <w:szCs w:val="20"/>
                <w:color w:val="auto"/>
              </w:rPr>
            </w:pPr>
            <w:r>
              <w:rPr>
                <w:rFonts w:ascii="Arial" w:cs="Arial" w:eastAsia="Arial" w:hAnsi="Arial"/>
                <w:sz w:val="16"/>
                <w:szCs w:val="16"/>
                <w:b w:val="1"/>
                <w:bCs w:val="1"/>
                <w:color w:val="41516E"/>
              </w:rPr>
              <w:t>Nom/Gov</w:t>
            </w:r>
          </w:p>
        </w:tc>
      </w:tr>
      <w:tr>
        <w:trPr>
          <w:trHeight w:val="196"/>
        </w:trPr>
        <w:tc>
          <w:tcPr>
            <w:tcW w:w="4660" w:type="dxa"/>
            <w:vAlign w:val="bottom"/>
          </w:tcPr>
          <w:p>
            <w:pPr>
              <w:ind w:left="60"/>
              <w:spacing w:after="0"/>
              <w:rPr>
                <w:sz w:val="20"/>
                <w:szCs w:val="20"/>
                <w:color w:val="auto"/>
              </w:rPr>
            </w:pPr>
            <w:r>
              <w:rPr>
                <w:rFonts w:ascii="Arial" w:cs="Arial" w:eastAsia="Arial" w:hAnsi="Arial"/>
                <w:sz w:val="16"/>
                <w:szCs w:val="16"/>
                <w:b w:val="1"/>
                <w:bCs w:val="1"/>
                <w:color w:val="41516E"/>
              </w:rPr>
              <w:t>Meghan V. Joyce</w:t>
            </w:r>
          </w:p>
        </w:tc>
        <w:tc>
          <w:tcPr>
            <w:tcW w:w="3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jc w:val="center"/>
              <w:ind w:left="19"/>
              <w:spacing w:after="0"/>
              <w:rPr>
                <w:sz w:val="20"/>
                <w:szCs w:val="20"/>
                <w:color w:val="auto"/>
              </w:rPr>
            </w:pPr>
            <w:r>
              <w:rPr>
                <w:rFonts w:ascii="Arial" w:cs="Arial" w:eastAsia="Arial" w:hAnsi="Arial"/>
                <w:sz w:val="16"/>
                <w:szCs w:val="16"/>
                <w:b w:val="1"/>
                <w:bCs w:val="1"/>
                <w:color w:val="41516E"/>
                <w:w w:val="97"/>
              </w:rPr>
              <w:t>Chair</w:t>
            </w:r>
          </w:p>
        </w:tc>
      </w:tr>
      <w:tr>
        <w:trPr>
          <w:trHeight w:val="203"/>
        </w:trPr>
        <w:tc>
          <w:tcPr>
            <w:tcW w:w="4660" w:type="dxa"/>
            <w:vAlign w:val="bottom"/>
            <w:shd w:val="clear" w:color="auto" w:fill="EFF0F1"/>
          </w:tcPr>
          <w:p>
            <w:pPr>
              <w:ind w:left="60"/>
              <w:spacing w:after="0"/>
              <w:rPr>
                <w:sz w:val="20"/>
                <w:szCs w:val="20"/>
                <w:color w:val="auto"/>
              </w:rPr>
            </w:pPr>
            <w:r>
              <w:rPr>
                <w:rFonts w:ascii="Arial" w:cs="Arial" w:eastAsia="Arial" w:hAnsi="Arial"/>
                <w:sz w:val="16"/>
                <w:szCs w:val="16"/>
                <w:b w:val="1"/>
                <w:bCs w:val="1"/>
                <w:color w:val="41516E"/>
              </w:rPr>
              <w:t>Julio N. Nemeth</w:t>
            </w:r>
          </w:p>
        </w:tc>
        <w:tc>
          <w:tcPr>
            <w:tcW w:w="3800" w:type="dxa"/>
            <w:vAlign w:val="bottom"/>
            <w:shd w:val="clear" w:color="auto" w:fill="EFF0F1"/>
          </w:tcPr>
          <w:p>
            <w:pPr>
              <w:spacing w:after="0"/>
              <w:rPr>
                <w:sz w:val="17"/>
                <w:szCs w:val="17"/>
                <w:color w:val="auto"/>
              </w:rPr>
            </w:pPr>
          </w:p>
        </w:tc>
        <w:tc>
          <w:tcPr>
            <w:tcW w:w="1680" w:type="dxa"/>
            <w:vAlign w:val="bottom"/>
            <w:shd w:val="clear" w:color="auto" w:fill="EFF0F1"/>
          </w:tcPr>
          <w:p>
            <w:pPr>
              <w:jc w:val="center"/>
              <w:ind w:left="19"/>
              <w:spacing w:after="0"/>
              <w:rPr>
                <w:sz w:val="20"/>
                <w:szCs w:val="20"/>
                <w:color w:val="auto"/>
              </w:rPr>
            </w:pPr>
            <w:r>
              <w:rPr>
                <w:rFonts w:ascii="Arial" w:cs="Arial" w:eastAsia="Arial" w:hAnsi="Arial"/>
                <w:sz w:val="16"/>
                <w:szCs w:val="16"/>
                <w:b w:val="1"/>
                <w:bCs w:val="1"/>
                <w:color w:val="41516E"/>
              </w:rPr>
              <w:t>Chair</w:t>
            </w:r>
          </w:p>
        </w:tc>
        <w:tc>
          <w:tcPr>
            <w:tcW w:w="1100" w:type="dxa"/>
            <w:vAlign w:val="bottom"/>
            <w:shd w:val="clear" w:color="auto" w:fill="EFF0F1"/>
          </w:tcPr>
          <w:p>
            <w:pPr>
              <w:spacing w:after="0"/>
              <w:rPr>
                <w:sz w:val="17"/>
                <w:szCs w:val="17"/>
                <w:color w:val="auto"/>
              </w:rPr>
            </w:pPr>
          </w:p>
        </w:tc>
      </w:tr>
      <w:tr>
        <w:trPr>
          <w:trHeight w:val="203"/>
        </w:trPr>
        <w:tc>
          <w:tcPr>
            <w:tcW w:w="4660" w:type="dxa"/>
            <w:vAlign w:val="bottom"/>
          </w:tcPr>
          <w:p>
            <w:pPr>
              <w:ind w:left="60"/>
              <w:spacing w:after="0"/>
              <w:rPr>
                <w:sz w:val="20"/>
                <w:szCs w:val="20"/>
                <w:color w:val="auto"/>
              </w:rPr>
            </w:pPr>
            <w:r>
              <w:rPr>
                <w:rFonts w:ascii="Arial" w:cs="Arial" w:eastAsia="Arial" w:hAnsi="Arial"/>
                <w:sz w:val="16"/>
                <w:szCs w:val="16"/>
                <w:b w:val="1"/>
                <w:bCs w:val="1"/>
                <w:color w:val="41516E"/>
              </w:rPr>
              <w:t>Michael Spillane</w:t>
            </w:r>
          </w:p>
        </w:tc>
        <w:tc>
          <w:tcPr>
            <w:tcW w:w="3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660" w:type="dxa"/>
            <w:vAlign w:val="bottom"/>
            <w:shd w:val="clear" w:color="auto" w:fill="EFF0F1"/>
          </w:tcPr>
          <w:p>
            <w:pPr>
              <w:ind w:left="60"/>
              <w:spacing w:after="0"/>
              <w:rPr>
                <w:sz w:val="20"/>
                <w:szCs w:val="20"/>
                <w:color w:val="auto"/>
              </w:rPr>
            </w:pPr>
            <w:r>
              <w:rPr>
                <w:rFonts w:ascii="Arial" w:cs="Arial" w:eastAsia="Arial" w:hAnsi="Arial"/>
                <w:sz w:val="16"/>
                <w:szCs w:val="16"/>
                <w:b w:val="1"/>
                <w:bCs w:val="1"/>
                <w:color w:val="41516E"/>
              </w:rPr>
              <w:t>Cynthia L. Swanson</w:t>
            </w:r>
          </w:p>
        </w:tc>
        <w:tc>
          <w:tcPr>
            <w:tcW w:w="3800" w:type="dxa"/>
            <w:vAlign w:val="bottom"/>
            <w:shd w:val="clear" w:color="auto" w:fill="EFF0F1"/>
          </w:tcPr>
          <w:p>
            <w:pPr>
              <w:spacing w:after="0"/>
              <w:rPr>
                <w:sz w:val="17"/>
                <w:szCs w:val="17"/>
                <w:color w:val="auto"/>
              </w:rPr>
            </w:pPr>
          </w:p>
        </w:tc>
        <w:tc>
          <w:tcPr>
            <w:tcW w:w="1680" w:type="dxa"/>
            <w:vAlign w:val="bottom"/>
            <w:shd w:val="clear" w:color="auto" w:fill="EFF0F1"/>
          </w:tcPr>
          <w:p>
            <w:pPr>
              <w:spacing w:after="0"/>
              <w:rPr>
                <w:sz w:val="17"/>
                <w:szCs w:val="17"/>
                <w:color w:val="auto"/>
              </w:rPr>
            </w:pPr>
          </w:p>
        </w:tc>
        <w:tc>
          <w:tcPr>
            <w:tcW w:w="1100" w:type="dxa"/>
            <w:vAlign w:val="bottom"/>
            <w:shd w:val="clear" w:color="auto" w:fill="EFF0F1"/>
          </w:tcPr>
          <w:p>
            <w:pPr>
              <w:spacing w:after="0"/>
              <w:rPr>
                <w:sz w:val="17"/>
                <w:szCs w:val="17"/>
                <w:color w:val="auto"/>
              </w:rPr>
            </w:pPr>
          </w:p>
        </w:tc>
      </w:tr>
      <w:tr>
        <w:trPr>
          <w:trHeight w:val="203"/>
        </w:trPr>
        <w:tc>
          <w:tcPr>
            <w:tcW w:w="466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Jean-Michel Valette</w:t>
            </w:r>
          </w:p>
        </w:tc>
        <w:tc>
          <w:tcPr>
            <w:tcW w:w="3800" w:type="dxa"/>
            <w:vAlign w:val="bottom"/>
            <w:tcBorders>
              <w:bottom w:val="single" w:sz="8" w:color="41516E"/>
            </w:tcBorders>
          </w:tcPr>
          <w:p>
            <w:pPr>
              <w:ind w:left="3080"/>
              <w:spacing w:after="0"/>
              <w:rPr>
                <w:sz w:val="20"/>
                <w:szCs w:val="20"/>
                <w:color w:val="auto"/>
              </w:rPr>
            </w:pPr>
            <w:r>
              <w:rPr>
                <w:rFonts w:ascii="Arial" w:cs="Arial" w:eastAsia="Arial" w:hAnsi="Arial"/>
                <w:sz w:val="16"/>
                <w:szCs w:val="16"/>
                <w:b w:val="1"/>
                <w:bCs w:val="1"/>
                <w:color w:val="41516E"/>
              </w:rPr>
              <w:t>Chair</w:t>
            </w:r>
          </w:p>
        </w:tc>
        <w:tc>
          <w:tcPr>
            <w:tcW w:w="1680" w:type="dxa"/>
            <w:vAlign w:val="bottom"/>
            <w:tcBorders>
              <w:bottom w:val="single" w:sz="8" w:color="41516E"/>
            </w:tcBorders>
          </w:tcPr>
          <w:p>
            <w:pPr>
              <w:spacing w:after="0"/>
              <w:rPr>
                <w:sz w:val="17"/>
                <w:szCs w:val="17"/>
                <w:color w:val="auto"/>
              </w:rPr>
            </w:pPr>
          </w:p>
        </w:tc>
        <w:tc>
          <w:tcPr>
            <w:tcW w:w="1100" w:type="dxa"/>
            <w:vAlign w:val="bottom"/>
            <w:tcBorders>
              <w:bottom w:val="single" w:sz="8" w:color="41516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-641985</wp:posOffset>
            </wp:positionV>
            <wp:extent cx="85725"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-513715</wp:posOffset>
            </wp:positionV>
            <wp:extent cx="85725"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-384810</wp:posOffset>
            </wp:positionV>
            <wp:extent cx="85725"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-384810</wp:posOffset>
            </wp:positionV>
            <wp:extent cx="85725"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-256540</wp:posOffset>
            </wp:positionV>
            <wp:extent cx="85725"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-256540</wp:posOffset>
            </wp:positionV>
            <wp:extent cx="85725"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-127635</wp:posOffset>
            </wp:positionV>
            <wp:extent cx="85725"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02870"/>
                    </a:xfrm>
                    <a:prstGeom prst="rect">
                      <a:avLst/>
                    </a:prstGeom>
                    <a:noFill/>
                  </pic:spPr>
                </pic:pic>
              </a:graphicData>
            </a:graphic>
          </wp:anchor>
        </w:drawing>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As noted above, in connection with Mr. Spillane’s appointment as CEO, he will no longer be independent as of April 1, 2024 and will accordingly step down from his committees at that time. Effective as of that date, Mr. Valette has been appointed as a member of the Compensation Committee. Committee assignments to take effect immediately following the 2024 Annual Meeting of Stockholders will be determined by the Nominating/Governance Committee at that time. Mr. Burwick, Mr. Calagione, Ms. Fisher, and Mr. Koch are not independent Directors and therefore are not eligible to serve on any of the Board’s committees.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Each of the committees operates under a written charter adopted by the Board, reviews its charter annually, and makes recommendations for revisions to the Board as appropriate. Additionally, each year the Nominating/Governance Committee formally reviews its performance as well as the adequacy of our Corporate Governance Guidelines, recommending any necessary changes to the full Board for approval. The Nominating/ Governance Committee also oversees the annual self-evaluation process for the full Board and each of the standing committees. Copies of the Corporate Governance Guidelines and respective charters, as amended and currently in effect, are available on the Governance Documents tab of the Investor Relations section of our website, investors.bostonbeer.com. The function of each committee is described below</w:t>
      </w:r>
      <w:r>
        <w:rPr>
          <w:rFonts w:ascii="Arial" w:cs="Arial" w:eastAsia="Arial" w:hAnsi="Arial"/>
          <w:sz w:val="17"/>
          <w:szCs w:val="17"/>
          <w:color w:val="41516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102235</wp:posOffset>
            </wp:positionV>
            <wp:extent cx="8572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19</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Audit Committee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41516E"/>
        </w:rPr>
        <w:t>In accordance with its charter, the Audit Committee assists the Board in fulfilling its responsibility to oversee management’s conduct of Boston Beer’s financial reporting process, including overseeing the financial reports and other financial information provided by the Company’s internal accounting and financial control systems and the annual independent audit of the Company’s financial statements. The Audit Committee also appoints, evaluates, and determines the compensation of the Company’s independent registered public accounting firm; reviews and approves the scope of the annual audits of the Company’s financial statements and its internal controls over financial reporting; pre-approves all other audit and non-audit services provided to the Company by the independent auditors; reviews the Company’s disclosure controls and procedures; and reviews other enterprise risks that may have a significant impact on the Company. Each year, the Audit Committee issues an annual report for inclusion in the Proxy Statement in cooperation with the Corporate Secretary.</w:t>
      </w: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The Audit Committee oversees the Company’s approach to operational, governance, and other risks that could adversely affect Boston Beer’s business such as business continuity and cybersecurity. To fulfill these oversight responsibilities, at each of its regular meetings, the Audit Committee reviews and discusses potential material risks to the Company with Boston Beer’s Director of Risk Management &amp; Internal Audit and with representatives of the Company’s independent registered public accounting firm. During those meetings, the Audit Committee also asks for and receives regular updates on steps taken to address those risks. Areas of focus in 2023 included consumer and coworker engagement, labor, litigation, initiative prioritization, cybersecurity, and business continuity. The Audit Committee endeavors to report any risks that it believes could have a material adverse impact on the Company to the full Board.</w:t>
      </w:r>
    </w:p>
    <w:p>
      <w:pPr>
        <w:spacing w:after="0" w:line="3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The Audit Committee also reviews and approves Rule 10b5-1 Plans related to the Company’s repurchase of its shares of Class A Common Stock (“Class A Shares”). In the event that an Audit Committee member has an individual Rule 10b5-1 Plan in place or the intent to sell Boston Beer stock during a corresponding time period, that member recuses themselves from discussions regarding the pricing parameters under the proposed Company 10b5-1 Plan.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The Board has determined that all three current members of the Audit Committee - Ms. Joyce, Ms. Swanson, and Mr. Valette - are “audit committee financial experts” as defined under SEC rules. The Audit Committee had four regular meetings in 2023. The Chairman, CEO, CFO, Chief Accounting Officer, and Chief Legal Officer &amp; General Counsel attended each of the meetings but recused themselves when the Audit Committee met in executive sessions with the Director of Risk Management &amp; Internal Audit or with representatives of the Company’s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41516E"/>
        </w:rPr>
        <w:t>The Audit Committee Report is included in the Audit Information section of this Proxy Statement.</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Compensation Committee</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The Compensation Committee’s responsibility is to carry out the Board’s oversight of the compensation of our Directors and Executive Officers by evaluating and approving the Company’s compensation programs and policies for those positions. The Compensation Committee provides general oversight of our compensation structure, including the Company’s equity compensation plans; reviews and makes recommendations to the Board concerning policies or guidelines with respect to compensatory arrangements involving Directors and Executive Officers and their respective participation in the Company’s equity plans; reviews and approves Company goals and objectives relevant to the compensation of the Chairman, CEO, and other Executive Officers; evaluates performance against those goals; approves cash bonuses and sets salaries for the Chairman, CEO, and other Executive Officers; and determines the total compensation level and mix for the Chairman, CEO, and other Executive Officers.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In cooperation with our independent Directors, members of the Compensation Committee perform regular evaluations of the performance of the Chairman and the CEO, including obtaining feedback from other Executive Officers and a select group of senior managers.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The Compensation Committee also considers areas of risk that may arise from Boston Beer’s compensation practices, not only relating to Executive Officer compensation, but with respect to the Company’s overall compensation practices. In carrying out its responsibilities, the Compensation Committee reports to the full Board on a regular basis. In cooperation with the Corporate Secretary, the Compensation Committee also issues an annual report and approves the CD&amp;A for inclusion in the Company’s proxy statement.</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During Fiscal Year 2023, there were three regular meetings of the Compensation Committee. In addition to the Committee members, the Chairman, CEO, Chief People Officer, Chief Legal Officer &amp; General Counsel, and Director of Total Rewards attended each of these meetings.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In recent years, the Compensation Committee has retained FW Cook, a nationally recognized executive compensation consulting firm, to provide competitive compensation information and analysis for our Executive Officers as compared to other similarly sized companies. As part of this retention, FW Cook shares benchmarking data regarding executive officer compensation.</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41516E"/>
        </w:rPr>
        <w:t>The Compensation Committee is also responsible for providing guidance to the full Board of Directors and management on topics such as people and culture, development and training, succession planning, coworker engagement, and diversity, equity, and inclusion</w:t>
      </w:r>
      <w:r>
        <w:rPr>
          <w:rFonts w:ascii="Arial" w:cs="Arial" w:eastAsia="Arial" w:hAnsi="Arial"/>
          <w:sz w:val="17"/>
          <w:szCs w:val="17"/>
          <w:color w:val="41516E"/>
        </w:rPr>
        <w:t>.</w:t>
      </w:r>
    </w:p>
    <w:p>
      <w:pPr>
        <w:spacing w:after="0" w:line="97"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8034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80340"/>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Nominating/Governance Committee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The Nominating/Governance Committee assists the Board by recommending nominees for election as Directors and nominees for each Board committee, evaluating the Board’s leadership structure, developing and recommending to the Board a set of corporate governance principles, overseeing an annual evaluation of the Board, overseeing the Company’s ongoing education program for Directors, and planning for Board succession.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The Committee, acting independently, but also in concert with Mr. Koch, who holds the voting rights to all shares of Class B Common Stock (“Class B Shares”), which entitle him to elect a majority of Board members under our By-Laws, regularly assesses the size and composition of the Board, including the experience, qualifications, attributes, and skills represented by current Board members and those that could enhance the overall breadth and strength of the Board. In order to help ensure the adequacy of our corporate governance policies, the Committee also reviews Director independence and any potential conflicts of interest; examines and discusses the analyses of Boston Beer’s corporate governance standards by proxy advisory firms; considers votes cast by stockholders; reviews communications with stockholders; and makes recommendations to management and/or the Board for governance improvements.</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The Committee is also responsible for providing guidance to management on the Company’s social responsibility and environmental sustainability efforts, and helping to ensure that the full Board is made aware of and is properly addressing the environmental, social, and governance (“ESG”) issues that should influence the Company’s implementation of its ESG strategy.</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During Fiscal Year 2023, there were four regular meetings of the Nominating/Governance Committee. In addition to the Committee members, the Chairman, CEO, Chief Legal Officer &amp; General Counsel, and Corporate Secretary attended each of these meetings.</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Consideration of Nominees for Director</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The Nominating/Governance Committee regularly reviews the characteristics of the then-current Board and seeks to identify any perceived weakness or imbalance. In doing so, the Committee takes into consideration the results of skills gap analyses and the annual self-assessments performed by the Board and each of the standing committees and seeks input from all Directors on opportunities to strengthen the Board. The Committee then identifies the qualifications that a nominee for election as a Director should bring to the Board, including the diverse skill-sets, perspectives, and experiences that its members believe should be reflected on the Board as a whole. The Nominating/Governance Committee also confers with Mr. Koch as the holder of all voting rights to the Class B Shares.</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Candidates may come to the attention of the Nominating/Governance Committee through a number of sources, including current Board members, professional search firms, stockholders, or other persons. Candidates are evaluated by the Nominating/Governance Committee and may be considered at any point during the year.</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The Nominating/Governance Committee has discussed the topic of term limits and concluded that establishing formal term limits for Directors is not in the best interests of the Company at this time. The Committee has recently noted that half of the current Directors have served for five or fewer years, reflecting a healthy level of turnover. The Committee believes that any additional benefit of bringing “fresh eyes” to the Board would create a potential disadvantage of losing valuable contributions by Directors who have developed expansive knowledge of the Company and its operations, which the Committee believes has historically resulted in a higher level of overall Board effectiveness. The Nominating/Governance Committee uses the Board’s annual self-evaluation process to ensure that the Board is properly serving the Company.</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41516E"/>
        </w:rPr>
        <w:t>The Nominating/Governance Committee considers diversity to be a critical factor in selecting Director nominees and remains committed to providing equal opportunities for all Directors, nominees, and qualified candidates regardless of race, color, religion, creed, gender, gender identity, sexual orientation, marital status, national origin, ancestry, age, disability, pregnancy, military service status or any other characteristic protected by state or federal law or local ordinance. The Nominating/Governance Committee views diversity broadly, taking gender, ethnicity, experience, skills, judgment, differences of viewpoint, location, education, and professional and industry experience into account, all in the context of the perceived needs of the Board at the relevant time. The Board believes that a diversity of perspectives results in more thoughtful deliberations. Additionally, the Board believes that it is important that the composition of the Board, the Company’s Executive Leadership Team (“ELT”), and the Company’s coworker base represent the diversity of the Company’s current and potential consumer base in the areas where we market and sell our products.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41516E"/>
        </w:rPr>
        <w:t>Since April 2018, the Nominating/Governance Committee has identified and recommended nominees to fill five Director vacancies. During that time, the Company and the Committee have urged our professional search firm to focus on bringing forth a diverse set of candidates to fill those vacancies. As of the mailing of this Proxy Statement, three of the nine members of the Board of Directors are female, and one of nine members self-identify as part of an underrepresented minority group</w:t>
      </w:r>
      <w:r>
        <w:rPr>
          <w:rFonts w:ascii="Arial" w:cs="Arial" w:eastAsia="Arial" w:hAnsi="Arial"/>
          <w:sz w:val="17"/>
          <w:szCs w:val="17"/>
          <w:color w:val="41516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99695</wp:posOffset>
            </wp:positionV>
            <wp:extent cx="8572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21</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Stockholder Nominees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The policy of the Nominating/Governance Committee is to consider properly submitted stockholder nominations for candidates for membership on the Board, as described in the above section. The same process is used for evaluating a director candidate submitted by a stockholder as is used in the case of any other potential nominee. Any stockholder nominations proposed for consideration by the Nominating/Governance Committee should include the nominee’s name and qualifications for Board membership and should be addressed to:</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6"/>
          <w:szCs w:val="16"/>
          <w:color w:val="41516E"/>
        </w:rPr>
        <w:t>Chair, Nominating/Governance Committee</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41516E"/>
        </w:rPr>
        <w:t>c/o Corporate Secretary</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41516E"/>
        </w:rPr>
        <w:t>The Boston Beer Company, Inc.</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41516E"/>
        </w:rPr>
        <w:t>One Design Center Place, Suite 850</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41516E"/>
        </w:rPr>
        <w:t>Boston, Massachusetts 02210</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If Boston Beer receives a communication from a stockholder nominating a candidate that is not submitted as described above, it will forward such communication to the Chair of the Nominating/Governance Committee.</w:t>
      </w:r>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Stockholder Engagement</w:t>
      </w:r>
    </w:p>
    <w:p>
      <w:pPr>
        <w:spacing w:after="0" w:line="3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We believe it is crucial to engage actively with and receive feedback from our non-affiliated stockholders, particularly as it relates to matters of corporate governance, executive compensation, social responsibility, and other topics of importance to them. In recent years, we have reached out to our top stockholders to attempt to receive this type of feedback.</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Since May 2018, we have reached out to our top institutional stockholders in April and October each year. Following that outreach, we hold in-person, telephonic, or video meetings with representatives from these stockholders. On the Boston Beer side, we generally make available for such meetings a Director, an Executive Officer, our Corporate Secretary, and a relevant subject matter expert on the topic of ESG. Topics of discussion range broadly, but often largely focus on executive compensation and ESG issues. Material non-public information such as undisclosed company performance is not discussed. Summaries of these discussions are shared with our Nominating/Governance Committee and the full Board of Directors.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In May 2023, the Company continued its stockholder outreach, reaching out to our top fifteen institutional stockholders, who then held approximately 61.7% of the Company’s outstanding Class A Shares. In October 2023, we again reached out to our top fifteen institutional stockholders, who then held approximately 55.8% of the Company’s outstanding Class A Shares. Over the course of 2023, we held virtual meetings with and received written feedback from several of these institutions, covering topics such as executive compensation, governance, diversity, human capital, and ESG. The results were reported to the Nominating/ Governance Committee and the full Board. Feedback topics and discussion points included:</w:t>
      </w:r>
    </w:p>
    <w:p>
      <w:pPr>
        <w:spacing w:after="0" w:line="153" w:lineRule="exact"/>
        <w:rPr>
          <w:sz w:val="20"/>
          <w:szCs w:val="20"/>
          <w:color w:val="auto"/>
        </w:rPr>
      </w:pPr>
    </w:p>
    <w:p>
      <w:pPr>
        <w:jc w:val="both"/>
        <w:ind w:left="180" w:hanging="172"/>
        <w:spacing w:after="0" w:line="259" w:lineRule="auto"/>
        <w:tabs>
          <w:tab w:leader="none" w:pos="180" w:val="left"/>
        </w:tabs>
        <w:numPr>
          <w:ilvl w:val="0"/>
          <w:numId w:val="7"/>
        </w:numPr>
        <w:rPr>
          <w:rFonts w:ascii="Arial" w:cs="Arial" w:eastAsia="Arial" w:hAnsi="Arial"/>
          <w:sz w:val="16"/>
          <w:szCs w:val="16"/>
          <w:color w:val="41516E"/>
        </w:rPr>
      </w:pPr>
      <w:r>
        <w:rPr>
          <w:rFonts w:ascii="Arial" w:cs="Arial" w:eastAsia="Arial" w:hAnsi="Arial"/>
          <w:sz w:val="16"/>
          <w:szCs w:val="16"/>
          <w:b w:val="1"/>
          <w:bCs w:val="1"/>
          <w:color w:val="41516E"/>
        </w:rPr>
        <w:t xml:space="preserve">Class Stock Structure. </w:t>
      </w:r>
      <w:r>
        <w:rPr>
          <w:rFonts w:ascii="Arial" w:cs="Arial" w:eastAsia="Arial" w:hAnsi="Arial"/>
          <w:sz w:val="16"/>
          <w:szCs w:val="16"/>
          <w:color w:val="41516E"/>
        </w:rPr>
        <w:t>Multiple firms inquired about the Company’s dual-class stock structure, and whether there is any intention of sunsetting that</w:t>
      </w:r>
      <w:r>
        <w:rPr>
          <w:rFonts w:ascii="Arial" w:cs="Arial" w:eastAsia="Arial" w:hAnsi="Arial"/>
          <w:sz w:val="16"/>
          <w:szCs w:val="16"/>
          <w:b w:val="1"/>
          <w:bCs w:val="1"/>
          <w:color w:val="41516E"/>
        </w:rPr>
        <w:t xml:space="preserve"> </w:t>
      </w:r>
      <w:r>
        <w:rPr>
          <w:rFonts w:ascii="Arial" w:cs="Arial" w:eastAsia="Arial" w:hAnsi="Arial"/>
          <w:sz w:val="16"/>
          <w:szCs w:val="16"/>
          <w:color w:val="41516E"/>
        </w:rPr>
        <w:t>structure over time. We listened to the shareholders’ concerns on this topic, relayed them back to the full Board, and had robust conversations on the matter. While we understand the rationale behind certain shareholders’ positions on the topic, there are no current plans to sunset the Company’s current stock structure.</w:t>
      </w:r>
    </w:p>
    <w:p>
      <w:pPr>
        <w:spacing w:after="0" w:line="42" w:lineRule="exact"/>
        <w:rPr>
          <w:rFonts w:ascii="Arial" w:cs="Arial" w:eastAsia="Arial" w:hAnsi="Arial"/>
          <w:sz w:val="16"/>
          <w:szCs w:val="16"/>
          <w:color w:val="41516E"/>
        </w:rPr>
      </w:pPr>
    </w:p>
    <w:p>
      <w:pPr>
        <w:jc w:val="both"/>
        <w:ind w:left="180" w:hanging="172"/>
        <w:spacing w:after="0" w:line="253" w:lineRule="auto"/>
        <w:tabs>
          <w:tab w:leader="none" w:pos="180" w:val="left"/>
        </w:tabs>
        <w:numPr>
          <w:ilvl w:val="0"/>
          <w:numId w:val="7"/>
        </w:numPr>
        <w:rPr>
          <w:rFonts w:ascii="Arial" w:cs="Arial" w:eastAsia="Arial" w:hAnsi="Arial"/>
          <w:sz w:val="16"/>
          <w:szCs w:val="16"/>
          <w:color w:val="41516E"/>
        </w:rPr>
      </w:pPr>
      <w:r>
        <w:rPr>
          <w:rFonts w:ascii="Arial" w:cs="Arial" w:eastAsia="Arial" w:hAnsi="Arial"/>
          <w:sz w:val="16"/>
          <w:szCs w:val="16"/>
          <w:b w:val="1"/>
          <w:bCs w:val="1"/>
          <w:color w:val="41516E"/>
        </w:rPr>
        <w:t xml:space="preserve">ESG. </w:t>
      </w:r>
      <w:r>
        <w:rPr>
          <w:rFonts w:ascii="Arial" w:cs="Arial" w:eastAsia="Arial" w:hAnsi="Arial"/>
          <w:sz w:val="16"/>
          <w:szCs w:val="16"/>
          <w:color w:val="41516E"/>
        </w:rPr>
        <w:t>While nearly all stockholders we spoke with in the 2020 to 2022 timeframe indicated that they were pleased with the progress we made with respect</w:t>
      </w:r>
      <w:r>
        <w:rPr>
          <w:rFonts w:ascii="Arial" w:cs="Arial" w:eastAsia="Arial" w:hAnsi="Arial"/>
          <w:sz w:val="16"/>
          <w:szCs w:val="16"/>
          <w:b w:val="1"/>
          <w:bCs w:val="1"/>
          <w:color w:val="41516E"/>
        </w:rPr>
        <w:t xml:space="preserve"> </w:t>
      </w:r>
      <w:r>
        <w:rPr>
          <w:rFonts w:ascii="Arial" w:cs="Arial" w:eastAsia="Arial" w:hAnsi="Arial"/>
          <w:sz w:val="16"/>
          <w:szCs w:val="16"/>
          <w:color w:val="41516E"/>
        </w:rPr>
        <w:t>to ESG disclosures in our proxy statements, they also indicated a strong preference for standalone ESG reporting. Partially in response to the feedback we received as part of this outreach program, we published our inaugural ESG report in November 2022. Our second annual ESG Report was then published in August 2023. Following the publication of these reports, we have been able to have more robust conversations with our institutional investors on the topic of ESG. Some specific environmental sustainability topics that are regularly discussed in these conversations include water stewardship, carbon emissions, regenerative ingredients, supplier conservation efforts, and disclosure standards. While we are still in the early stage of our ESG journey, we anticipate that our disclosures and these discussions will be able to be more robust in future years.</w:t>
      </w:r>
    </w:p>
    <w:p>
      <w:pPr>
        <w:spacing w:after="0" w:line="46" w:lineRule="exact"/>
        <w:rPr>
          <w:rFonts w:ascii="Arial" w:cs="Arial" w:eastAsia="Arial" w:hAnsi="Arial"/>
          <w:sz w:val="16"/>
          <w:szCs w:val="16"/>
          <w:color w:val="41516E"/>
        </w:rPr>
      </w:pPr>
    </w:p>
    <w:p>
      <w:pPr>
        <w:jc w:val="both"/>
        <w:ind w:left="180" w:right="20" w:hanging="172"/>
        <w:spacing w:after="0" w:line="259" w:lineRule="auto"/>
        <w:tabs>
          <w:tab w:leader="none" w:pos="180" w:val="left"/>
        </w:tabs>
        <w:numPr>
          <w:ilvl w:val="0"/>
          <w:numId w:val="7"/>
        </w:numPr>
        <w:rPr>
          <w:rFonts w:ascii="Arial" w:cs="Arial" w:eastAsia="Arial" w:hAnsi="Arial"/>
          <w:sz w:val="16"/>
          <w:szCs w:val="16"/>
          <w:color w:val="41516E"/>
        </w:rPr>
      </w:pPr>
      <w:r>
        <w:rPr>
          <w:rFonts w:ascii="Arial" w:cs="Arial" w:eastAsia="Arial" w:hAnsi="Arial"/>
          <w:sz w:val="16"/>
          <w:szCs w:val="16"/>
          <w:b w:val="1"/>
          <w:bCs w:val="1"/>
          <w:color w:val="41516E"/>
        </w:rPr>
        <w:t xml:space="preserve">Executive Compensation Structure. </w:t>
      </w:r>
      <w:r>
        <w:rPr>
          <w:rFonts w:ascii="Arial" w:cs="Arial" w:eastAsia="Arial" w:hAnsi="Arial"/>
          <w:sz w:val="16"/>
          <w:szCs w:val="16"/>
          <w:color w:val="41516E"/>
        </w:rPr>
        <w:t>The stockholders we met with in recent years have not expressed material concerns with the Company’s executive</w:t>
      </w:r>
      <w:r>
        <w:rPr>
          <w:rFonts w:ascii="Arial" w:cs="Arial" w:eastAsia="Arial" w:hAnsi="Arial"/>
          <w:sz w:val="16"/>
          <w:szCs w:val="16"/>
          <w:b w:val="1"/>
          <w:bCs w:val="1"/>
          <w:color w:val="41516E"/>
        </w:rPr>
        <w:t xml:space="preserve"> </w:t>
      </w:r>
      <w:r>
        <w:rPr>
          <w:rFonts w:ascii="Arial" w:cs="Arial" w:eastAsia="Arial" w:hAnsi="Arial"/>
          <w:sz w:val="16"/>
          <w:szCs w:val="16"/>
          <w:color w:val="41516E"/>
        </w:rPr>
        <w:t>compensation structure, but often have inquiries and provide valuable input on topics such as cash bonus structure, long-term equity structure, peer group benchmarking, and executive succession planning. We relay this feedback to our management team, the Compensation Committee, and the full Board of Directors, and it is taken into consideration when we establish our annual executive compensation plans.</w:t>
      </w:r>
    </w:p>
    <w:p>
      <w:pPr>
        <w:spacing w:after="0" w:line="42" w:lineRule="exact"/>
        <w:rPr>
          <w:rFonts w:ascii="Arial" w:cs="Arial" w:eastAsia="Arial" w:hAnsi="Arial"/>
          <w:sz w:val="16"/>
          <w:szCs w:val="16"/>
          <w:color w:val="41516E"/>
        </w:rPr>
      </w:pPr>
    </w:p>
    <w:p>
      <w:pPr>
        <w:jc w:val="both"/>
        <w:ind w:left="180" w:hanging="172"/>
        <w:spacing w:after="0" w:line="262" w:lineRule="auto"/>
        <w:tabs>
          <w:tab w:leader="none" w:pos="180" w:val="left"/>
        </w:tabs>
        <w:numPr>
          <w:ilvl w:val="0"/>
          <w:numId w:val="7"/>
        </w:numPr>
        <w:rPr>
          <w:rFonts w:ascii="Arial" w:cs="Arial" w:eastAsia="Arial" w:hAnsi="Arial"/>
          <w:sz w:val="16"/>
          <w:szCs w:val="16"/>
          <w:color w:val="41516E"/>
        </w:rPr>
      </w:pPr>
      <w:r>
        <w:rPr>
          <w:rFonts w:ascii="Arial" w:cs="Arial" w:eastAsia="Arial" w:hAnsi="Arial"/>
          <w:sz w:val="16"/>
          <w:szCs w:val="16"/>
          <w:b w:val="1"/>
          <w:bCs w:val="1"/>
          <w:color w:val="41516E"/>
        </w:rPr>
        <w:t xml:space="preserve">Diversity, Equity, and Inclusion. </w:t>
      </w:r>
      <w:r>
        <w:rPr>
          <w:rFonts w:ascii="Arial" w:cs="Arial" w:eastAsia="Arial" w:hAnsi="Arial"/>
          <w:sz w:val="16"/>
          <w:szCs w:val="16"/>
          <w:color w:val="41516E"/>
        </w:rPr>
        <w:t>Almost all stockholders indicated that diversity is vital in the makeup of boards and management teams. The</w:t>
      </w:r>
      <w:r>
        <w:rPr>
          <w:rFonts w:ascii="Arial" w:cs="Arial" w:eastAsia="Arial" w:hAnsi="Arial"/>
          <w:sz w:val="16"/>
          <w:szCs w:val="16"/>
          <w:b w:val="1"/>
          <w:bCs w:val="1"/>
          <w:color w:val="41516E"/>
        </w:rPr>
        <w:t xml:space="preserve"> </w:t>
      </w:r>
      <w:r>
        <w:rPr>
          <w:rFonts w:ascii="Arial" w:cs="Arial" w:eastAsia="Arial" w:hAnsi="Arial"/>
          <w:sz w:val="16"/>
          <w:szCs w:val="16"/>
          <w:color w:val="41516E"/>
        </w:rPr>
        <w:t>stockholders also relayed that Boards and management teams should seek to represent the Company’s coworkers and customer base. We agree with this premise. In these outreach meetings we generally discuss our ongoing efforts towards progress in these areas, which efforts are outlined in more detail under the headings “Consideration of Nominees for Director” above and in our annual ESG reports</w:t>
      </w:r>
      <w:r>
        <w:rPr>
          <w:rFonts w:ascii="Arial" w:cs="Arial" w:eastAsia="Arial" w:hAnsi="Arial"/>
          <w:sz w:val="17"/>
          <w:szCs w:val="17"/>
          <w:color w:val="41516E"/>
        </w:rPr>
        <w:t>.</w:t>
      </w:r>
    </w:p>
    <w:p>
      <w:pPr>
        <w:spacing w:after="0" w:line="123"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left="180" w:hanging="172"/>
        <w:spacing w:after="0" w:line="256" w:lineRule="auto"/>
        <w:tabs>
          <w:tab w:leader="none" w:pos="180" w:val="left"/>
        </w:tabs>
        <w:numPr>
          <w:ilvl w:val="0"/>
          <w:numId w:val="8"/>
        </w:numPr>
        <w:rPr>
          <w:rFonts w:ascii="Arial" w:cs="Arial" w:eastAsia="Arial" w:hAnsi="Arial"/>
          <w:sz w:val="16"/>
          <w:szCs w:val="16"/>
          <w:color w:val="41516E"/>
        </w:rPr>
      </w:pPr>
      <w:r>
        <w:rPr>
          <w:rFonts w:ascii="Arial" w:cs="Arial" w:eastAsia="Arial" w:hAnsi="Arial"/>
          <w:sz w:val="16"/>
          <w:szCs w:val="16"/>
          <w:b w:val="1"/>
          <w:bCs w:val="1"/>
          <w:color w:val="41516E"/>
        </w:rPr>
        <w:t xml:space="preserve">Director Board Limits &amp; Overboarding. </w:t>
      </w:r>
      <w:r>
        <w:rPr>
          <w:rFonts w:ascii="Arial" w:cs="Arial" w:eastAsia="Arial" w:hAnsi="Arial"/>
          <w:sz w:val="16"/>
          <w:szCs w:val="16"/>
          <w:color w:val="41516E"/>
        </w:rPr>
        <w:t>In recent years, stockholders have suggested that the Company adopt a more formal policy around the number</w:t>
      </w:r>
      <w:r>
        <w:rPr>
          <w:rFonts w:ascii="Arial" w:cs="Arial" w:eastAsia="Arial" w:hAnsi="Arial"/>
          <w:sz w:val="16"/>
          <w:szCs w:val="16"/>
          <w:b w:val="1"/>
          <w:bCs w:val="1"/>
          <w:color w:val="41516E"/>
        </w:rPr>
        <w:t xml:space="preserve"> </w:t>
      </w:r>
      <w:r>
        <w:rPr>
          <w:rFonts w:ascii="Arial" w:cs="Arial" w:eastAsia="Arial" w:hAnsi="Arial"/>
          <w:sz w:val="16"/>
          <w:szCs w:val="16"/>
          <w:color w:val="41516E"/>
        </w:rPr>
        <w:t>of other public boards upon which a Director may sit. Partially in response to this feedback, in October 2022 the Board amended its Corporate Governance Guidelines to place a limit of four public company directorships upon which Company directors may serve. In February 2024, the Board added additional limitations, restricting public company officers to service on two public boards, the non-management chairman and Lead Director to service on three public boards, and other directors to service on four public boards.</w:t>
      </w:r>
    </w:p>
    <w:p>
      <w:pPr>
        <w:spacing w:after="0" w:line="44" w:lineRule="exact"/>
        <w:rPr>
          <w:rFonts w:ascii="Arial" w:cs="Arial" w:eastAsia="Arial" w:hAnsi="Arial"/>
          <w:sz w:val="16"/>
          <w:szCs w:val="16"/>
          <w:color w:val="41516E"/>
        </w:rPr>
      </w:pPr>
    </w:p>
    <w:p>
      <w:pPr>
        <w:ind w:left="180" w:right="20" w:hanging="172"/>
        <w:spacing w:after="0" w:line="286" w:lineRule="auto"/>
        <w:tabs>
          <w:tab w:leader="none" w:pos="180" w:val="left"/>
        </w:tabs>
        <w:numPr>
          <w:ilvl w:val="0"/>
          <w:numId w:val="8"/>
        </w:numPr>
        <w:rPr>
          <w:rFonts w:ascii="Arial" w:cs="Arial" w:eastAsia="Arial" w:hAnsi="Arial"/>
          <w:sz w:val="16"/>
          <w:szCs w:val="16"/>
          <w:color w:val="41516E"/>
        </w:rPr>
      </w:pPr>
      <w:r>
        <w:rPr>
          <w:rFonts w:ascii="Arial" w:cs="Arial" w:eastAsia="Arial" w:hAnsi="Arial"/>
          <w:sz w:val="16"/>
          <w:szCs w:val="16"/>
          <w:b w:val="1"/>
          <w:bCs w:val="1"/>
          <w:color w:val="41516E"/>
        </w:rPr>
        <w:t xml:space="preserve">Investor Relations. </w:t>
      </w:r>
      <w:r>
        <w:rPr>
          <w:rFonts w:ascii="Arial" w:cs="Arial" w:eastAsia="Arial" w:hAnsi="Arial"/>
          <w:sz w:val="16"/>
          <w:szCs w:val="16"/>
          <w:color w:val="41516E"/>
        </w:rPr>
        <w:t>Certain investors provided feedback requesting that the Company expand its investor relations efforts. Partially in response to this</w:t>
      </w:r>
      <w:r>
        <w:rPr>
          <w:rFonts w:ascii="Arial" w:cs="Arial" w:eastAsia="Arial" w:hAnsi="Arial"/>
          <w:sz w:val="16"/>
          <w:szCs w:val="16"/>
          <w:b w:val="1"/>
          <w:bCs w:val="1"/>
          <w:color w:val="41516E"/>
        </w:rPr>
        <w:t xml:space="preserve"> </w:t>
      </w:r>
      <w:r>
        <w:rPr>
          <w:rFonts w:ascii="Arial" w:cs="Arial" w:eastAsia="Arial" w:hAnsi="Arial"/>
          <w:sz w:val="16"/>
          <w:szCs w:val="16"/>
          <w:color w:val="41516E"/>
        </w:rPr>
        <w:t>feedback, we are continuing to attempt to expand these efforts over time.</w:t>
      </w:r>
    </w:p>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41516E"/>
        </w:rPr>
        <w:t>At the 2024 Annual Meeting, we will hold an advisory Say-on-Pay vote on the compensation of our Named Executive Officers, as we have done on an annual basis since 2011. The Compensation Committee will continue to consider the results of these advisory votes, as well as the valued feedback of stockholders, in evaluating our executive compensation and other policies.</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Board Review of Related Party Transactions</w:t>
      </w:r>
    </w:p>
    <w:p>
      <w:pPr>
        <w:spacing w:after="0" w:line="33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41516E"/>
        </w:rPr>
        <w:t>Under our Code of Business Conduct and Ethics, our Directors, Executive Officers, and other coworkers are required to report any proposed related party transactions to our General Counsel’s Office, who will bring those concerns to the attention of the Audit Committee.</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41516E"/>
        </w:rPr>
        <w:t>In 2017, the Board of Directors adopted a written Related Party Transactions Policy on the recommendation of the Audit Committee. The policy is intended to enable the Audit Committee to consider the approval and reporting of transactions between the Company and any of its Directors, Director Nominees, Executive Officers, or 5% Stockholders, or certain entities or persons related to them (each, a “Related Party”). The policy requires Directors, Director Nominees, and Executive Officers to report any potential material related party transaction between the Company on one hand and a Related Party on the other hand to the Company’s General Counsel, who will in turn refer the transaction to the Audit Committee for review. In considering whether to approve the transaction, the Audit Committee will weigh a number of factors, including but not limited to: (i) whether the terms of the transaction are fair to the Company and would be acceptable if the same transaction did not involve a Related Party; (ii) the nature of alternative transactions; (iii) Director independence; (iv) timely compliance with the approval process; (v) the potential for conflicts of interest; and (vi) the size and ongoing nature of the proposed transaction.</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Since January 1, 2023, we have not entered into any material transaction with any Related Parties, nor do we currently have any proposed transactions in which Boston Beer is or was a participant and in which any such Related Party had or will have a direct or indirect material interest. However, as outlined below, in prior years we have entered into material agreements with Related Parties, some of which remained active agreements in 2023.</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Mr. Calagione’s wife, Mariah Calagione (“Ms. Calagione”) is a coworker and at-will employee of the Company. In accordance with her employment agreement dated July 3, 2019, Ms. Calagione received total compensation of $297,740 in 2023, which included $229,351 earned in base salary and $55,000 in bonus for services provided in 2023, which bonus was paid in March 2024. She did not receive any equity awards in 2023 and was eligible for the same benefits as other coworkers.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Mr. and Ms. Calagione own Red Wagon LLC, which owns the land on which two Company-owned retail establishments in Rehoboth Beach, Delaware are located. The Company is party to two leases with Red Wagon LLC for these premises. Both leases commenced on July 1, 2019 with an expiration date of June 30, 2029. The combined monthly rent for the two leases is $29,043. The total amount paid by the Company to Red Wagon LLC in 2023 under these lease agreements was $348,516.</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Mr. and Ms. Calagione also own Super Suite, LLC, which owns property and a cottage in Lewes, Delaware, near the Company-owned Dogfish Inn. The cottage is rented out to the public in a similar fashion as a hotel suite. The Company is party to a property management services agreement with Super Suite, LLC, under which the Dogfish Inn manages reservations and cleaning, and coordinates maintenance of the cottage. The agreement commenced on June 11, 2018 and runs for a term of one year, automatically renewable for subsequent one-year terms. There is no set fee for the services, but the Company retains 40% of the revenue from the rental of the cottage and passes 60% of the revenue, less expenses paid, to Super Suite, LLC. The total amount paid by the Company to Super Suite, LLC in 2023 was approximately $42,000.</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41516E"/>
        </w:rPr>
        <w:t>All related party transactions were disclosed to, reviewed by, and approved by the Company’s Audit Committee and Board of Directors prior to the completion of the Company’s merger with Dogfish Head. The Board believes that payments under each of these agreements represent fair market value for the respective services or property received, and that for each transaction the financial and other terms are comparable to what the Company would have obtained in a negotiated arm’s-length transaction with an unrelated third party</w:t>
      </w:r>
      <w:r>
        <w:rPr>
          <w:rFonts w:ascii="Arial" w:cs="Arial" w:eastAsia="Arial" w:hAnsi="Arial"/>
          <w:sz w:val="17"/>
          <w:szCs w:val="17"/>
          <w:color w:val="41516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99695</wp:posOffset>
            </wp:positionV>
            <wp:extent cx="8572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23</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Director </w:t>
      </w:r>
      <w:r>
        <w:rPr>
          <w:rFonts w:ascii="Arial" w:cs="Arial" w:eastAsia="Arial" w:hAnsi="Arial"/>
          <w:sz w:val="47"/>
          <w:szCs w:val="47"/>
          <w:b w:val="1"/>
          <w:bCs w:val="1"/>
          <w:color w:val="798297"/>
        </w:rPr>
        <w:t>Compensation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Compensation Summary</w:t>
      </w:r>
    </w:p>
    <w:p>
      <w:pPr>
        <w:spacing w:after="0" w:line="26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41516E"/>
        </w:rPr>
        <w:t>As reported in a Form 8-K filed by the Company on February 10, 2023, at its February 9, 2023 meeting and acting on the recommendation of the Compensation Committee, the Board adopted a new compensation schedule for Non-Employee Directors, effective as of the Company’s 2023 Annual Meeting of Stockholders. A summary of the elements of compensation for Non-Employee Directors is set forth below</w:t>
      </w:r>
      <w:r>
        <w:rPr>
          <w:rFonts w:ascii="Arial" w:cs="Arial" w:eastAsia="Arial" w:hAnsi="Arial"/>
          <w:sz w:val="17"/>
          <w:szCs w:val="17"/>
          <w:color w:val="41516E"/>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0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Applies to</w:t>
            </w:r>
          </w:p>
        </w:tc>
        <w:tc>
          <w:tcPr>
            <w:tcW w:w="4260" w:type="dxa"/>
            <w:vAlign w:val="bottom"/>
            <w:tcBorders>
              <w:bottom w:val="single" w:sz="8" w:color="41516E"/>
            </w:tcBorders>
          </w:tcPr>
          <w:p>
            <w:pPr>
              <w:ind w:left="140"/>
              <w:spacing w:after="0"/>
              <w:rPr>
                <w:sz w:val="20"/>
                <w:szCs w:val="20"/>
                <w:color w:val="auto"/>
              </w:rPr>
            </w:pPr>
            <w:r>
              <w:rPr>
                <w:rFonts w:ascii="Arial" w:cs="Arial" w:eastAsia="Arial" w:hAnsi="Arial"/>
                <w:sz w:val="16"/>
                <w:szCs w:val="16"/>
                <w:b w:val="1"/>
                <w:bCs w:val="1"/>
                <w:color w:val="41516E"/>
              </w:rPr>
              <w:t>Payment For</w:t>
            </w:r>
          </w:p>
        </w:tc>
        <w:tc>
          <w:tcPr>
            <w:tcW w:w="4180" w:type="dxa"/>
            <w:vAlign w:val="bottom"/>
            <w:tcBorders>
              <w:bottom w:val="single" w:sz="8" w:color="41516E"/>
            </w:tcBorders>
          </w:tcPr>
          <w:p>
            <w:pPr>
              <w:ind w:left="140"/>
              <w:spacing w:after="0"/>
              <w:rPr>
                <w:sz w:val="20"/>
                <w:szCs w:val="20"/>
                <w:color w:val="auto"/>
              </w:rPr>
            </w:pPr>
            <w:r>
              <w:rPr>
                <w:rFonts w:ascii="Arial" w:cs="Arial" w:eastAsia="Arial" w:hAnsi="Arial"/>
                <w:sz w:val="16"/>
                <w:szCs w:val="16"/>
                <w:b w:val="1"/>
                <w:bCs w:val="1"/>
                <w:color w:val="41516E"/>
              </w:rPr>
              <w:t>Compensation</w:t>
            </w:r>
          </w:p>
        </w:tc>
      </w:tr>
      <w:tr>
        <w:trPr>
          <w:trHeight w:val="199"/>
        </w:trPr>
        <w:tc>
          <w:tcPr>
            <w:tcW w:w="2800" w:type="dxa"/>
            <w:vAlign w:val="bottom"/>
          </w:tcPr>
          <w:p>
            <w:pPr>
              <w:ind w:left="60"/>
              <w:spacing w:after="0"/>
              <w:rPr>
                <w:sz w:val="20"/>
                <w:szCs w:val="20"/>
                <w:color w:val="auto"/>
              </w:rPr>
            </w:pPr>
            <w:r>
              <w:rPr>
                <w:rFonts w:ascii="Arial" w:cs="Arial" w:eastAsia="Arial" w:hAnsi="Arial"/>
                <w:sz w:val="16"/>
                <w:szCs w:val="16"/>
                <w:color w:val="41516E"/>
              </w:rPr>
              <w:t>All Non-Employee Directors</w:t>
            </w:r>
          </w:p>
        </w:tc>
        <w:tc>
          <w:tcPr>
            <w:tcW w:w="4260" w:type="dxa"/>
            <w:vAlign w:val="bottom"/>
          </w:tcPr>
          <w:p>
            <w:pPr>
              <w:ind w:left="140"/>
              <w:spacing w:after="0"/>
              <w:rPr>
                <w:sz w:val="20"/>
                <w:szCs w:val="20"/>
                <w:color w:val="auto"/>
              </w:rPr>
            </w:pPr>
            <w:r>
              <w:rPr>
                <w:rFonts w:ascii="Arial" w:cs="Arial" w:eastAsia="Arial" w:hAnsi="Arial"/>
                <w:sz w:val="16"/>
                <w:szCs w:val="16"/>
                <w:color w:val="41516E"/>
              </w:rPr>
              <w:t>One-time award payable upon first-time election or</w:t>
            </w:r>
          </w:p>
        </w:tc>
        <w:tc>
          <w:tcPr>
            <w:tcW w:w="4180" w:type="dxa"/>
            <w:vAlign w:val="bottom"/>
          </w:tcPr>
          <w:p>
            <w:pPr>
              <w:ind w:left="140"/>
              <w:spacing w:after="0"/>
              <w:rPr>
                <w:sz w:val="20"/>
                <w:szCs w:val="20"/>
                <w:color w:val="auto"/>
              </w:rPr>
            </w:pPr>
            <w:r>
              <w:rPr>
                <w:rFonts w:ascii="Arial" w:cs="Arial" w:eastAsia="Arial" w:hAnsi="Arial"/>
                <w:sz w:val="16"/>
                <w:szCs w:val="16"/>
                <w:color w:val="41516E"/>
              </w:rPr>
              <w:t>Option for Class A Shares valued at approximately</w:t>
            </w:r>
          </w:p>
        </w:tc>
      </w:tr>
      <w:tr>
        <w:trPr>
          <w:trHeight w:val="236"/>
        </w:trPr>
        <w:tc>
          <w:tcPr>
            <w:tcW w:w="280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41516E"/>
              </w:rPr>
              <w:t>appointment to the Board</w:t>
            </w:r>
          </w:p>
        </w:tc>
        <w:tc>
          <w:tcPr>
            <w:tcW w:w="4180" w:type="dxa"/>
            <w:vAlign w:val="bottom"/>
          </w:tcPr>
          <w:p>
            <w:pPr>
              <w:ind w:left="140"/>
              <w:spacing w:after="0"/>
              <w:rPr>
                <w:sz w:val="20"/>
                <w:szCs w:val="20"/>
                <w:color w:val="auto"/>
              </w:rPr>
            </w:pPr>
            <w:r>
              <w:rPr>
                <w:rFonts w:ascii="Arial" w:cs="Arial" w:eastAsia="Arial" w:hAnsi="Arial"/>
                <w:sz w:val="16"/>
                <w:szCs w:val="16"/>
                <w:color w:val="41516E"/>
              </w:rPr>
              <w:t>$65,000 as of the grant date</w:t>
            </w:r>
          </w:p>
        </w:tc>
      </w:tr>
      <w:tr>
        <w:trPr>
          <w:trHeight w:val="210"/>
        </w:trPr>
        <w:tc>
          <w:tcPr>
            <w:tcW w:w="28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All Non-Employee Directors</w:t>
            </w:r>
          </w:p>
        </w:tc>
        <w:tc>
          <w:tcPr>
            <w:tcW w:w="426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One-time award payable upon first-time election or</w:t>
            </w:r>
          </w:p>
        </w:tc>
        <w:tc>
          <w:tcPr>
            <w:tcW w:w="418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RSUs for Class A Shares valued at approximately</w:t>
            </w:r>
          </w:p>
        </w:tc>
      </w:tr>
      <w:tr>
        <w:trPr>
          <w:trHeight w:val="230"/>
        </w:trPr>
        <w:tc>
          <w:tcPr>
            <w:tcW w:w="2800" w:type="dxa"/>
            <w:vAlign w:val="bottom"/>
            <w:shd w:val="clear" w:color="auto" w:fill="EFF0F1"/>
          </w:tcPr>
          <w:p>
            <w:pPr>
              <w:spacing w:after="0"/>
              <w:rPr>
                <w:sz w:val="20"/>
                <w:szCs w:val="20"/>
                <w:color w:val="auto"/>
              </w:rPr>
            </w:pPr>
          </w:p>
        </w:tc>
        <w:tc>
          <w:tcPr>
            <w:tcW w:w="426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appointment to the Board</w:t>
            </w:r>
          </w:p>
        </w:tc>
        <w:tc>
          <w:tcPr>
            <w:tcW w:w="418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$65,000 as of the grant date</w:t>
            </w:r>
          </w:p>
        </w:tc>
      </w:tr>
      <w:tr>
        <w:trPr>
          <w:trHeight w:val="202"/>
        </w:trPr>
        <w:tc>
          <w:tcPr>
            <w:tcW w:w="2800" w:type="dxa"/>
            <w:vAlign w:val="bottom"/>
          </w:tcPr>
          <w:p>
            <w:pPr>
              <w:ind w:left="60"/>
              <w:spacing w:after="0"/>
              <w:rPr>
                <w:sz w:val="20"/>
                <w:szCs w:val="20"/>
                <w:color w:val="auto"/>
              </w:rPr>
            </w:pPr>
            <w:r>
              <w:rPr>
                <w:rFonts w:ascii="Arial" w:cs="Arial" w:eastAsia="Arial" w:hAnsi="Arial"/>
                <w:sz w:val="16"/>
                <w:szCs w:val="16"/>
                <w:color w:val="41516E"/>
              </w:rPr>
              <w:t>All Non-Employee Directors</w:t>
            </w:r>
          </w:p>
        </w:tc>
        <w:tc>
          <w:tcPr>
            <w:tcW w:w="4260" w:type="dxa"/>
            <w:vAlign w:val="bottom"/>
          </w:tcPr>
          <w:p>
            <w:pPr>
              <w:ind w:left="140"/>
              <w:spacing w:after="0"/>
              <w:rPr>
                <w:sz w:val="20"/>
                <w:szCs w:val="20"/>
                <w:color w:val="auto"/>
              </w:rPr>
            </w:pPr>
            <w:r>
              <w:rPr>
                <w:rFonts w:ascii="Arial" w:cs="Arial" w:eastAsia="Arial" w:hAnsi="Arial"/>
                <w:sz w:val="16"/>
                <w:szCs w:val="16"/>
                <w:color w:val="41516E"/>
              </w:rPr>
              <w:t>Annual award payable upon annual election to the</w:t>
            </w:r>
          </w:p>
        </w:tc>
        <w:tc>
          <w:tcPr>
            <w:tcW w:w="4180" w:type="dxa"/>
            <w:vAlign w:val="bottom"/>
          </w:tcPr>
          <w:p>
            <w:pPr>
              <w:ind w:left="140"/>
              <w:spacing w:after="0"/>
              <w:rPr>
                <w:sz w:val="20"/>
                <w:szCs w:val="20"/>
                <w:color w:val="auto"/>
              </w:rPr>
            </w:pPr>
            <w:r>
              <w:rPr>
                <w:rFonts w:ascii="Arial" w:cs="Arial" w:eastAsia="Arial" w:hAnsi="Arial"/>
                <w:sz w:val="16"/>
                <w:szCs w:val="16"/>
                <w:color w:val="41516E"/>
              </w:rPr>
              <w:t>Option for Class A Shares valued at approximately</w:t>
            </w:r>
          </w:p>
        </w:tc>
      </w:tr>
      <w:tr>
        <w:trPr>
          <w:trHeight w:val="222"/>
        </w:trPr>
        <w:tc>
          <w:tcPr>
            <w:tcW w:w="280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41516E"/>
              </w:rPr>
              <w:t>Board, including first-time election</w:t>
            </w:r>
          </w:p>
        </w:tc>
        <w:tc>
          <w:tcPr>
            <w:tcW w:w="4180" w:type="dxa"/>
            <w:vAlign w:val="bottom"/>
          </w:tcPr>
          <w:p>
            <w:pPr>
              <w:ind w:left="140"/>
              <w:spacing w:after="0"/>
              <w:rPr>
                <w:sz w:val="20"/>
                <w:szCs w:val="20"/>
                <w:color w:val="auto"/>
              </w:rPr>
            </w:pPr>
            <w:r>
              <w:rPr>
                <w:rFonts w:ascii="Arial" w:cs="Arial" w:eastAsia="Arial" w:hAnsi="Arial"/>
                <w:sz w:val="16"/>
                <w:szCs w:val="16"/>
                <w:color w:val="41516E"/>
              </w:rPr>
              <w:t>$65,000 as of the grant date</w:t>
            </w:r>
          </w:p>
        </w:tc>
      </w:tr>
      <w:tr>
        <w:trPr>
          <w:trHeight w:val="210"/>
        </w:trPr>
        <w:tc>
          <w:tcPr>
            <w:tcW w:w="28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All Non-Employee Directors</w:t>
            </w:r>
          </w:p>
        </w:tc>
        <w:tc>
          <w:tcPr>
            <w:tcW w:w="426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Annual award payable upon annual election to the</w:t>
            </w:r>
          </w:p>
        </w:tc>
        <w:tc>
          <w:tcPr>
            <w:tcW w:w="418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RSUs for Class A Shares valued at approximately</w:t>
            </w:r>
          </w:p>
        </w:tc>
      </w:tr>
      <w:tr>
        <w:trPr>
          <w:trHeight w:val="230"/>
        </w:trPr>
        <w:tc>
          <w:tcPr>
            <w:tcW w:w="2800" w:type="dxa"/>
            <w:vAlign w:val="bottom"/>
            <w:shd w:val="clear" w:color="auto" w:fill="EFF0F1"/>
          </w:tcPr>
          <w:p>
            <w:pPr>
              <w:spacing w:after="0"/>
              <w:rPr>
                <w:sz w:val="20"/>
                <w:szCs w:val="20"/>
                <w:color w:val="auto"/>
              </w:rPr>
            </w:pPr>
          </w:p>
        </w:tc>
        <w:tc>
          <w:tcPr>
            <w:tcW w:w="426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Board, including first-time election</w:t>
            </w:r>
          </w:p>
        </w:tc>
        <w:tc>
          <w:tcPr>
            <w:tcW w:w="418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$65,000 as of the grant date</w:t>
            </w:r>
          </w:p>
        </w:tc>
      </w:tr>
      <w:tr>
        <w:trPr>
          <w:trHeight w:val="215"/>
        </w:trPr>
        <w:tc>
          <w:tcPr>
            <w:tcW w:w="2800" w:type="dxa"/>
            <w:vAlign w:val="bottom"/>
          </w:tcPr>
          <w:p>
            <w:pPr>
              <w:ind w:left="60"/>
              <w:spacing w:after="0"/>
              <w:rPr>
                <w:sz w:val="20"/>
                <w:szCs w:val="20"/>
                <w:color w:val="auto"/>
              </w:rPr>
            </w:pPr>
            <w:r>
              <w:rPr>
                <w:rFonts w:ascii="Arial" w:cs="Arial" w:eastAsia="Arial" w:hAnsi="Arial"/>
                <w:sz w:val="16"/>
                <w:szCs w:val="16"/>
                <w:color w:val="41516E"/>
              </w:rPr>
              <w:t>All Non-Employee Directors</w:t>
            </w:r>
          </w:p>
        </w:tc>
        <w:tc>
          <w:tcPr>
            <w:tcW w:w="4260" w:type="dxa"/>
            <w:vAlign w:val="bottom"/>
          </w:tcPr>
          <w:p>
            <w:pPr>
              <w:ind w:left="140"/>
              <w:spacing w:after="0"/>
              <w:rPr>
                <w:sz w:val="20"/>
                <w:szCs w:val="20"/>
                <w:color w:val="auto"/>
              </w:rPr>
            </w:pPr>
            <w:r>
              <w:rPr>
                <w:rFonts w:ascii="Arial" w:cs="Arial" w:eastAsia="Arial" w:hAnsi="Arial"/>
                <w:sz w:val="16"/>
                <w:szCs w:val="16"/>
                <w:color w:val="41516E"/>
              </w:rPr>
              <w:t>Annual cash retainer payable upon annual election to</w:t>
            </w:r>
          </w:p>
        </w:tc>
        <w:tc>
          <w:tcPr>
            <w:tcW w:w="4180" w:type="dxa"/>
            <w:vAlign w:val="bottom"/>
          </w:tcPr>
          <w:p>
            <w:pPr>
              <w:ind w:left="140"/>
              <w:spacing w:after="0"/>
              <w:rPr>
                <w:sz w:val="20"/>
                <w:szCs w:val="20"/>
                <w:color w:val="auto"/>
              </w:rPr>
            </w:pPr>
            <w:r>
              <w:rPr>
                <w:rFonts w:ascii="Arial" w:cs="Arial" w:eastAsia="Arial" w:hAnsi="Arial"/>
                <w:sz w:val="16"/>
                <w:szCs w:val="16"/>
                <w:color w:val="41516E"/>
              </w:rPr>
              <w:t>$75,000</w:t>
            </w:r>
          </w:p>
        </w:tc>
      </w:tr>
      <w:tr>
        <w:trPr>
          <w:trHeight w:val="222"/>
        </w:trPr>
        <w:tc>
          <w:tcPr>
            <w:tcW w:w="280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Arial" w:cs="Arial" w:eastAsia="Arial" w:hAnsi="Arial"/>
                <w:sz w:val="16"/>
                <w:szCs w:val="16"/>
                <w:color w:val="41516E"/>
              </w:rPr>
              <w:t>the Board</w:t>
            </w:r>
          </w:p>
        </w:tc>
        <w:tc>
          <w:tcPr>
            <w:tcW w:w="4180" w:type="dxa"/>
            <w:vAlign w:val="bottom"/>
          </w:tcPr>
          <w:p>
            <w:pPr>
              <w:spacing w:after="0"/>
              <w:rPr>
                <w:sz w:val="19"/>
                <w:szCs w:val="19"/>
                <w:color w:val="auto"/>
              </w:rPr>
            </w:pPr>
          </w:p>
        </w:tc>
      </w:tr>
      <w:tr>
        <w:trPr>
          <w:trHeight w:val="223"/>
        </w:trPr>
        <w:tc>
          <w:tcPr>
            <w:tcW w:w="28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Lead Director</w:t>
            </w:r>
          </w:p>
        </w:tc>
        <w:tc>
          <w:tcPr>
            <w:tcW w:w="426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Annual cash retainer payable upon annual appointment</w:t>
            </w:r>
          </w:p>
        </w:tc>
        <w:tc>
          <w:tcPr>
            <w:tcW w:w="418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$20,000</w:t>
            </w:r>
          </w:p>
        </w:tc>
      </w:tr>
      <w:tr>
        <w:trPr>
          <w:trHeight w:val="230"/>
        </w:trPr>
        <w:tc>
          <w:tcPr>
            <w:tcW w:w="2800" w:type="dxa"/>
            <w:vAlign w:val="bottom"/>
            <w:shd w:val="clear" w:color="auto" w:fill="EFF0F1"/>
          </w:tcPr>
          <w:p>
            <w:pPr>
              <w:spacing w:after="0"/>
              <w:rPr>
                <w:sz w:val="20"/>
                <w:szCs w:val="20"/>
                <w:color w:val="auto"/>
              </w:rPr>
            </w:pPr>
          </w:p>
        </w:tc>
        <w:tc>
          <w:tcPr>
            <w:tcW w:w="426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to the position</w:t>
            </w:r>
          </w:p>
        </w:tc>
        <w:tc>
          <w:tcPr>
            <w:tcW w:w="4180" w:type="dxa"/>
            <w:vAlign w:val="bottom"/>
            <w:shd w:val="clear" w:color="auto" w:fill="EFF0F1"/>
          </w:tcPr>
          <w:p>
            <w:pPr>
              <w:spacing w:after="0"/>
              <w:rPr>
                <w:sz w:val="20"/>
                <w:szCs w:val="20"/>
                <w:color w:val="auto"/>
              </w:rPr>
            </w:pPr>
          </w:p>
        </w:tc>
      </w:tr>
      <w:tr>
        <w:trPr>
          <w:trHeight w:val="215"/>
        </w:trPr>
        <w:tc>
          <w:tcPr>
            <w:tcW w:w="2800" w:type="dxa"/>
            <w:vAlign w:val="bottom"/>
          </w:tcPr>
          <w:p>
            <w:pPr>
              <w:ind w:left="60"/>
              <w:spacing w:after="0"/>
              <w:rPr>
                <w:sz w:val="20"/>
                <w:szCs w:val="20"/>
                <w:color w:val="auto"/>
              </w:rPr>
            </w:pPr>
            <w:r>
              <w:rPr>
                <w:rFonts w:ascii="Arial" w:cs="Arial" w:eastAsia="Arial" w:hAnsi="Arial"/>
                <w:sz w:val="16"/>
                <w:szCs w:val="16"/>
                <w:color w:val="41516E"/>
              </w:rPr>
              <w:t>Committee Chair (any standing</w:t>
            </w:r>
          </w:p>
        </w:tc>
        <w:tc>
          <w:tcPr>
            <w:tcW w:w="4260" w:type="dxa"/>
            <w:vAlign w:val="bottom"/>
          </w:tcPr>
          <w:p>
            <w:pPr>
              <w:ind w:left="140"/>
              <w:spacing w:after="0"/>
              <w:rPr>
                <w:sz w:val="20"/>
                <w:szCs w:val="20"/>
                <w:color w:val="auto"/>
              </w:rPr>
            </w:pPr>
            <w:r>
              <w:rPr>
                <w:rFonts w:ascii="Arial" w:cs="Arial" w:eastAsia="Arial" w:hAnsi="Arial"/>
                <w:sz w:val="16"/>
                <w:szCs w:val="16"/>
                <w:color w:val="41516E"/>
              </w:rPr>
              <w:t>Annual cash retainer payable upon annual appointment</w:t>
            </w:r>
          </w:p>
        </w:tc>
        <w:tc>
          <w:tcPr>
            <w:tcW w:w="4180" w:type="dxa"/>
            <w:vAlign w:val="bottom"/>
          </w:tcPr>
          <w:p>
            <w:pPr>
              <w:ind w:left="140"/>
              <w:spacing w:after="0"/>
              <w:rPr>
                <w:sz w:val="20"/>
                <w:szCs w:val="20"/>
                <w:color w:val="auto"/>
              </w:rPr>
            </w:pPr>
            <w:r>
              <w:rPr>
                <w:rFonts w:ascii="Arial" w:cs="Arial" w:eastAsia="Arial" w:hAnsi="Arial"/>
                <w:sz w:val="16"/>
                <w:szCs w:val="16"/>
                <w:color w:val="41516E"/>
              </w:rPr>
              <w:t>$20,000</w:t>
            </w:r>
          </w:p>
        </w:tc>
      </w:tr>
      <w:tr>
        <w:trPr>
          <w:trHeight w:val="222"/>
        </w:trPr>
        <w:tc>
          <w:tcPr>
            <w:tcW w:w="2800" w:type="dxa"/>
            <w:vAlign w:val="bottom"/>
          </w:tcPr>
          <w:p>
            <w:pPr>
              <w:ind w:left="60"/>
              <w:spacing w:after="0"/>
              <w:rPr>
                <w:sz w:val="20"/>
                <w:szCs w:val="20"/>
                <w:color w:val="auto"/>
              </w:rPr>
            </w:pPr>
            <w:r>
              <w:rPr>
                <w:rFonts w:ascii="Arial" w:cs="Arial" w:eastAsia="Arial" w:hAnsi="Arial"/>
                <w:sz w:val="16"/>
                <w:szCs w:val="16"/>
                <w:color w:val="41516E"/>
              </w:rPr>
              <w:t>committee)</w:t>
            </w:r>
          </w:p>
        </w:tc>
        <w:tc>
          <w:tcPr>
            <w:tcW w:w="4260" w:type="dxa"/>
            <w:vAlign w:val="bottom"/>
          </w:tcPr>
          <w:p>
            <w:pPr>
              <w:ind w:left="140"/>
              <w:spacing w:after="0"/>
              <w:rPr>
                <w:sz w:val="20"/>
                <w:szCs w:val="20"/>
                <w:color w:val="auto"/>
              </w:rPr>
            </w:pPr>
            <w:r>
              <w:rPr>
                <w:rFonts w:ascii="Arial" w:cs="Arial" w:eastAsia="Arial" w:hAnsi="Arial"/>
                <w:sz w:val="16"/>
                <w:szCs w:val="16"/>
                <w:color w:val="41516E"/>
              </w:rPr>
              <w:t>to the position</w:t>
            </w:r>
          </w:p>
        </w:tc>
        <w:tc>
          <w:tcPr>
            <w:tcW w:w="4180" w:type="dxa"/>
            <w:vAlign w:val="bottom"/>
          </w:tcPr>
          <w:p>
            <w:pPr>
              <w:spacing w:after="0"/>
              <w:rPr>
                <w:sz w:val="19"/>
                <w:szCs w:val="19"/>
                <w:color w:val="auto"/>
              </w:rPr>
            </w:pPr>
          </w:p>
        </w:tc>
      </w:tr>
      <w:tr>
        <w:trPr>
          <w:trHeight w:val="223"/>
        </w:trPr>
        <w:tc>
          <w:tcPr>
            <w:tcW w:w="28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Committee Member, Non-Chair (any</w:t>
            </w:r>
          </w:p>
        </w:tc>
        <w:tc>
          <w:tcPr>
            <w:tcW w:w="426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Annual cash retainer payable upon annual appointment</w:t>
            </w:r>
          </w:p>
        </w:tc>
        <w:tc>
          <w:tcPr>
            <w:tcW w:w="418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$10,000</w:t>
            </w:r>
          </w:p>
        </w:tc>
      </w:tr>
      <w:tr>
        <w:trPr>
          <w:trHeight w:val="224"/>
        </w:trPr>
        <w:tc>
          <w:tcPr>
            <w:tcW w:w="2800" w:type="dxa"/>
            <w:vAlign w:val="bottom"/>
            <w:tcBorders>
              <w:bottom w:val="single" w:sz="8" w:color="EFF0F1"/>
            </w:tcBorders>
            <w:shd w:val="clear" w:color="auto" w:fill="EFF0F1"/>
          </w:tcPr>
          <w:p>
            <w:pPr>
              <w:ind w:left="60"/>
              <w:spacing w:after="0"/>
              <w:rPr>
                <w:sz w:val="20"/>
                <w:szCs w:val="20"/>
                <w:color w:val="auto"/>
              </w:rPr>
            </w:pPr>
            <w:r>
              <w:rPr>
                <w:rFonts w:ascii="Arial" w:cs="Arial" w:eastAsia="Arial" w:hAnsi="Arial"/>
                <w:sz w:val="16"/>
                <w:szCs w:val="16"/>
                <w:color w:val="41516E"/>
              </w:rPr>
              <w:t>standing committee, per committee)</w:t>
            </w:r>
          </w:p>
        </w:tc>
        <w:tc>
          <w:tcPr>
            <w:tcW w:w="4260" w:type="dxa"/>
            <w:vAlign w:val="bottom"/>
            <w:tcBorders>
              <w:bottom w:val="single" w:sz="8" w:color="EFF0F1"/>
            </w:tcBorders>
            <w:shd w:val="clear" w:color="auto" w:fill="EFF0F1"/>
          </w:tcPr>
          <w:p>
            <w:pPr>
              <w:ind w:left="140"/>
              <w:spacing w:after="0"/>
              <w:rPr>
                <w:sz w:val="20"/>
                <w:szCs w:val="20"/>
                <w:color w:val="auto"/>
              </w:rPr>
            </w:pPr>
            <w:r>
              <w:rPr>
                <w:rFonts w:ascii="Arial" w:cs="Arial" w:eastAsia="Arial" w:hAnsi="Arial"/>
                <w:sz w:val="16"/>
                <w:szCs w:val="16"/>
                <w:color w:val="41516E"/>
              </w:rPr>
              <w:t>to the position</w:t>
            </w:r>
          </w:p>
        </w:tc>
        <w:tc>
          <w:tcPr>
            <w:tcW w:w="4180" w:type="dxa"/>
            <w:vAlign w:val="bottom"/>
            <w:tcBorders>
              <w:bottom w:val="single" w:sz="8" w:color="EFF0F1"/>
            </w:tcBorders>
            <w:shd w:val="clear" w:color="auto" w:fill="EFF0F1"/>
          </w:tcPr>
          <w:p>
            <w:pPr>
              <w:spacing w:after="0"/>
              <w:rPr>
                <w:sz w:val="19"/>
                <w:szCs w:val="19"/>
                <w:color w:val="auto"/>
              </w:rPr>
            </w:pPr>
          </w:p>
        </w:tc>
      </w:tr>
      <w:tr>
        <w:trPr>
          <w:trHeight w:val="215"/>
        </w:trPr>
        <w:tc>
          <w:tcPr>
            <w:tcW w:w="2800" w:type="dxa"/>
            <w:vAlign w:val="bottom"/>
          </w:tcPr>
          <w:p>
            <w:pPr>
              <w:ind w:left="60"/>
              <w:spacing w:after="0"/>
              <w:rPr>
                <w:sz w:val="20"/>
                <w:szCs w:val="20"/>
                <w:color w:val="auto"/>
              </w:rPr>
            </w:pPr>
            <w:r>
              <w:rPr>
                <w:rFonts w:ascii="Arial" w:cs="Arial" w:eastAsia="Arial" w:hAnsi="Arial"/>
                <w:sz w:val="16"/>
                <w:szCs w:val="16"/>
                <w:color w:val="41516E"/>
              </w:rPr>
              <w:t>Committee Chair or Member (Ad-</w:t>
            </w:r>
          </w:p>
        </w:tc>
        <w:tc>
          <w:tcPr>
            <w:tcW w:w="4260" w:type="dxa"/>
            <w:vAlign w:val="bottom"/>
          </w:tcPr>
          <w:p>
            <w:pPr>
              <w:ind w:left="140"/>
              <w:spacing w:after="0"/>
              <w:rPr>
                <w:sz w:val="20"/>
                <w:szCs w:val="20"/>
                <w:color w:val="auto"/>
              </w:rPr>
            </w:pPr>
            <w:r>
              <w:rPr>
                <w:rFonts w:ascii="Arial" w:cs="Arial" w:eastAsia="Arial" w:hAnsi="Arial"/>
                <w:sz w:val="16"/>
                <w:szCs w:val="16"/>
                <w:color w:val="41516E"/>
              </w:rPr>
              <w:t>Annual cash retainer payable upon annual appointment</w:t>
            </w:r>
          </w:p>
        </w:tc>
        <w:tc>
          <w:tcPr>
            <w:tcW w:w="4180" w:type="dxa"/>
            <w:vAlign w:val="bottom"/>
          </w:tcPr>
          <w:p>
            <w:pPr>
              <w:ind w:left="140"/>
              <w:spacing w:after="0"/>
              <w:rPr>
                <w:sz w:val="20"/>
                <w:szCs w:val="20"/>
                <w:color w:val="auto"/>
              </w:rPr>
            </w:pPr>
            <w:r>
              <w:rPr>
                <w:rFonts w:ascii="Arial" w:cs="Arial" w:eastAsia="Arial" w:hAnsi="Arial"/>
                <w:sz w:val="16"/>
                <w:szCs w:val="16"/>
                <w:color w:val="41516E"/>
              </w:rPr>
              <w:t>Within discretion of Compensation Committee</w:t>
            </w:r>
          </w:p>
        </w:tc>
      </w:tr>
      <w:tr>
        <w:trPr>
          <w:trHeight w:val="224"/>
        </w:trPr>
        <w:tc>
          <w:tcPr>
            <w:tcW w:w="2800" w:type="dxa"/>
            <w:vAlign w:val="bottom"/>
            <w:tcBorders>
              <w:bottom w:val="single" w:sz="8" w:color="41516E"/>
            </w:tcBorders>
          </w:tcPr>
          <w:p>
            <w:pPr>
              <w:ind w:left="60"/>
              <w:spacing w:after="0"/>
              <w:rPr>
                <w:sz w:val="20"/>
                <w:szCs w:val="20"/>
                <w:color w:val="auto"/>
              </w:rPr>
            </w:pPr>
            <w:r>
              <w:rPr>
                <w:rFonts w:ascii="Arial" w:cs="Arial" w:eastAsia="Arial" w:hAnsi="Arial"/>
                <w:sz w:val="16"/>
                <w:szCs w:val="16"/>
                <w:color w:val="41516E"/>
              </w:rPr>
              <w:t>Hoc Committee)</w:t>
            </w:r>
          </w:p>
        </w:tc>
        <w:tc>
          <w:tcPr>
            <w:tcW w:w="4260" w:type="dxa"/>
            <w:vAlign w:val="bottom"/>
            <w:tcBorders>
              <w:bottom w:val="single" w:sz="8" w:color="41516E"/>
            </w:tcBorders>
          </w:tcPr>
          <w:p>
            <w:pPr>
              <w:ind w:left="140"/>
              <w:spacing w:after="0"/>
              <w:rPr>
                <w:sz w:val="20"/>
                <w:szCs w:val="20"/>
                <w:color w:val="auto"/>
              </w:rPr>
            </w:pPr>
            <w:r>
              <w:rPr>
                <w:rFonts w:ascii="Arial" w:cs="Arial" w:eastAsia="Arial" w:hAnsi="Arial"/>
                <w:sz w:val="16"/>
                <w:szCs w:val="16"/>
                <w:color w:val="41516E"/>
              </w:rPr>
              <w:t>to the position</w:t>
            </w:r>
          </w:p>
        </w:tc>
        <w:tc>
          <w:tcPr>
            <w:tcW w:w="4180" w:type="dxa"/>
            <w:vAlign w:val="bottom"/>
            <w:tcBorders>
              <w:bottom w:val="single" w:sz="8" w:color="41516E"/>
            </w:tcBorders>
          </w:tcPr>
          <w:p>
            <w:pPr>
              <w:spacing w:after="0"/>
              <w:rPr>
                <w:sz w:val="19"/>
                <w:szCs w:val="19"/>
                <w:color w:val="auto"/>
              </w:rPr>
            </w:pP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41516E"/>
        </w:rPr>
        <w:t>Mid-Year Appointment</w:t>
      </w:r>
      <w:r>
        <w:rPr>
          <w:rFonts w:ascii="Arial" w:cs="Arial" w:eastAsia="Arial" w:hAnsi="Arial"/>
          <w:sz w:val="16"/>
          <w:szCs w:val="16"/>
          <w:color w:val="41516E"/>
        </w:rPr>
        <w:t>. If a Non-Employee Director is elected or appointed to the Board between the Company’s annual meetings of stockholders, the</w:t>
      </w:r>
      <w:r>
        <w:rPr>
          <w:rFonts w:ascii="Arial" w:cs="Arial" w:eastAsia="Arial" w:hAnsi="Arial"/>
          <w:sz w:val="16"/>
          <w:szCs w:val="16"/>
          <w:i w:val="1"/>
          <w:iCs w:val="1"/>
          <w:color w:val="41516E"/>
        </w:rPr>
        <w:t xml:space="preserve"> </w:t>
      </w:r>
      <w:r>
        <w:rPr>
          <w:rFonts w:ascii="Arial" w:cs="Arial" w:eastAsia="Arial" w:hAnsi="Arial"/>
          <w:sz w:val="16"/>
          <w:szCs w:val="16"/>
          <w:color w:val="41516E"/>
        </w:rPr>
        <w:t>number of option shares and RSUs granted pursuant to the annual awards and the value of the annual retainers shall be pro-rated.</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In 2023, all option awards and RSUs to Non-Employee Directors were granted under our Equity Plan for Non-Employee Directors, or the “Director Equity Plan.” Under the Director Equity Plan, options carry an exercise price equal to the closing price on the last trading day prior to the grant date, are immediately fully vested, and expire ten (10) years after the date of grant or three (3) years after the grantee ceases to be a Director of the Company, whichever occurs sooner. The number of Class A Shares granted under each option is computed using the trinomial option-pricing model and the closing price on the last trading day prior to the grant date as the fair market value of the underlying shares. RSUs fully vest one-year from the grant date, contingent on continued service on the Board at the end of that board year. The number of RSUs granted is calculated based on the closing price on the last trading day prior to the grant date as the fair market value of the underlying shares.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41516E"/>
        </w:rPr>
        <w:t>The number of Class A Shares registered under the Director Equity Plan is 550,000 shares, with 54,821 remaining shares available for issuance as of the end of the 2023 Fiscal Year</w:t>
      </w:r>
      <w:r>
        <w:rPr>
          <w:rFonts w:ascii="Arial" w:cs="Arial" w:eastAsia="Arial" w:hAnsi="Arial"/>
          <w:sz w:val="17"/>
          <w:szCs w:val="17"/>
          <w:color w:val="41516E"/>
        </w:rPr>
        <w:t>.</w:t>
      </w:r>
    </w:p>
    <w:p>
      <w:pPr>
        <w:spacing w:after="0" w:line="97"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803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80340"/>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Director Compensation for Fiscal Year 2023</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41516E"/>
        </w:rPr>
        <w:t>The following table sets forth certain information concerning the 2023 compensation of our Non-Employee Directors</w:t>
      </w:r>
      <w:r>
        <w:rPr>
          <w:rFonts w:ascii="Arial" w:cs="Arial" w:eastAsia="Arial" w:hAnsi="Arial"/>
          <w:sz w:val="17"/>
          <w:szCs w:val="17"/>
          <w:color w:val="41516E"/>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1516E"/>
              </w:rPr>
              <w:t>Fees Paid</w:t>
            </w:r>
          </w:p>
        </w:tc>
        <w:tc>
          <w:tcPr>
            <w:tcW w:w="30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41516E"/>
              </w:rPr>
              <w:t>Option</w:t>
            </w:r>
          </w:p>
        </w:tc>
        <w:tc>
          <w:tcPr>
            <w:tcW w:w="38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41516E"/>
              </w:rPr>
              <w:t>RSU</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370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Name</w:t>
            </w:r>
          </w:p>
        </w:tc>
        <w:tc>
          <w:tcPr>
            <w:tcW w:w="2360" w:type="dxa"/>
            <w:vAlign w:val="bottom"/>
            <w:tcBorders>
              <w:bottom w:val="single" w:sz="8" w:color="41516E"/>
            </w:tcBorders>
          </w:tcPr>
          <w:p>
            <w:pPr>
              <w:spacing w:after="0"/>
              <w:rPr>
                <w:sz w:val="19"/>
                <w:szCs w:val="19"/>
                <w:color w:val="auto"/>
              </w:rPr>
            </w:pPr>
          </w:p>
        </w:tc>
        <w:tc>
          <w:tcPr>
            <w:tcW w:w="1040" w:type="dxa"/>
            <w:vAlign w:val="bottom"/>
            <w:tcBorders>
              <w:bottom w:val="single" w:sz="8" w:color="41516E"/>
            </w:tcBorders>
          </w:tcPr>
          <w:p>
            <w:pPr>
              <w:jc w:val="right"/>
              <w:ind w:right="79"/>
              <w:spacing w:after="0"/>
              <w:rPr>
                <w:sz w:val="20"/>
                <w:szCs w:val="20"/>
                <w:color w:val="auto"/>
              </w:rPr>
            </w:pPr>
            <w:r>
              <w:rPr>
                <w:rFonts w:ascii="Arial" w:cs="Arial" w:eastAsia="Arial" w:hAnsi="Arial"/>
                <w:sz w:val="16"/>
                <w:szCs w:val="16"/>
                <w:b w:val="1"/>
                <w:bCs w:val="1"/>
                <w:color w:val="41516E"/>
              </w:rPr>
              <w:t>in Cash</w:t>
            </w:r>
          </w:p>
        </w:tc>
        <w:tc>
          <w:tcPr>
            <w:tcW w:w="300" w:type="dxa"/>
            <w:vAlign w:val="bottom"/>
            <w:tcBorders>
              <w:bottom w:val="single" w:sz="8" w:color="41516E"/>
            </w:tcBorders>
          </w:tcPr>
          <w:p>
            <w:pPr>
              <w:spacing w:after="0"/>
              <w:rPr>
                <w:sz w:val="19"/>
                <w:szCs w:val="19"/>
                <w:color w:val="auto"/>
              </w:rPr>
            </w:pPr>
          </w:p>
        </w:tc>
        <w:tc>
          <w:tcPr>
            <w:tcW w:w="1100" w:type="dxa"/>
            <w:vAlign w:val="bottom"/>
            <w:tcBorders>
              <w:bottom w:val="single" w:sz="8" w:color="41516E"/>
            </w:tcBorders>
          </w:tcPr>
          <w:p>
            <w:pPr>
              <w:jc w:val="right"/>
              <w:ind w:right="79"/>
              <w:spacing w:after="0" w:line="230" w:lineRule="exact"/>
              <w:rPr>
                <w:sz w:val="20"/>
                <w:szCs w:val="20"/>
                <w:color w:val="auto"/>
              </w:rPr>
            </w:pPr>
            <w:r>
              <w:rPr>
                <w:rFonts w:ascii="Arial" w:cs="Arial" w:eastAsia="Arial" w:hAnsi="Arial"/>
                <w:sz w:val="16"/>
                <w:szCs w:val="16"/>
                <w:b w:val="1"/>
                <w:bCs w:val="1"/>
                <w:color w:val="41516E"/>
                <w:w w:val="91"/>
              </w:rPr>
              <w:t>Awards</w:t>
            </w:r>
            <w:r>
              <w:rPr>
                <w:rFonts w:ascii="Arial" w:cs="Arial" w:eastAsia="Arial" w:hAnsi="Arial"/>
                <w:sz w:val="26"/>
                <w:szCs w:val="26"/>
                <w:b w:val="1"/>
                <w:bCs w:val="1"/>
                <w:color w:val="41516E"/>
                <w:w w:val="91"/>
                <w:vertAlign w:val="superscript"/>
              </w:rPr>
              <w:t>(1)(2)</w:t>
            </w:r>
          </w:p>
        </w:tc>
        <w:tc>
          <w:tcPr>
            <w:tcW w:w="380" w:type="dxa"/>
            <w:vAlign w:val="bottom"/>
            <w:tcBorders>
              <w:bottom w:val="single" w:sz="8" w:color="41516E"/>
            </w:tcBorders>
          </w:tcPr>
          <w:p>
            <w:pPr>
              <w:spacing w:after="0"/>
              <w:rPr>
                <w:sz w:val="19"/>
                <w:szCs w:val="19"/>
                <w:color w:val="auto"/>
              </w:rPr>
            </w:pPr>
          </w:p>
        </w:tc>
        <w:tc>
          <w:tcPr>
            <w:tcW w:w="1040" w:type="dxa"/>
            <w:vAlign w:val="bottom"/>
            <w:tcBorders>
              <w:bottom w:val="single" w:sz="8" w:color="41516E"/>
            </w:tcBorders>
          </w:tcPr>
          <w:p>
            <w:pPr>
              <w:jc w:val="right"/>
              <w:ind w:right="99"/>
              <w:spacing w:after="0" w:line="230" w:lineRule="exact"/>
              <w:rPr>
                <w:sz w:val="20"/>
                <w:szCs w:val="20"/>
                <w:color w:val="auto"/>
              </w:rPr>
            </w:pPr>
            <w:r>
              <w:rPr>
                <w:rFonts w:ascii="Arial" w:cs="Arial" w:eastAsia="Arial" w:hAnsi="Arial"/>
                <w:sz w:val="16"/>
                <w:szCs w:val="16"/>
                <w:b w:val="1"/>
                <w:bCs w:val="1"/>
                <w:color w:val="41516E"/>
              </w:rPr>
              <w:t>Awards</w:t>
            </w:r>
            <w:r>
              <w:rPr>
                <w:rFonts w:ascii="Arial" w:cs="Arial" w:eastAsia="Arial" w:hAnsi="Arial"/>
                <w:sz w:val="26"/>
                <w:szCs w:val="26"/>
                <w:b w:val="1"/>
                <w:bCs w:val="1"/>
                <w:color w:val="41516E"/>
                <w:vertAlign w:val="superscript"/>
              </w:rPr>
              <w:t>(3)</w:t>
            </w:r>
          </w:p>
        </w:tc>
        <w:tc>
          <w:tcPr>
            <w:tcW w:w="440" w:type="dxa"/>
            <w:vAlign w:val="bottom"/>
            <w:tcBorders>
              <w:bottom w:val="single" w:sz="8" w:color="41516E"/>
            </w:tcBorders>
          </w:tcPr>
          <w:p>
            <w:pPr>
              <w:spacing w:after="0"/>
              <w:rPr>
                <w:sz w:val="19"/>
                <w:szCs w:val="19"/>
                <w:color w:val="auto"/>
              </w:rPr>
            </w:pPr>
          </w:p>
        </w:tc>
        <w:tc>
          <w:tcPr>
            <w:tcW w:w="880" w:type="dxa"/>
            <w:vAlign w:val="bottom"/>
            <w:tcBorders>
              <w:bottom w:val="single" w:sz="8" w:color="41516E"/>
            </w:tcBorders>
          </w:tcPr>
          <w:p>
            <w:pPr>
              <w:jc w:val="right"/>
              <w:ind w:right="19"/>
              <w:spacing w:after="0"/>
              <w:rPr>
                <w:sz w:val="20"/>
                <w:szCs w:val="20"/>
                <w:color w:val="auto"/>
              </w:rPr>
            </w:pPr>
            <w:r>
              <w:rPr>
                <w:rFonts w:ascii="Arial" w:cs="Arial" w:eastAsia="Arial" w:hAnsi="Arial"/>
                <w:sz w:val="16"/>
                <w:szCs w:val="16"/>
                <w:b w:val="1"/>
                <w:bCs w:val="1"/>
                <w:color w:val="41516E"/>
              </w:rPr>
              <w:t>Total</w:t>
            </w:r>
          </w:p>
        </w:tc>
      </w:tr>
      <w:tr>
        <w:trPr>
          <w:trHeight w:val="196"/>
        </w:trPr>
        <w:tc>
          <w:tcPr>
            <w:tcW w:w="3700" w:type="dxa"/>
            <w:vAlign w:val="bottom"/>
          </w:tcPr>
          <w:p>
            <w:pPr>
              <w:ind w:left="60"/>
              <w:spacing w:after="0"/>
              <w:rPr>
                <w:sz w:val="20"/>
                <w:szCs w:val="20"/>
                <w:color w:val="auto"/>
              </w:rPr>
            </w:pPr>
            <w:r>
              <w:rPr>
                <w:rFonts w:ascii="Arial" w:cs="Arial" w:eastAsia="Arial" w:hAnsi="Arial"/>
                <w:sz w:val="16"/>
                <w:szCs w:val="16"/>
                <w:color w:val="41516E"/>
              </w:rPr>
              <w:t>Cynthia A. Fisher</w:t>
            </w:r>
          </w:p>
        </w:tc>
        <w:tc>
          <w:tcPr>
            <w:tcW w:w="2360" w:type="dxa"/>
            <w:vAlign w:val="bottom"/>
          </w:tcPr>
          <w:p>
            <w:pPr>
              <w:jc w:val="right"/>
              <w:ind w:right="19"/>
              <w:spacing w:after="0"/>
              <w:rPr>
                <w:sz w:val="20"/>
                <w:szCs w:val="20"/>
                <w:color w:val="auto"/>
              </w:rPr>
            </w:pPr>
            <w:r>
              <w:rPr>
                <w:rFonts w:ascii="Arial" w:cs="Arial" w:eastAsia="Arial" w:hAnsi="Arial"/>
                <w:sz w:val="16"/>
                <w:szCs w:val="16"/>
                <w:color w:val="41516E"/>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41516E"/>
              </w:rPr>
              <w:t>75,000</w:t>
            </w:r>
          </w:p>
        </w:tc>
        <w:tc>
          <w:tcPr>
            <w:tcW w:w="300" w:type="dxa"/>
            <w:vAlign w:val="bottom"/>
          </w:tcPr>
          <w:p>
            <w:pPr>
              <w:jc w:val="right"/>
              <w:spacing w:after="0"/>
              <w:rPr>
                <w:sz w:val="20"/>
                <w:szCs w:val="20"/>
                <w:color w:val="auto"/>
              </w:rPr>
            </w:pPr>
            <w:r>
              <w:rPr>
                <w:rFonts w:ascii="Arial" w:cs="Arial" w:eastAsia="Arial" w:hAnsi="Arial"/>
                <w:sz w:val="16"/>
                <w:szCs w:val="16"/>
                <w:color w:val="41516E"/>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41516E"/>
              </w:rPr>
              <w:t>65,101</w:t>
            </w:r>
          </w:p>
        </w:tc>
        <w:tc>
          <w:tcPr>
            <w:tcW w:w="380" w:type="dxa"/>
            <w:vAlign w:val="bottom"/>
          </w:tcPr>
          <w:p>
            <w:pPr>
              <w:jc w:val="right"/>
              <w:ind w:right="39"/>
              <w:spacing w:after="0"/>
              <w:rPr>
                <w:sz w:val="20"/>
                <w:szCs w:val="20"/>
                <w:color w:val="auto"/>
              </w:rPr>
            </w:pPr>
            <w:r>
              <w:rPr>
                <w:rFonts w:ascii="Arial" w:cs="Arial" w:eastAsia="Arial" w:hAnsi="Arial"/>
                <w:sz w:val="16"/>
                <w:szCs w:val="16"/>
                <w:color w:val="41516E"/>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41516E"/>
              </w:rPr>
              <w:t>65,109</w:t>
            </w:r>
          </w:p>
        </w:tc>
        <w:tc>
          <w:tcPr>
            <w:tcW w:w="440" w:type="dxa"/>
            <w:vAlign w:val="bottom"/>
          </w:tcPr>
          <w:p>
            <w:pPr>
              <w:jc w:val="right"/>
              <w:ind w:right="119"/>
              <w:spacing w:after="0"/>
              <w:rPr>
                <w:sz w:val="20"/>
                <w:szCs w:val="20"/>
                <w:color w:val="auto"/>
              </w:rPr>
            </w:pPr>
            <w:r>
              <w:rPr>
                <w:rFonts w:ascii="Arial" w:cs="Arial" w:eastAsia="Arial" w:hAnsi="Arial"/>
                <w:sz w:val="16"/>
                <w:szCs w:val="16"/>
                <w:color w:val="41516E"/>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41516E"/>
              </w:rPr>
              <w:t>205,210</w:t>
            </w:r>
          </w:p>
        </w:tc>
      </w:tr>
      <w:tr>
        <w:trPr>
          <w:trHeight w:val="203"/>
        </w:trPr>
        <w:tc>
          <w:tcPr>
            <w:tcW w:w="37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Meghan V. Joyce</w:t>
            </w:r>
          </w:p>
        </w:tc>
        <w:tc>
          <w:tcPr>
            <w:tcW w:w="236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w:t>
            </w:r>
          </w:p>
        </w:tc>
        <w:tc>
          <w:tcPr>
            <w:tcW w:w="1040" w:type="dxa"/>
            <w:vAlign w:val="bottom"/>
            <w:shd w:val="clear" w:color="auto" w:fill="EFF0F1"/>
          </w:tcPr>
          <w:p>
            <w:pPr>
              <w:jc w:val="right"/>
              <w:ind w:right="79"/>
              <w:spacing w:after="0"/>
              <w:rPr>
                <w:sz w:val="20"/>
                <w:szCs w:val="20"/>
                <w:color w:val="auto"/>
              </w:rPr>
            </w:pPr>
            <w:r>
              <w:rPr>
                <w:rFonts w:ascii="Arial" w:cs="Arial" w:eastAsia="Arial" w:hAnsi="Arial"/>
                <w:sz w:val="16"/>
                <w:szCs w:val="16"/>
                <w:color w:val="41516E"/>
              </w:rPr>
              <w:t>105,000</w:t>
            </w:r>
          </w:p>
        </w:tc>
        <w:tc>
          <w:tcPr>
            <w:tcW w:w="30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1100" w:type="dxa"/>
            <w:vAlign w:val="bottom"/>
            <w:shd w:val="clear" w:color="auto" w:fill="EFF0F1"/>
          </w:tcPr>
          <w:p>
            <w:pPr>
              <w:jc w:val="right"/>
              <w:ind w:right="79"/>
              <w:spacing w:after="0"/>
              <w:rPr>
                <w:sz w:val="20"/>
                <w:szCs w:val="20"/>
                <w:color w:val="auto"/>
              </w:rPr>
            </w:pPr>
            <w:r>
              <w:rPr>
                <w:rFonts w:ascii="Arial" w:cs="Arial" w:eastAsia="Arial" w:hAnsi="Arial"/>
                <w:sz w:val="16"/>
                <w:szCs w:val="16"/>
                <w:color w:val="41516E"/>
              </w:rPr>
              <w:t>65,101</w:t>
            </w:r>
          </w:p>
        </w:tc>
        <w:tc>
          <w:tcPr>
            <w:tcW w:w="380" w:type="dxa"/>
            <w:vAlign w:val="bottom"/>
            <w:shd w:val="clear" w:color="auto" w:fill="EFF0F1"/>
          </w:tcPr>
          <w:p>
            <w:pPr>
              <w:jc w:val="right"/>
              <w:ind w:right="39"/>
              <w:spacing w:after="0"/>
              <w:rPr>
                <w:sz w:val="20"/>
                <w:szCs w:val="20"/>
                <w:color w:val="auto"/>
              </w:rPr>
            </w:pPr>
            <w:r>
              <w:rPr>
                <w:rFonts w:ascii="Arial" w:cs="Arial" w:eastAsia="Arial" w:hAnsi="Arial"/>
                <w:sz w:val="16"/>
                <w:szCs w:val="16"/>
                <w:color w:val="41516E"/>
              </w:rPr>
              <w:t>$</w:t>
            </w:r>
          </w:p>
        </w:tc>
        <w:tc>
          <w:tcPr>
            <w:tcW w:w="1040" w:type="dxa"/>
            <w:vAlign w:val="bottom"/>
            <w:shd w:val="clear" w:color="auto" w:fill="EFF0F1"/>
          </w:tcPr>
          <w:p>
            <w:pPr>
              <w:jc w:val="right"/>
              <w:ind w:right="99"/>
              <w:spacing w:after="0"/>
              <w:rPr>
                <w:sz w:val="20"/>
                <w:szCs w:val="20"/>
                <w:color w:val="auto"/>
              </w:rPr>
            </w:pPr>
            <w:r>
              <w:rPr>
                <w:rFonts w:ascii="Arial" w:cs="Arial" w:eastAsia="Arial" w:hAnsi="Arial"/>
                <w:sz w:val="16"/>
                <w:szCs w:val="16"/>
                <w:color w:val="41516E"/>
              </w:rPr>
              <w:t>65,109</w:t>
            </w:r>
          </w:p>
        </w:tc>
        <w:tc>
          <w:tcPr>
            <w:tcW w:w="44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88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235,210</w:t>
            </w:r>
          </w:p>
        </w:tc>
      </w:tr>
      <w:tr>
        <w:trPr>
          <w:trHeight w:val="203"/>
        </w:trPr>
        <w:tc>
          <w:tcPr>
            <w:tcW w:w="3700" w:type="dxa"/>
            <w:vAlign w:val="bottom"/>
          </w:tcPr>
          <w:p>
            <w:pPr>
              <w:ind w:left="60"/>
              <w:spacing w:after="0"/>
              <w:rPr>
                <w:sz w:val="20"/>
                <w:szCs w:val="20"/>
                <w:color w:val="auto"/>
              </w:rPr>
            </w:pPr>
            <w:r>
              <w:rPr>
                <w:rFonts w:ascii="Arial" w:cs="Arial" w:eastAsia="Arial" w:hAnsi="Arial"/>
                <w:sz w:val="16"/>
                <w:szCs w:val="16"/>
                <w:color w:val="41516E"/>
              </w:rPr>
              <w:t>Julio N. Nemeth</w:t>
            </w:r>
          </w:p>
        </w:tc>
        <w:tc>
          <w:tcPr>
            <w:tcW w:w="2360" w:type="dxa"/>
            <w:vAlign w:val="bottom"/>
          </w:tcPr>
          <w:p>
            <w:pPr>
              <w:jc w:val="right"/>
              <w:ind w:right="19"/>
              <w:spacing w:after="0"/>
              <w:rPr>
                <w:sz w:val="20"/>
                <w:szCs w:val="20"/>
                <w:color w:val="auto"/>
              </w:rPr>
            </w:pPr>
            <w:r>
              <w:rPr>
                <w:rFonts w:ascii="Arial" w:cs="Arial" w:eastAsia="Arial" w:hAnsi="Arial"/>
                <w:sz w:val="16"/>
                <w:szCs w:val="16"/>
                <w:color w:val="41516E"/>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41516E"/>
              </w:rPr>
              <w:t>106,233</w:t>
            </w:r>
          </w:p>
        </w:tc>
        <w:tc>
          <w:tcPr>
            <w:tcW w:w="300" w:type="dxa"/>
            <w:vAlign w:val="bottom"/>
          </w:tcPr>
          <w:p>
            <w:pPr>
              <w:jc w:val="right"/>
              <w:spacing w:after="0"/>
              <w:rPr>
                <w:sz w:val="20"/>
                <w:szCs w:val="20"/>
                <w:color w:val="auto"/>
              </w:rPr>
            </w:pPr>
            <w:r>
              <w:rPr>
                <w:rFonts w:ascii="Arial" w:cs="Arial" w:eastAsia="Arial" w:hAnsi="Arial"/>
                <w:sz w:val="16"/>
                <w:szCs w:val="16"/>
                <w:color w:val="41516E"/>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41516E"/>
              </w:rPr>
              <w:t>65,101</w:t>
            </w:r>
          </w:p>
        </w:tc>
        <w:tc>
          <w:tcPr>
            <w:tcW w:w="380" w:type="dxa"/>
            <w:vAlign w:val="bottom"/>
          </w:tcPr>
          <w:p>
            <w:pPr>
              <w:jc w:val="right"/>
              <w:ind w:right="39"/>
              <w:spacing w:after="0"/>
              <w:rPr>
                <w:sz w:val="20"/>
                <w:szCs w:val="20"/>
                <w:color w:val="auto"/>
              </w:rPr>
            </w:pPr>
            <w:r>
              <w:rPr>
                <w:rFonts w:ascii="Arial" w:cs="Arial" w:eastAsia="Arial" w:hAnsi="Arial"/>
                <w:sz w:val="16"/>
                <w:szCs w:val="16"/>
                <w:color w:val="41516E"/>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41516E"/>
              </w:rPr>
              <w:t>65,109</w:t>
            </w:r>
          </w:p>
        </w:tc>
        <w:tc>
          <w:tcPr>
            <w:tcW w:w="440" w:type="dxa"/>
            <w:vAlign w:val="bottom"/>
          </w:tcPr>
          <w:p>
            <w:pPr>
              <w:jc w:val="right"/>
              <w:ind w:right="119"/>
              <w:spacing w:after="0"/>
              <w:rPr>
                <w:sz w:val="20"/>
                <w:szCs w:val="20"/>
                <w:color w:val="auto"/>
              </w:rPr>
            </w:pPr>
            <w:r>
              <w:rPr>
                <w:rFonts w:ascii="Arial" w:cs="Arial" w:eastAsia="Arial" w:hAnsi="Arial"/>
                <w:sz w:val="16"/>
                <w:szCs w:val="16"/>
                <w:color w:val="41516E"/>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41516E"/>
              </w:rPr>
              <w:t>236,443</w:t>
            </w:r>
          </w:p>
        </w:tc>
      </w:tr>
      <w:tr>
        <w:trPr>
          <w:trHeight w:val="203"/>
        </w:trPr>
        <w:tc>
          <w:tcPr>
            <w:tcW w:w="37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Michael Spillane</w:t>
            </w:r>
          </w:p>
        </w:tc>
        <w:tc>
          <w:tcPr>
            <w:tcW w:w="236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w:t>
            </w:r>
          </w:p>
        </w:tc>
        <w:tc>
          <w:tcPr>
            <w:tcW w:w="1040" w:type="dxa"/>
            <w:vAlign w:val="bottom"/>
            <w:shd w:val="clear" w:color="auto" w:fill="EFF0F1"/>
          </w:tcPr>
          <w:p>
            <w:pPr>
              <w:jc w:val="right"/>
              <w:ind w:right="79"/>
              <w:spacing w:after="0"/>
              <w:rPr>
                <w:sz w:val="20"/>
                <w:szCs w:val="20"/>
                <w:color w:val="auto"/>
              </w:rPr>
            </w:pPr>
            <w:r>
              <w:rPr>
                <w:rFonts w:ascii="Arial" w:cs="Arial" w:eastAsia="Arial" w:hAnsi="Arial"/>
                <w:sz w:val="16"/>
                <w:szCs w:val="16"/>
                <w:color w:val="41516E"/>
              </w:rPr>
              <w:t>115,000</w:t>
            </w:r>
          </w:p>
        </w:tc>
        <w:tc>
          <w:tcPr>
            <w:tcW w:w="30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1100" w:type="dxa"/>
            <w:vAlign w:val="bottom"/>
            <w:shd w:val="clear" w:color="auto" w:fill="EFF0F1"/>
          </w:tcPr>
          <w:p>
            <w:pPr>
              <w:jc w:val="right"/>
              <w:ind w:right="79"/>
              <w:spacing w:after="0"/>
              <w:rPr>
                <w:sz w:val="20"/>
                <w:szCs w:val="20"/>
                <w:color w:val="auto"/>
              </w:rPr>
            </w:pPr>
            <w:r>
              <w:rPr>
                <w:rFonts w:ascii="Arial" w:cs="Arial" w:eastAsia="Arial" w:hAnsi="Arial"/>
                <w:sz w:val="16"/>
                <w:szCs w:val="16"/>
                <w:color w:val="41516E"/>
              </w:rPr>
              <w:t>65,101</w:t>
            </w:r>
          </w:p>
        </w:tc>
        <w:tc>
          <w:tcPr>
            <w:tcW w:w="380" w:type="dxa"/>
            <w:vAlign w:val="bottom"/>
            <w:shd w:val="clear" w:color="auto" w:fill="EFF0F1"/>
          </w:tcPr>
          <w:p>
            <w:pPr>
              <w:jc w:val="right"/>
              <w:ind w:right="39"/>
              <w:spacing w:after="0"/>
              <w:rPr>
                <w:sz w:val="20"/>
                <w:szCs w:val="20"/>
                <w:color w:val="auto"/>
              </w:rPr>
            </w:pPr>
            <w:r>
              <w:rPr>
                <w:rFonts w:ascii="Arial" w:cs="Arial" w:eastAsia="Arial" w:hAnsi="Arial"/>
                <w:sz w:val="16"/>
                <w:szCs w:val="16"/>
                <w:color w:val="41516E"/>
              </w:rPr>
              <w:t>$</w:t>
            </w:r>
          </w:p>
        </w:tc>
        <w:tc>
          <w:tcPr>
            <w:tcW w:w="1040" w:type="dxa"/>
            <w:vAlign w:val="bottom"/>
            <w:shd w:val="clear" w:color="auto" w:fill="EFF0F1"/>
          </w:tcPr>
          <w:p>
            <w:pPr>
              <w:jc w:val="right"/>
              <w:ind w:right="99"/>
              <w:spacing w:after="0"/>
              <w:rPr>
                <w:sz w:val="20"/>
                <w:szCs w:val="20"/>
                <w:color w:val="auto"/>
              </w:rPr>
            </w:pPr>
            <w:r>
              <w:rPr>
                <w:rFonts w:ascii="Arial" w:cs="Arial" w:eastAsia="Arial" w:hAnsi="Arial"/>
                <w:sz w:val="16"/>
                <w:szCs w:val="16"/>
                <w:color w:val="41516E"/>
              </w:rPr>
              <w:t>65,109</w:t>
            </w:r>
          </w:p>
        </w:tc>
        <w:tc>
          <w:tcPr>
            <w:tcW w:w="44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88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245,210</w:t>
            </w:r>
          </w:p>
        </w:tc>
      </w:tr>
      <w:tr>
        <w:trPr>
          <w:trHeight w:val="203"/>
        </w:trPr>
        <w:tc>
          <w:tcPr>
            <w:tcW w:w="3700" w:type="dxa"/>
            <w:vAlign w:val="bottom"/>
          </w:tcPr>
          <w:p>
            <w:pPr>
              <w:ind w:left="60"/>
              <w:spacing w:after="0"/>
              <w:rPr>
                <w:sz w:val="20"/>
                <w:szCs w:val="20"/>
                <w:color w:val="auto"/>
              </w:rPr>
            </w:pPr>
            <w:r>
              <w:rPr>
                <w:rFonts w:ascii="Arial" w:cs="Arial" w:eastAsia="Arial" w:hAnsi="Arial"/>
                <w:sz w:val="16"/>
                <w:szCs w:val="16"/>
                <w:color w:val="41516E"/>
              </w:rPr>
              <w:t>Cynthia L. Swanson</w:t>
            </w:r>
          </w:p>
        </w:tc>
        <w:tc>
          <w:tcPr>
            <w:tcW w:w="2360" w:type="dxa"/>
            <w:vAlign w:val="bottom"/>
          </w:tcPr>
          <w:p>
            <w:pPr>
              <w:jc w:val="right"/>
              <w:ind w:right="19"/>
              <w:spacing w:after="0"/>
              <w:rPr>
                <w:sz w:val="20"/>
                <w:szCs w:val="20"/>
                <w:color w:val="auto"/>
              </w:rPr>
            </w:pPr>
            <w:r>
              <w:rPr>
                <w:rFonts w:ascii="Arial" w:cs="Arial" w:eastAsia="Arial" w:hAnsi="Arial"/>
                <w:sz w:val="16"/>
                <w:szCs w:val="16"/>
                <w:color w:val="41516E"/>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41516E"/>
              </w:rPr>
              <w:t>95,000</w:t>
            </w:r>
          </w:p>
        </w:tc>
        <w:tc>
          <w:tcPr>
            <w:tcW w:w="300" w:type="dxa"/>
            <w:vAlign w:val="bottom"/>
          </w:tcPr>
          <w:p>
            <w:pPr>
              <w:jc w:val="right"/>
              <w:spacing w:after="0"/>
              <w:rPr>
                <w:sz w:val="20"/>
                <w:szCs w:val="20"/>
                <w:color w:val="auto"/>
              </w:rPr>
            </w:pPr>
            <w:r>
              <w:rPr>
                <w:rFonts w:ascii="Arial" w:cs="Arial" w:eastAsia="Arial" w:hAnsi="Arial"/>
                <w:sz w:val="16"/>
                <w:szCs w:val="16"/>
                <w:color w:val="41516E"/>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41516E"/>
              </w:rPr>
              <w:t>130,034</w:t>
            </w:r>
          </w:p>
        </w:tc>
        <w:tc>
          <w:tcPr>
            <w:tcW w:w="380" w:type="dxa"/>
            <w:vAlign w:val="bottom"/>
          </w:tcPr>
          <w:p>
            <w:pPr>
              <w:jc w:val="right"/>
              <w:ind w:right="39"/>
              <w:spacing w:after="0"/>
              <w:rPr>
                <w:sz w:val="20"/>
                <w:szCs w:val="20"/>
                <w:color w:val="auto"/>
              </w:rPr>
            </w:pPr>
            <w:r>
              <w:rPr>
                <w:rFonts w:ascii="Arial" w:cs="Arial" w:eastAsia="Arial" w:hAnsi="Arial"/>
                <w:sz w:val="16"/>
                <w:szCs w:val="16"/>
                <w:color w:val="41516E"/>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41516E"/>
              </w:rPr>
              <w:t>130,162</w:t>
            </w:r>
          </w:p>
        </w:tc>
        <w:tc>
          <w:tcPr>
            <w:tcW w:w="440" w:type="dxa"/>
            <w:vAlign w:val="bottom"/>
          </w:tcPr>
          <w:p>
            <w:pPr>
              <w:jc w:val="right"/>
              <w:ind w:right="119"/>
              <w:spacing w:after="0"/>
              <w:rPr>
                <w:sz w:val="20"/>
                <w:szCs w:val="20"/>
                <w:color w:val="auto"/>
              </w:rPr>
            </w:pPr>
            <w:r>
              <w:rPr>
                <w:rFonts w:ascii="Arial" w:cs="Arial" w:eastAsia="Arial" w:hAnsi="Arial"/>
                <w:sz w:val="16"/>
                <w:szCs w:val="16"/>
                <w:color w:val="41516E"/>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41516E"/>
              </w:rPr>
              <w:t>355,196</w:t>
            </w:r>
          </w:p>
        </w:tc>
      </w:tr>
      <w:tr>
        <w:trPr>
          <w:trHeight w:val="203"/>
        </w:trPr>
        <w:tc>
          <w:tcPr>
            <w:tcW w:w="37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Jean-Michel Valette</w:t>
            </w:r>
          </w:p>
        </w:tc>
        <w:tc>
          <w:tcPr>
            <w:tcW w:w="236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w:t>
            </w:r>
          </w:p>
        </w:tc>
        <w:tc>
          <w:tcPr>
            <w:tcW w:w="1040" w:type="dxa"/>
            <w:vAlign w:val="bottom"/>
            <w:shd w:val="clear" w:color="auto" w:fill="EFF0F1"/>
          </w:tcPr>
          <w:p>
            <w:pPr>
              <w:jc w:val="right"/>
              <w:ind w:right="79"/>
              <w:spacing w:after="0"/>
              <w:rPr>
                <w:sz w:val="20"/>
                <w:szCs w:val="20"/>
                <w:color w:val="auto"/>
              </w:rPr>
            </w:pPr>
            <w:r>
              <w:rPr>
                <w:rFonts w:ascii="Arial" w:cs="Arial" w:eastAsia="Arial" w:hAnsi="Arial"/>
                <w:sz w:val="16"/>
                <w:szCs w:val="16"/>
                <w:color w:val="41516E"/>
              </w:rPr>
              <w:t>106,233</w:t>
            </w:r>
          </w:p>
        </w:tc>
        <w:tc>
          <w:tcPr>
            <w:tcW w:w="30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1100" w:type="dxa"/>
            <w:vAlign w:val="bottom"/>
            <w:shd w:val="clear" w:color="auto" w:fill="EFF0F1"/>
          </w:tcPr>
          <w:p>
            <w:pPr>
              <w:jc w:val="right"/>
              <w:ind w:right="79"/>
              <w:spacing w:after="0"/>
              <w:rPr>
                <w:sz w:val="20"/>
                <w:szCs w:val="20"/>
                <w:color w:val="auto"/>
              </w:rPr>
            </w:pPr>
            <w:r>
              <w:rPr>
                <w:rFonts w:ascii="Arial" w:cs="Arial" w:eastAsia="Arial" w:hAnsi="Arial"/>
                <w:sz w:val="16"/>
                <w:szCs w:val="16"/>
                <w:color w:val="41516E"/>
              </w:rPr>
              <w:t>65,101</w:t>
            </w:r>
          </w:p>
        </w:tc>
        <w:tc>
          <w:tcPr>
            <w:tcW w:w="380" w:type="dxa"/>
            <w:vAlign w:val="bottom"/>
            <w:shd w:val="clear" w:color="auto" w:fill="EFF0F1"/>
          </w:tcPr>
          <w:p>
            <w:pPr>
              <w:jc w:val="right"/>
              <w:ind w:right="39"/>
              <w:spacing w:after="0"/>
              <w:rPr>
                <w:sz w:val="20"/>
                <w:szCs w:val="20"/>
                <w:color w:val="auto"/>
              </w:rPr>
            </w:pPr>
            <w:r>
              <w:rPr>
                <w:rFonts w:ascii="Arial" w:cs="Arial" w:eastAsia="Arial" w:hAnsi="Arial"/>
                <w:sz w:val="16"/>
                <w:szCs w:val="16"/>
                <w:color w:val="41516E"/>
              </w:rPr>
              <w:t>$</w:t>
            </w:r>
          </w:p>
        </w:tc>
        <w:tc>
          <w:tcPr>
            <w:tcW w:w="1040" w:type="dxa"/>
            <w:vAlign w:val="bottom"/>
            <w:shd w:val="clear" w:color="auto" w:fill="EFF0F1"/>
          </w:tcPr>
          <w:p>
            <w:pPr>
              <w:jc w:val="right"/>
              <w:ind w:right="99"/>
              <w:spacing w:after="0"/>
              <w:rPr>
                <w:sz w:val="20"/>
                <w:szCs w:val="20"/>
                <w:color w:val="auto"/>
              </w:rPr>
            </w:pPr>
            <w:r>
              <w:rPr>
                <w:rFonts w:ascii="Arial" w:cs="Arial" w:eastAsia="Arial" w:hAnsi="Arial"/>
                <w:sz w:val="16"/>
                <w:szCs w:val="16"/>
                <w:color w:val="41516E"/>
              </w:rPr>
              <w:t>65,109</w:t>
            </w:r>
          </w:p>
        </w:tc>
        <w:tc>
          <w:tcPr>
            <w:tcW w:w="44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88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236,443</w:t>
            </w:r>
          </w:p>
        </w:tc>
      </w:tr>
      <w:tr>
        <w:trPr>
          <w:trHeight w:val="229"/>
        </w:trPr>
        <w:tc>
          <w:tcPr>
            <w:tcW w:w="3700" w:type="dxa"/>
            <w:vAlign w:val="bottom"/>
            <w:tcBorders>
              <w:bottom w:val="single" w:sz="8" w:color="41516E"/>
            </w:tcBorders>
          </w:tcPr>
          <w:p>
            <w:pPr>
              <w:ind w:left="60"/>
              <w:spacing w:after="0" w:line="230" w:lineRule="exact"/>
              <w:rPr>
                <w:sz w:val="20"/>
                <w:szCs w:val="20"/>
                <w:color w:val="auto"/>
              </w:rPr>
            </w:pPr>
            <w:r>
              <w:rPr>
                <w:rFonts w:ascii="Arial" w:cs="Arial" w:eastAsia="Arial" w:hAnsi="Arial"/>
                <w:sz w:val="16"/>
                <w:szCs w:val="16"/>
                <w:color w:val="41516E"/>
              </w:rPr>
              <w:t>Michael M. Lynton</w:t>
            </w:r>
            <w:r>
              <w:rPr>
                <w:rFonts w:ascii="Arial" w:cs="Arial" w:eastAsia="Arial" w:hAnsi="Arial"/>
                <w:sz w:val="26"/>
                <w:szCs w:val="26"/>
                <w:color w:val="41516E"/>
                <w:vertAlign w:val="superscript"/>
              </w:rPr>
              <w:t>(4)</w:t>
            </w:r>
          </w:p>
        </w:tc>
        <w:tc>
          <w:tcPr>
            <w:tcW w:w="2360" w:type="dxa"/>
            <w:vAlign w:val="bottom"/>
            <w:tcBorders>
              <w:bottom w:val="single" w:sz="8" w:color="41516E"/>
            </w:tcBorders>
          </w:tcPr>
          <w:p>
            <w:pPr>
              <w:jc w:val="right"/>
              <w:ind w:right="19"/>
              <w:spacing w:after="0"/>
              <w:rPr>
                <w:sz w:val="20"/>
                <w:szCs w:val="20"/>
                <w:color w:val="auto"/>
              </w:rPr>
            </w:pPr>
            <w:r>
              <w:rPr>
                <w:rFonts w:ascii="Arial" w:cs="Arial" w:eastAsia="Arial" w:hAnsi="Arial"/>
                <w:sz w:val="16"/>
                <w:szCs w:val="16"/>
                <w:color w:val="41516E"/>
              </w:rPr>
              <w:t>$</w:t>
            </w:r>
          </w:p>
        </w:tc>
        <w:tc>
          <w:tcPr>
            <w:tcW w:w="1040" w:type="dxa"/>
            <w:vAlign w:val="bottom"/>
            <w:tcBorders>
              <w:bottom w:val="single" w:sz="8" w:color="41516E"/>
            </w:tcBorders>
          </w:tcPr>
          <w:p>
            <w:pPr>
              <w:jc w:val="right"/>
              <w:ind w:right="79"/>
              <w:spacing w:after="0"/>
              <w:rPr>
                <w:sz w:val="20"/>
                <w:szCs w:val="20"/>
                <w:color w:val="auto"/>
              </w:rPr>
            </w:pPr>
            <w:r>
              <w:rPr>
                <w:rFonts w:ascii="Arial" w:cs="Arial" w:eastAsia="Arial" w:hAnsi="Arial"/>
                <w:sz w:val="16"/>
                <w:szCs w:val="16"/>
                <w:color w:val="41516E"/>
              </w:rPr>
              <w:t>0</w:t>
            </w:r>
          </w:p>
        </w:tc>
        <w:tc>
          <w:tcPr>
            <w:tcW w:w="300" w:type="dxa"/>
            <w:vAlign w:val="bottom"/>
            <w:tcBorders>
              <w:bottom w:val="single" w:sz="8" w:color="41516E"/>
            </w:tcBorders>
          </w:tcPr>
          <w:p>
            <w:pPr>
              <w:jc w:val="right"/>
              <w:spacing w:after="0"/>
              <w:rPr>
                <w:sz w:val="20"/>
                <w:szCs w:val="20"/>
                <w:color w:val="auto"/>
              </w:rPr>
            </w:pPr>
            <w:r>
              <w:rPr>
                <w:rFonts w:ascii="Arial" w:cs="Arial" w:eastAsia="Arial" w:hAnsi="Arial"/>
                <w:sz w:val="16"/>
                <w:szCs w:val="16"/>
                <w:color w:val="41516E"/>
              </w:rPr>
              <w:t>$</w:t>
            </w:r>
          </w:p>
        </w:tc>
        <w:tc>
          <w:tcPr>
            <w:tcW w:w="1100" w:type="dxa"/>
            <w:vAlign w:val="bottom"/>
            <w:tcBorders>
              <w:bottom w:val="single" w:sz="8" w:color="41516E"/>
            </w:tcBorders>
          </w:tcPr>
          <w:p>
            <w:pPr>
              <w:jc w:val="right"/>
              <w:ind w:right="79"/>
              <w:spacing w:after="0"/>
              <w:rPr>
                <w:sz w:val="20"/>
                <w:szCs w:val="20"/>
                <w:color w:val="auto"/>
              </w:rPr>
            </w:pPr>
            <w:r>
              <w:rPr>
                <w:rFonts w:ascii="Arial" w:cs="Arial" w:eastAsia="Arial" w:hAnsi="Arial"/>
                <w:sz w:val="16"/>
                <w:szCs w:val="16"/>
                <w:color w:val="41516E"/>
              </w:rPr>
              <w:t>0</w:t>
            </w:r>
          </w:p>
        </w:tc>
        <w:tc>
          <w:tcPr>
            <w:tcW w:w="380" w:type="dxa"/>
            <w:vAlign w:val="bottom"/>
            <w:tcBorders>
              <w:bottom w:val="single" w:sz="8" w:color="41516E"/>
            </w:tcBorders>
          </w:tcPr>
          <w:p>
            <w:pPr>
              <w:jc w:val="right"/>
              <w:ind w:right="39"/>
              <w:spacing w:after="0"/>
              <w:rPr>
                <w:sz w:val="20"/>
                <w:szCs w:val="20"/>
                <w:color w:val="auto"/>
              </w:rPr>
            </w:pPr>
            <w:r>
              <w:rPr>
                <w:rFonts w:ascii="Arial" w:cs="Arial" w:eastAsia="Arial" w:hAnsi="Arial"/>
                <w:sz w:val="16"/>
                <w:szCs w:val="16"/>
                <w:color w:val="41516E"/>
              </w:rPr>
              <w:t>$</w:t>
            </w:r>
          </w:p>
        </w:tc>
        <w:tc>
          <w:tcPr>
            <w:tcW w:w="1040" w:type="dxa"/>
            <w:vAlign w:val="bottom"/>
            <w:tcBorders>
              <w:bottom w:val="single" w:sz="8" w:color="41516E"/>
            </w:tcBorders>
          </w:tcPr>
          <w:p>
            <w:pPr>
              <w:jc w:val="right"/>
              <w:ind w:right="99"/>
              <w:spacing w:after="0"/>
              <w:rPr>
                <w:sz w:val="20"/>
                <w:szCs w:val="20"/>
                <w:color w:val="auto"/>
              </w:rPr>
            </w:pPr>
            <w:r>
              <w:rPr>
                <w:rFonts w:ascii="Arial" w:cs="Arial" w:eastAsia="Arial" w:hAnsi="Arial"/>
                <w:sz w:val="16"/>
                <w:szCs w:val="16"/>
                <w:color w:val="41516E"/>
              </w:rPr>
              <w:t>0</w:t>
            </w:r>
          </w:p>
        </w:tc>
        <w:tc>
          <w:tcPr>
            <w:tcW w:w="440" w:type="dxa"/>
            <w:vAlign w:val="bottom"/>
            <w:tcBorders>
              <w:bottom w:val="single" w:sz="8" w:color="41516E"/>
            </w:tcBorders>
          </w:tcPr>
          <w:p>
            <w:pPr>
              <w:jc w:val="right"/>
              <w:ind w:right="119"/>
              <w:spacing w:after="0"/>
              <w:rPr>
                <w:sz w:val="20"/>
                <w:szCs w:val="20"/>
                <w:color w:val="auto"/>
              </w:rPr>
            </w:pPr>
            <w:r>
              <w:rPr>
                <w:rFonts w:ascii="Arial" w:cs="Arial" w:eastAsia="Arial" w:hAnsi="Arial"/>
                <w:sz w:val="16"/>
                <w:szCs w:val="16"/>
                <w:color w:val="41516E"/>
              </w:rPr>
              <w:t>$</w:t>
            </w:r>
          </w:p>
        </w:tc>
        <w:tc>
          <w:tcPr>
            <w:tcW w:w="880" w:type="dxa"/>
            <w:vAlign w:val="bottom"/>
            <w:tcBorders>
              <w:bottom w:val="single" w:sz="8" w:color="41516E"/>
            </w:tcBorders>
          </w:tcPr>
          <w:p>
            <w:pPr>
              <w:jc w:val="right"/>
              <w:ind w:right="19"/>
              <w:spacing w:after="0"/>
              <w:rPr>
                <w:sz w:val="20"/>
                <w:szCs w:val="20"/>
                <w:color w:val="auto"/>
              </w:rPr>
            </w:pPr>
            <w:r>
              <w:rPr>
                <w:rFonts w:ascii="Arial" w:cs="Arial" w:eastAsia="Arial" w:hAnsi="Arial"/>
                <w:sz w:val="16"/>
                <w:szCs w:val="16"/>
                <w:color w:val="41516E"/>
              </w:rPr>
              <w:t>0</w:t>
            </w:r>
          </w:p>
        </w:tc>
      </w:tr>
    </w:tbl>
    <w:p>
      <w:pPr>
        <w:spacing w:after="0" w:line="47" w:lineRule="exact"/>
        <w:rPr>
          <w:sz w:val="20"/>
          <w:szCs w:val="20"/>
          <w:color w:val="auto"/>
        </w:rPr>
      </w:pPr>
    </w:p>
    <w:p>
      <w:pPr>
        <w:jc w:val="both"/>
        <w:ind w:left="340" w:right="20" w:hanging="332"/>
        <w:spacing w:after="0" w:line="261" w:lineRule="auto"/>
        <w:tabs>
          <w:tab w:leader="none" w:pos="340" w:val="left"/>
        </w:tabs>
        <w:numPr>
          <w:ilvl w:val="0"/>
          <w:numId w:val="9"/>
        </w:numPr>
        <w:rPr>
          <w:rFonts w:ascii="Arial" w:cs="Arial" w:eastAsia="Arial" w:hAnsi="Arial"/>
          <w:sz w:val="14"/>
          <w:szCs w:val="14"/>
          <w:i w:val="1"/>
          <w:iCs w:val="1"/>
          <w:color w:val="41516E"/>
        </w:rPr>
      </w:pPr>
      <w:r>
        <w:rPr>
          <w:rFonts w:ascii="Arial" w:cs="Arial" w:eastAsia="Arial" w:hAnsi="Arial"/>
          <w:sz w:val="14"/>
          <w:szCs w:val="14"/>
          <w:i w:val="1"/>
          <w:iCs w:val="1"/>
          <w:color w:val="41516E"/>
        </w:rPr>
        <w:t xml:space="preserve">Reflects the dollar amount of the aggregate grant date fair value of awards granted during Fiscal Year 2023, as computed in accordance with Accounting Standards Codification 718, </w:t>
      </w:r>
      <w:r>
        <w:rPr>
          <w:rFonts w:ascii="Arial" w:cs="Arial" w:eastAsia="Arial" w:hAnsi="Arial"/>
          <w:sz w:val="14"/>
          <w:szCs w:val="14"/>
          <w:color w:val="41516E"/>
        </w:rPr>
        <w:t>Compensation-Stock Compensation</w:t>
      </w:r>
      <w:r>
        <w:rPr>
          <w:rFonts w:ascii="Arial" w:cs="Arial" w:eastAsia="Arial" w:hAnsi="Arial"/>
          <w:sz w:val="14"/>
          <w:szCs w:val="14"/>
          <w:i w:val="1"/>
          <w:iCs w:val="1"/>
          <w:color w:val="41516E"/>
        </w:rPr>
        <w:t xml:space="preserve"> (“ASC 718”). The methods and assumptions used in valuing the stock option awards in accordance with ASC 718 are described in the audited financial statements for Fiscal Year 2023 included in Boston Beer’s Annual Report on Form 10-K filed with the SEC on February 27, 2024.</w:t>
      </w:r>
    </w:p>
    <w:p>
      <w:pPr>
        <w:spacing w:after="0" w:line="14" w:lineRule="exact"/>
        <w:rPr>
          <w:rFonts w:ascii="Arial" w:cs="Arial" w:eastAsia="Arial" w:hAnsi="Arial"/>
          <w:sz w:val="14"/>
          <w:szCs w:val="14"/>
          <w:i w:val="1"/>
          <w:iCs w:val="1"/>
          <w:color w:val="41516E"/>
        </w:rPr>
      </w:pPr>
    </w:p>
    <w:p>
      <w:pPr>
        <w:jc w:val="both"/>
        <w:ind w:left="340" w:hanging="332"/>
        <w:spacing w:after="0" w:line="251" w:lineRule="auto"/>
        <w:tabs>
          <w:tab w:leader="none" w:pos="340" w:val="left"/>
        </w:tabs>
        <w:numPr>
          <w:ilvl w:val="0"/>
          <w:numId w:val="9"/>
        </w:numPr>
        <w:rPr>
          <w:rFonts w:ascii="Arial" w:cs="Arial" w:eastAsia="Arial" w:hAnsi="Arial"/>
          <w:sz w:val="14"/>
          <w:szCs w:val="14"/>
          <w:i w:val="1"/>
          <w:iCs w:val="1"/>
          <w:color w:val="41516E"/>
        </w:rPr>
      </w:pPr>
      <w:r>
        <w:rPr>
          <w:rFonts w:ascii="Arial" w:cs="Arial" w:eastAsia="Arial" w:hAnsi="Arial"/>
          <w:sz w:val="14"/>
          <w:szCs w:val="14"/>
          <w:i w:val="1"/>
          <w:iCs w:val="1"/>
          <w:color w:val="41516E"/>
        </w:rPr>
        <w:t>On May 17, 2023, upon election to the Board of Directors, each Non-Employee Director elected to the Board at that time was granted an option under the Director Equity Plan to purchase 417 Class A Shares at an exercise price of $319.16, the closing price on the last trading day before the grant date. On July 3, 2023, upon her appointment to the Board of Directors, Ms. Swanson was granted an option under the Director Equity Plan to purchase 856 Class A Shares at an exercise price of $308.44, the closing price on the last trading day before the grant date. All options are fully vested as of the grant date. As of the end of the 2023 Fiscal Year, the aggregate number of shares subject to unexercised stock options held by Non-Employee Directors is shown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300" w:type="dxa"/>
            <w:vAlign w:val="bottom"/>
          </w:tcPr>
          <w:p>
            <w:pPr>
              <w:jc w:val="right"/>
              <w:spacing w:after="0"/>
              <w:rPr>
                <w:sz w:val="20"/>
                <w:szCs w:val="20"/>
                <w:color w:val="auto"/>
              </w:rPr>
            </w:pPr>
            <w:r>
              <w:rPr>
                <w:rFonts w:ascii="Arial" w:cs="Arial" w:eastAsia="Arial" w:hAnsi="Arial"/>
                <w:sz w:val="14"/>
                <w:szCs w:val="14"/>
                <w:b w:val="1"/>
                <w:bCs w:val="1"/>
                <w:color w:val="41516E"/>
              </w:rPr>
              <w:t>Number of</w:t>
            </w:r>
          </w:p>
        </w:tc>
      </w:tr>
      <w:tr>
        <w:trPr>
          <w:trHeight w:val="171"/>
        </w:trPr>
        <w:tc>
          <w:tcPr>
            <w:tcW w:w="340" w:type="dxa"/>
            <w:vAlign w:val="bottom"/>
          </w:tcPr>
          <w:p>
            <w:pPr>
              <w:spacing w:after="0"/>
              <w:rPr>
                <w:sz w:val="14"/>
                <w:szCs w:val="14"/>
                <w:color w:val="auto"/>
              </w:rPr>
            </w:pPr>
          </w:p>
        </w:tc>
        <w:tc>
          <w:tcPr>
            <w:tcW w:w="5600" w:type="dxa"/>
            <w:vAlign w:val="bottom"/>
            <w:tcBorders>
              <w:bottom w:val="single" w:sz="8" w:color="41516E"/>
            </w:tcBorders>
          </w:tcPr>
          <w:p>
            <w:pPr>
              <w:ind w:left="40"/>
              <w:spacing w:after="0"/>
              <w:rPr>
                <w:sz w:val="20"/>
                <w:szCs w:val="20"/>
                <w:color w:val="auto"/>
              </w:rPr>
            </w:pPr>
            <w:r>
              <w:rPr>
                <w:rFonts w:ascii="Arial" w:cs="Arial" w:eastAsia="Arial" w:hAnsi="Arial"/>
                <w:sz w:val="14"/>
                <w:szCs w:val="14"/>
                <w:b w:val="1"/>
                <w:bCs w:val="1"/>
                <w:color w:val="41516E"/>
              </w:rPr>
              <w:t>Name</w:t>
            </w:r>
          </w:p>
        </w:tc>
        <w:tc>
          <w:tcPr>
            <w:tcW w:w="5300" w:type="dxa"/>
            <w:vAlign w:val="bottom"/>
            <w:tcBorders>
              <w:bottom w:val="single" w:sz="8" w:color="41516E"/>
            </w:tcBorders>
          </w:tcPr>
          <w:p>
            <w:pPr>
              <w:jc w:val="right"/>
              <w:spacing w:after="0"/>
              <w:rPr>
                <w:sz w:val="20"/>
                <w:szCs w:val="20"/>
                <w:color w:val="auto"/>
              </w:rPr>
            </w:pPr>
            <w:r>
              <w:rPr>
                <w:rFonts w:ascii="Arial" w:cs="Arial" w:eastAsia="Arial" w:hAnsi="Arial"/>
                <w:sz w:val="14"/>
                <w:szCs w:val="14"/>
                <w:b w:val="1"/>
                <w:bCs w:val="1"/>
                <w:color w:val="41516E"/>
              </w:rPr>
              <w:t>Option Shares</w:t>
            </w:r>
          </w:p>
        </w:tc>
      </w:tr>
      <w:tr>
        <w:trPr>
          <w:trHeight w:val="196"/>
        </w:trPr>
        <w:tc>
          <w:tcPr>
            <w:tcW w:w="340" w:type="dxa"/>
            <w:vAlign w:val="bottom"/>
          </w:tcPr>
          <w:p>
            <w:pPr>
              <w:spacing w:after="0"/>
              <w:rPr>
                <w:sz w:val="17"/>
                <w:szCs w:val="17"/>
                <w:color w:val="auto"/>
              </w:rPr>
            </w:pPr>
          </w:p>
        </w:tc>
        <w:tc>
          <w:tcPr>
            <w:tcW w:w="5600" w:type="dxa"/>
            <w:vAlign w:val="bottom"/>
          </w:tcPr>
          <w:p>
            <w:pPr>
              <w:ind w:left="40"/>
              <w:spacing w:after="0"/>
              <w:rPr>
                <w:sz w:val="20"/>
                <w:szCs w:val="20"/>
                <w:color w:val="auto"/>
              </w:rPr>
            </w:pPr>
            <w:r>
              <w:rPr>
                <w:rFonts w:ascii="Arial" w:cs="Arial" w:eastAsia="Arial" w:hAnsi="Arial"/>
                <w:sz w:val="14"/>
                <w:szCs w:val="14"/>
                <w:color w:val="41516E"/>
              </w:rPr>
              <w:t>Cynthia A. Fisher</w:t>
            </w:r>
          </w:p>
        </w:tc>
        <w:tc>
          <w:tcPr>
            <w:tcW w:w="5300" w:type="dxa"/>
            <w:vAlign w:val="bottom"/>
          </w:tcPr>
          <w:p>
            <w:pPr>
              <w:jc w:val="right"/>
              <w:spacing w:after="0"/>
              <w:rPr>
                <w:sz w:val="20"/>
                <w:szCs w:val="20"/>
                <w:color w:val="auto"/>
              </w:rPr>
            </w:pPr>
            <w:r>
              <w:rPr>
                <w:rFonts w:ascii="Arial" w:cs="Arial" w:eastAsia="Arial" w:hAnsi="Arial"/>
                <w:sz w:val="14"/>
                <w:szCs w:val="14"/>
                <w:color w:val="41516E"/>
              </w:rPr>
              <w:t>8,287</w:t>
            </w:r>
          </w:p>
        </w:tc>
      </w:tr>
      <w:tr>
        <w:trPr>
          <w:trHeight w:val="202"/>
        </w:trPr>
        <w:tc>
          <w:tcPr>
            <w:tcW w:w="340" w:type="dxa"/>
            <w:vAlign w:val="bottom"/>
            <w:shd w:val="clear" w:color="auto" w:fill="EFF0F1"/>
          </w:tcPr>
          <w:p>
            <w:pPr>
              <w:spacing w:after="0"/>
              <w:rPr>
                <w:sz w:val="17"/>
                <w:szCs w:val="17"/>
                <w:color w:val="auto"/>
              </w:rPr>
            </w:pPr>
          </w:p>
        </w:tc>
        <w:tc>
          <w:tcPr>
            <w:tcW w:w="5600" w:type="dxa"/>
            <w:vAlign w:val="bottom"/>
            <w:shd w:val="clear" w:color="auto" w:fill="EFF0F1"/>
          </w:tcPr>
          <w:p>
            <w:pPr>
              <w:ind w:left="40"/>
              <w:spacing w:after="0"/>
              <w:rPr>
                <w:sz w:val="20"/>
                <w:szCs w:val="20"/>
                <w:color w:val="auto"/>
              </w:rPr>
            </w:pPr>
            <w:r>
              <w:rPr>
                <w:rFonts w:ascii="Arial" w:cs="Arial" w:eastAsia="Arial" w:hAnsi="Arial"/>
                <w:sz w:val="14"/>
                <w:szCs w:val="14"/>
                <w:color w:val="41516E"/>
              </w:rPr>
              <w:t>Meghan V. Joyce</w:t>
            </w:r>
          </w:p>
        </w:tc>
        <w:tc>
          <w:tcPr>
            <w:tcW w:w="530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3,917</w:t>
            </w:r>
          </w:p>
        </w:tc>
      </w:tr>
      <w:tr>
        <w:trPr>
          <w:trHeight w:val="203"/>
        </w:trPr>
        <w:tc>
          <w:tcPr>
            <w:tcW w:w="340" w:type="dxa"/>
            <w:vAlign w:val="bottom"/>
          </w:tcPr>
          <w:p>
            <w:pPr>
              <w:spacing w:after="0"/>
              <w:rPr>
                <w:sz w:val="17"/>
                <w:szCs w:val="17"/>
                <w:color w:val="auto"/>
              </w:rPr>
            </w:pPr>
          </w:p>
        </w:tc>
        <w:tc>
          <w:tcPr>
            <w:tcW w:w="5600" w:type="dxa"/>
            <w:vAlign w:val="bottom"/>
          </w:tcPr>
          <w:p>
            <w:pPr>
              <w:ind w:left="40"/>
              <w:spacing w:after="0"/>
              <w:rPr>
                <w:sz w:val="20"/>
                <w:szCs w:val="20"/>
                <w:color w:val="auto"/>
              </w:rPr>
            </w:pPr>
            <w:r>
              <w:rPr>
                <w:rFonts w:ascii="Arial" w:cs="Arial" w:eastAsia="Arial" w:hAnsi="Arial"/>
                <w:sz w:val="14"/>
                <w:szCs w:val="14"/>
                <w:color w:val="41516E"/>
              </w:rPr>
              <w:t>Julio N. Nemeth</w:t>
            </w:r>
          </w:p>
        </w:tc>
        <w:tc>
          <w:tcPr>
            <w:tcW w:w="5300" w:type="dxa"/>
            <w:vAlign w:val="bottom"/>
          </w:tcPr>
          <w:p>
            <w:pPr>
              <w:jc w:val="right"/>
              <w:spacing w:after="0"/>
              <w:rPr>
                <w:sz w:val="20"/>
                <w:szCs w:val="20"/>
                <w:color w:val="auto"/>
              </w:rPr>
            </w:pPr>
            <w:r>
              <w:rPr>
                <w:rFonts w:ascii="Arial" w:cs="Arial" w:eastAsia="Arial" w:hAnsi="Arial"/>
                <w:sz w:val="14"/>
                <w:szCs w:val="14"/>
                <w:color w:val="41516E"/>
              </w:rPr>
              <w:t>2,847</w:t>
            </w:r>
          </w:p>
        </w:tc>
      </w:tr>
      <w:tr>
        <w:trPr>
          <w:trHeight w:val="203"/>
        </w:trPr>
        <w:tc>
          <w:tcPr>
            <w:tcW w:w="340" w:type="dxa"/>
            <w:vAlign w:val="bottom"/>
            <w:shd w:val="clear" w:color="auto" w:fill="EFF0F1"/>
          </w:tcPr>
          <w:p>
            <w:pPr>
              <w:spacing w:after="0"/>
              <w:rPr>
                <w:sz w:val="17"/>
                <w:szCs w:val="17"/>
                <w:color w:val="auto"/>
              </w:rPr>
            </w:pPr>
          </w:p>
        </w:tc>
        <w:tc>
          <w:tcPr>
            <w:tcW w:w="5600" w:type="dxa"/>
            <w:vAlign w:val="bottom"/>
            <w:shd w:val="clear" w:color="auto" w:fill="EFF0F1"/>
          </w:tcPr>
          <w:p>
            <w:pPr>
              <w:ind w:left="40"/>
              <w:spacing w:after="0"/>
              <w:rPr>
                <w:sz w:val="20"/>
                <w:szCs w:val="20"/>
                <w:color w:val="auto"/>
              </w:rPr>
            </w:pPr>
            <w:r>
              <w:rPr>
                <w:rFonts w:ascii="Arial" w:cs="Arial" w:eastAsia="Arial" w:hAnsi="Arial"/>
                <w:sz w:val="14"/>
                <w:szCs w:val="14"/>
                <w:color w:val="41516E"/>
              </w:rPr>
              <w:t>Michael Spillane</w:t>
            </w:r>
          </w:p>
        </w:tc>
        <w:tc>
          <w:tcPr>
            <w:tcW w:w="530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8,490</w:t>
            </w:r>
          </w:p>
        </w:tc>
      </w:tr>
      <w:tr>
        <w:trPr>
          <w:trHeight w:val="203"/>
        </w:trPr>
        <w:tc>
          <w:tcPr>
            <w:tcW w:w="340" w:type="dxa"/>
            <w:vAlign w:val="bottom"/>
          </w:tcPr>
          <w:p>
            <w:pPr>
              <w:spacing w:after="0"/>
              <w:rPr>
                <w:sz w:val="17"/>
                <w:szCs w:val="17"/>
                <w:color w:val="auto"/>
              </w:rPr>
            </w:pPr>
          </w:p>
        </w:tc>
        <w:tc>
          <w:tcPr>
            <w:tcW w:w="5600" w:type="dxa"/>
            <w:vAlign w:val="bottom"/>
          </w:tcPr>
          <w:p>
            <w:pPr>
              <w:ind w:left="40"/>
              <w:spacing w:after="0"/>
              <w:rPr>
                <w:sz w:val="20"/>
                <w:szCs w:val="20"/>
                <w:color w:val="auto"/>
              </w:rPr>
            </w:pPr>
            <w:r>
              <w:rPr>
                <w:rFonts w:ascii="Arial" w:cs="Arial" w:eastAsia="Arial" w:hAnsi="Arial"/>
                <w:sz w:val="14"/>
                <w:szCs w:val="14"/>
                <w:color w:val="41516E"/>
              </w:rPr>
              <w:t>Cynthia L. Swanson</w:t>
            </w:r>
          </w:p>
        </w:tc>
        <w:tc>
          <w:tcPr>
            <w:tcW w:w="5300" w:type="dxa"/>
            <w:vAlign w:val="bottom"/>
          </w:tcPr>
          <w:p>
            <w:pPr>
              <w:jc w:val="right"/>
              <w:spacing w:after="0"/>
              <w:rPr>
                <w:sz w:val="20"/>
                <w:szCs w:val="20"/>
                <w:color w:val="auto"/>
              </w:rPr>
            </w:pPr>
            <w:r>
              <w:rPr>
                <w:rFonts w:ascii="Arial" w:cs="Arial" w:eastAsia="Arial" w:hAnsi="Arial"/>
                <w:sz w:val="14"/>
                <w:szCs w:val="14"/>
                <w:color w:val="41516E"/>
              </w:rPr>
              <w:t>856</w:t>
            </w:r>
          </w:p>
        </w:tc>
      </w:tr>
      <w:tr>
        <w:trPr>
          <w:trHeight w:val="203"/>
        </w:trPr>
        <w:tc>
          <w:tcPr>
            <w:tcW w:w="340" w:type="dxa"/>
            <w:vAlign w:val="bottom"/>
            <w:shd w:val="clear" w:color="auto" w:fill="EFF0F1"/>
          </w:tcPr>
          <w:p>
            <w:pPr>
              <w:spacing w:after="0"/>
              <w:rPr>
                <w:sz w:val="17"/>
                <w:szCs w:val="17"/>
                <w:color w:val="auto"/>
              </w:rPr>
            </w:pPr>
          </w:p>
        </w:tc>
        <w:tc>
          <w:tcPr>
            <w:tcW w:w="5600" w:type="dxa"/>
            <w:vAlign w:val="bottom"/>
            <w:tcBorders>
              <w:bottom w:val="single" w:sz="8" w:color="41516E"/>
            </w:tcBorders>
            <w:shd w:val="clear" w:color="auto" w:fill="EFF0F1"/>
          </w:tcPr>
          <w:p>
            <w:pPr>
              <w:ind w:left="40"/>
              <w:spacing w:after="0"/>
              <w:rPr>
                <w:sz w:val="20"/>
                <w:szCs w:val="20"/>
                <w:color w:val="auto"/>
              </w:rPr>
            </w:pPr>
            <w:r>
              <w:rPr>
                <w:rFonts w:ascii="Arial" w:cs="Arial" w:eastAsia="Arial" w:hAnsi="Arial"/>
                <w:sz w:val="14"/>
                <w:szCs w:val="14"/>
                <w:color w:val="41516E"/>
              </w:rPr>
              <w:t>Jean-Michel Valette</w:t>
            </w:r>
          </w:p>
        </w:tc>
        <w:tc>
          <w:tcPr>
            <w:tcW w:w="530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4,612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205740" cy="9855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5740" cy="985520"/>
                    </a:xfrm>
                    <a:prstGeom prst="rect">
                      <a:avLst/>
                    </a:prstGeom>
                    <a:noFill/>
                  </pic:spPr>
                </pic:pic>
              </a:graphicData>
            </a:graphic>
          </wp:anchor>
        </w:drawing>
      </w:r>
    </w:p>
    <w:p>
      <w:pPr>
        <w:spacing w:after="0" w:line="27" w:lineRule="exact"/>
        <w:rPr>
          <w:sz w:val="20"/>
          <w:szCs w:val="20"/>
          <w:color w:val="auto"/>
        </w:rPr>
      </w:pPr>
    </w:p>
    <w:p>
      <w:pPr>
        <w:jc w:val="both"/>
        <w:ind w:left="340" w:hanging="332"/>
        <w:spacing w:after="0" w:line="261" w:lineRule="auto"/>
        <w:tabs>
          <w:tab w:leader="none" w:pos="340" w:val="left"/>
        </w:tabs>
        <w:numPr>
          <w:ilvl w:val="0"/>
          <w:numId w:val="10"/>
        </w:numPr>
        <w:rPr>
          <w:rFonts w:ascii="Arial" w:cs="Arial" w:eastAsia="Arial" w:hAnsi="Arial"/>
          <w:sz w:val="14"/>
          <w:szCs w:val="14"/>
          <w:i w:val="1"/>
          <w:iCs w:val="1"/>
          <w:color w:val="41516E"/>
        </w:rPr>
      </w:pPr>
      <w:r>
        <w:rPr>
          <w:rFonts w:ascii="Arial" w:cs="Arial" w:eastAsia="Arial" w:hAnsi="Arial"/>
          <w:sz w:val="14"/>
          <w:szCs w:val="14"/>
          <w:i w:val="1"/>
          <w:iCs w:val="1"/>
          <w:color w:val="41516E"/>
        </w:rPr>
        <w:t>On May 17, 2023, upon election to the Board of Directors, each Non-Employee Director elected to the Board at that time was granted 204 RSUs under the Director Equity Plan. On July 3, 2023, upon her appointment to the Board of Directors, Ms. Swanson was granted 422 RSUs. All grants were awarded pursuant to the Director Equity Plan. RSUs vest one year from the grant date contingent on continued service at the end of that board year.</w:t>
      </w:r>
    </w:p>
    <w:p>
      <w:pPr>
        <w:spacing w:after="0" w:line="14" w:lineRule="exact"/>
        <w:rPr>
          <w:rFonts w:ascii="Arial" w:cs="Arial" w:eastAsia="Arial" w:hAnsi="Arial"/>
          <w:sz w:val="14"/>
          <w:szCs w:val="14"/>
          <w:i w:val="1"/>
          <w:iCs w:val="1"/>
          <w:color w:val="41516E"/>
        </w:rPr>
      </w:pPr>
    </w:p>
    <w:p>
      <w:pPr>
        <w:ind w:left="340" w:right="20" w:hanging="332"/>
        <w:spacing w:after="0" w:line="282" w:lineRule="auto"/>
        <w:tabs>
          <w:tab w:leader="none" w:pos="340" w:val="left"/>
        </w:tabs>
        <w:numPr>
          <w:ilvl w:val="0"/>
          <w:numId w:val="10"/>
        </w:numPr>
        <w:rPr>
          <w:rFonts w:ascii="Arial" w:cs="Arial" w:eastAsia="Arial" w:hAnsi="Arial"/>
          <w:sz w:val="14"/>
          <w:szCs w:val="14"/>
          <w:i w:val="1"/>
          <w:iCs w:val="1"/>
          <w:color w:val="41516E"/>
        </w:rPr>
      </w:pPr>
      <w:r>
        <w:rPr>
          <w:rFonts w:ascii="Arial" w:cs="Arial" w:eastAsia="Arial" w:hAnsi="Arial"/>
          <w:sz w:val="14"/>
          <w:szCs w:val="14"/>
          <w:i w:val="1"/>
          <w:iCs w:val="1"/>
          <w:color w:val="41516E"/>
        </w:rPr>
        <w:t>Mr. Lynton served as a Director through the conclusion of the 2022-23 Boar Year, which ended at the close of the 2023 Annual Meeting of Stockholders. He did not stand for reelection at that time. Mr. Lynton did not receive any compensation in 2023 as his fees for the 2022-23 Board Year were paid in 2022.</w:t>
      </w:r>
    </w:p>
    <w:p>
      <w:pPr>
        <w:spacing w:after="0" w:line="12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41516E"/>
        </w:rPr>
        <w:t>The following table sets forth certain information concerning the 2023 compensation of our employee Directors, except for Mr. Burwick. Information regarding the 2023 compensation of Mr. Burwick may be found under the CD&amp;A and Executive Compensation sections of this Proxy Statement</w:t>
      </w:r>
      <w:r>
        <w:rPr>
          <w:rFonts w:ascii="Arial" w:cs="Arial" w:eastAsia="Arial" w:hAnsi="Arial"/>
          <w:sz w:val="17"/>
          <w:szCs w:val="17"/>
          <w:color w:val="41516E"/>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41516E"/>
              </w:rPr>
              <w:t>2023 Bonus</w:t>
            </w:r>
          </w:p>
        </w:tc>
        <w:tc>
          <w:tcPr>
            <w:tcW w:w="48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41516E"/>
              </w:rPr>
              <w:t>All Other</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374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Name</w:t>
            </w:r>
          </w:p>
        </w:tc>
        <w:tc>
          <w:tcPr>
            <w:tcW w:w="2060" w:type="dxa"/>
            <w:vAlign w:val="bottom"/>
            <w:tcBorders>
              <w:bottom w:val="single" w:sz="8" w:color="41516E"/>
            </w:tcBorders>
          </w:tcPr>
          <w:p>
            <w:pPr>
              <w:spacing w:after="0"/>
              <w:rPr>
                <w:sz w:val="21"/>
                <w:szCs w:val="21"/>
                <w:color w:val="auto"/>
              </w:rPr>
            </w:pPr>
          </w:p>
        </w:tc>
        <w:tc>
          <w:tcPr>
            <w:tcW w:w="1100" w:type="dxa"/>
            <w:vAlign w:val="bottom"/>
            <w:tcBorders>
              <w:bottom w:val="single" w:sz="8" w:color="41516E"/>
            </w:tcBorders>
          </w:tcPr>
          <w:p>
            <w:pPr>
              <w:jc w:val="right"/>
              <w:ind w:right="79"/>
              <w:spacing w:after="0"/>
              <w:rPr>
                <w:sz w:val="20"/>
                <w:szCs w:val="20"/>
                <w:color w:val="auto"/>
              </w:rPr>
            </w:pPr>
            <w:r>
              <w:rPr>
                <w:rFonts w:ascii="Arial" w:cs="Arial" w:eastAsia="Arial" w:hAnsi="Arial"/>
                <w:sz w:val="16"/>
                <w:szCs w:val="16"/>
                <w:b w:val="1"/>
                <w:bCs w:val="1"/>
                <w:color w:val="41516E"/>
              </w:rPr>
              <w:t>Base Salary</w:t>
            </w:r>
          </w:p>
        </w:tc>
        <w:tc>
          <w:tcPr>
            <w:tcW w:w="260" w:type="dxa"/>
            <w:vAlign w:val="bottom"/>
            <w:tcBorders>
              <w:bottom w:val="single" w:sz="8" w:color="41516E"/>
            </w:tcBorders>
          </w:tcPr>
          <w:p>
            <w:pPr>
              <w:spacing w:after="0"/>
              <w:rPr>
                <w:sz w:val="21"/>
                <w:szCs w:val="21"/>
                <w:color w:val="auto"/>
              </w:rPr>
            </w:pPr>
          </w:p>
        </w:tc>
        <w:tc>
          <w:tcPr>
            <w:tcW w:w="1140" w:type="dxa"/>
            <w:vAlign w:val="bottom"/>
            <w:tcBorders>
              <w:bottom w:val="single" w:sz="8" w:color="41516E"/>
            </w:tcBorders>
          </w:tcPr>
          <w:p>
            <w:pPr>
              <w:jc w:val="right"/>
              <w:ind w:right="99"/>
              <w:spacing w:after="0"/>
              <w:rPr>
                <w:sz w:val="20"/>
                <w:szCs w:val="20"/>
                <w:color w:val="auto"/>
              </w:rPr>
            </w:pPr>
            <w:r>
              <w:rPr>
                <w:rFonts w:ascii="Arial" w:cs="Arial" w:eastAsia="Arial" w:hAnsi="Arial"/>
                <w:sz w:val="16"/>
                <w:szCs w:val="16"/>
                <w:b w:val="1"/>
                <w:bCs w:val="1"/>
                <w:color w:val="41516E"/>
              </w:rPr>
              <w:t>Paid in 2024</w:t>
            </w:r>
          </w:p>
        </w:tc>
        <w:tc>
          <w:tcPr>
            <w:tcW w:w="1620" w:type="dxa"/>
            <w:vAlign w:val="bottom"/>
            <w:tcBorders>
              <w:bottom w:val="single" w:sz="8" w:color="41516E"/>
            </w:tcBorders>
            <w:gridSpan w:val="2"/>
          </w:tcPr>
          <w:p>
            <w:pPr>
              <w:ind w:left="160"/>
              <w:spacing w:after="0" w:line="243" w:lineRule="exact"/>
              <w:rPr>
                <w:sz w:val="20"/>
                <w:szCs w:val="20"/>
                <w:color w:val="auto"/>
              </w:rPr>
            </w:pPr>
            <w:r>
              <w:rPr>
                <w:rFonts w:ascii="Arial" w:cs="Arial" w:eastAsia="Arial" w:hAnsi="Arial"/>
                <w:sz w:val="16"/>
                <w:szCs w:val="16"/>
                <w:b w:val="1"/>
                <w:bCs w:val="1"/>
                <w:color w:val="41516E"/>
              </w:rPr>
              <w:t>Compensation</w:t>
            </w:r>
            <w:r>
              <w:rPr>
                <w:rFonts w:ascii="Arial" w:cs="Arial" w:eastAsia="Arial" w:hAnsi="Arial"/>
                <w:sz w:val="26"/>
                <w:szCs w:val="26"/>
                <w:b w:val="1"/>
                <w:bCs w:val="1"/>
                <w:color w:val="41516E"/>
                <w:vertAlign w:val="superscript"/>
              </w:rPr>
              <w:t>(1)</w:t>
            </w:r>
          </w:p>
        </w:tc>
        <w:tc>
          <w:tcPr>
            <w:tcW w:w="460" w:type="dxa"/>
            <w:vAlign w:val="bottom"/>
            <w:tcBorders>
              <w:bottom w:val="single" w:sz="8" w:color="41516E"/>
            </w:tcBorders>
          </w:tcPr>
          <w:p>
            <w:pPr>
              <w:spacing w:after="0"/>
              <w:rPr>
                <w:sz w:val="21"/>
                <w:szCs w:val="21"/>
                <w:color w:val="auto"/>
              </w:rPr>
            </w:pPr>
          </w:p>
        </w:tc>
        <w:tc>
          <w:tcPr>
            <w:tcW w:w="860" w:type="dxa"/>
            <w:vAlign w:val="bottom"/>
            <w:tcBorders>
              <w:bottom w:val="single" w:sz="8" w:color="41516E"/>
            </w:tcBorders>
          </w:tcPr>
          <w:p>
            <w:pPr>
              <w:jc w:val="right"/>
              <w:ind w:right="19"/>
              <w:spacing w:after="0"/>
              <w:rPr>
                <w:sz w:val="20"/>
                <w:szCs w:val="20"/>
                <w:color w:val="auto"/>
              </w:rPr>
            </w:pPr>
            <w:r>
              <w:rPr>
                <w:rFonts w:ascii="Arial" w:cs="Arial" w:eastAsia="Arial" w:hAnsi="Arial"/>
                <w:sz w:val="16"/>
                <w:szCs w:val="16"/>
                <w:b w:val="1"/>
                <w:bCs w:val="1"/>
                <w:color w:val="41516E"/>
              </w:rPr>
              <w:t>Total</w:t>
            </w:r>
          </w:p>
        </w:tc>
      </w:tr>
      <w:tr>
        <w:trPr>
          <w:trHeight w:val="183"/>
        </w:trPr>
        <w:tc>
          <w:tcPr>
            <w:tcW w:w="3740" w:type="dxa"/>
            <w:vAlign w:val="bottom"/>
          </w:tcPr>
          <w:p>
            <w:pPr>
              <w:ind w:left="60"/>
              <w:spacing w:after="0" w:line="183" w:lineRule="exact"/>
              <w:rPr>
                <w:sz w:val="20"/>
                <w:szCs w:val="20"/>
                <w:color w:val="auto"/>
              </w:rPr>
            </w:pPr>
            <w:r>
              <w:rPr>
                <w:rFonts w:ascii="Arial" w:cs="Arial" w:eastAsia="Arial" w:hAnsi="Arial"/>
                <w:sz w:val="16"/>
                <w:szCs w:val="16"/>
                <w:color w:val="41516E"/>
              </w:rPr>
              <w:t>Samuel A. Calagione, III</w:t>
            </w:r>
          </w:p>
        </w:tc>
        <w:tc>
          <w:tcPr>
            <w:tcW w:w="2060" w:type="dxa"/>
            <w:vAlign w:val="bottom"/>
          </w:tcPr>
          <w:p>
            <w:pPr>
              <w:jc w:val="right"/>
              <w:spacing w:after="0" w:line="183" w:lineRule="exact"/>
              <w:rPr>
                <w:sz w:val="20"/>
                <w:szCs w:val="20"/>
                <w:color w:val="auto"/>
              </w:rPr>
            </w:pPr>
            <w:r>
              <w:rPr>
                <w:rFonts w:ascii="Arial" w:cs="Arial" w:eastAsia="Arial" w:hAnsi="Arial"/>
                <w:sz w:val="16"/>
                <w:szCs w:val="16"/>
                <w:color w:val="41516E"/>
              </w:rPr>
              <w:t>$</w:t>
            </w:r>
          </w:p>
        </w:tc>
        <w:tc>
          <w:tcPr>
            <w:tcW w:w="1100" w:type="dxa"/>
            <w:vAlign w:val="bottom"/>
          </w:tcPr>
          <w:p>
            <w:pPr>
              <w:jc w:val="right"/>
              <w:ind w:right="79"/>
              <w:spacing w:after="0" w:line="183" w:lineRule="exact"/>
              <w:rPr>
                <w:sz w:val="20"/>
                <w:szCs w:val="20"/>
                <w:color w:val="auto"/>
              </w:rPr>
            </w:pPr>
            <w:r>
              <w:rPr>
                <w:rFonts w:ascii="Arial" w:cs="Arial" w:eastAsia="Arial" w:hAnsi="Arial"/>
                <w:sz w:val="16"/>
                <w:szCs w:val="16"/>
                <w:color w:val="41516E"/>
              </w:rPr>
              <w:t>464,470</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41516E"/>
              </w:rPr>
              <w:t>$</w:t>
            </w:r>
          </w:p>
        </w:tc>
        <w:tc>
          <w:tcPr>
            <w:tcW w:w="1140" w:type="dxa"/>
            <w:vAlign w:val="bottom"/>
          </w:tcPr>
          <w:p>
            <w:pPr>
              <w:jc w:val="right"/>
              <w:ind w:right="99"/>
              <w:spacing w:after="0" w:line="183" w:lineRule="exact"/>
              <w:rPr>
                <w:sz w:val="20"/>
                <w:szCs w:val="20"/>
                <w:color w:val="auto"/>
              </w:rPr>
            </w:pPr>
            <w:r>
              <w:rPr>
                <w:rFonts w:ascii="Arial" w:cs="Arial" w:eastAsia="Arial" w:hAnsi="Arial"/>
                <w:sz w:val="16"/>
                <w:szCs w:val="16"/>
                <w:color w:val="41516E"/>
              </w:rPr>
              <w:t>464,470</w:t>
            </w:r>
          </w:p>
        </w:tc>
        <w:tc>
          <w:tcPr>
            <w:tcW w:w="480" w:type="dxa"/>
            <w:vAlign w:val="bottom"/>
          </w:tcPr>
          <w:p>
            <w:pPr>
              <w:ind w:left="160"/>
              <w:spacing w:after="0" w:line="183" w:lineRule="exact"/>
              <w:rPr>
                <w:sz w:val="20"/>
                <w:szCs w:val="20"/>
                <w:color w:val="auto"/>
              </w:rPr>
            </w:pPr>
            <w:r>
              <w:rPr>
                <w:rFonts w:ascii="Arial" w:cs="Arial" w:eastAsia="Arial" w:hAnsi="Arial"/>
                <w:sz w:val="16"/>
                <w:szCs w:val="16"/>
                <w:color w:val="41516E"/>
              </w:rPr>
              <w:t>$</w:t>
            </w:r>
          </w:p>
        </w:tc>
        <w:tc>
          <w:tcPr>
            <w:tcW w:w="1140" w:type="dxa"/>
            <w:vAlign w:val="bottom"/>
          </w:tcPr>
          <w:p>
            <w:pPr>
              <w:jc w:val="right"/>
              <w:ind w:right="79"/>
              <w:spacing w:after="0" w:line="183" w:lineRule="exact"/>
              <w:rPr>
                <w:sz w:val="20"/>
                <w:szCs w:val="20"/>
                <w:color w:val="auto"/>
              </w:rPr>
            </w:pPr>
            <w:r>
              <w:rPr>
                <w:rFonts w:ascii="Arial" w:cs="Arial" w:eastAsia="Arial" w:hAnsi="Arial"/>
                <w:sz w:val="16"/>
                <w:szCs w:val="16"/>
                <w:color w:val="41516E"/>
              </w:rPr>
              <w:t>14,117</w:t>
            </w:r>
          </w:p>
        </w:tc>
        <w:tc>
          <w:tcPr>
            <w:tcW w:w="460" w:type="dxa"/>
            <w:vAlign w:val="bottom"/>
          </w:tcPr>
          <w:p>
            <w:pPr>
              <w:jc w:val="right"/>
              <w:ind w:right="119"/>
              <w:spacing w:after="0" w:line="183" w:lineRule="exact"/>
              <w:rPr>
                <w:sz w:val="20"/>
                <w:szCs w:val="20"/>
                <w:color w:val="auto"/>
              </w:rPr>
            </w:pPr>
            <w:r>
              <w:rPr>
                <w:rFonts w:ascii="Arial" w:cs="Arial" w:eastAsia="Arial" w:hAnsi="Arial"/>
                <w:sz w:val="16"/>
                <w:szCs w:val="16"/>
                <w:color w:val="41516E"/>
              </w:rPr>
              <w:t>$</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41516E"/>
              </w:rPr>
              <w:t>943,057</w:t>
            </w:r>
          </w:p>
        </w:tc>
      </w:tr>
      <w:tr>
        <w:trPr>
          <w:trHeight w:val="189"/>
        </w:trPr>
        <w:tc>
          <w:tcPr>
            <w:tcW w:w="3740" w:type="dxa"/>
            <w:vAlign w:val="bottom"/>
            <w:tcBorders>
              <w:bottom w:val="single" w:sz="8" w:color="41516E"/>
            </w:tcBorders>
            <w:shd w:val="clear" w:color="auto" w:fill="EFF0F1"/>
          </w:tcPr>
          <w:p>
            <w:pPr>
              <w:ind w:left="60"/>
              <w:spacing w:after="0"/>
              <w:rPr>
                <w:sz w:val="20"/>
                <w:szCs w:val="20"/>
                <w:color w:val="auto"/>
              </w:rPr>
            </w:pPr>
            <w:r>
              <w:rPr>
                <w:rFonts w:ascii="Arial" w:cs="Arial" w:eastAsia="Arial" w:hAnsi="Arial"/>
                <w:sz w:val="16"/>
                <w:szCs w:val="16"/>
                <w:color w:val="41516E"/>
              </w:rPr>
              <w:t>C. James Koch</w:t>
            </w:r>
          </w:p>
        </w:tc>
        <w:tc>
          <w:tcPr>
            <w:tcW w:w="206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1100" w:type="dxa"/>
            <w:vAlign w:val="bottom"/>
            <w:tcBorders>
              <w:bottom w:val="single" w:sz="8" w:color="41516E"/>
            </w:tcBorders>
            <w:shd w:val="clear" w:color="auto" w:fill="EFF0F1"/>
          </w:tcPr>
          <w:p>
            <w:pPr>
              <w:jc w:val="right"/>
              <w:ind w:right="79"/>
              <w:spacing w:after="0"/>
              <w:rPr>
                <w:sz w:val="20"/>
                <w:szCs w:val="20"/>
                <w:color w:val="auto"/>
              </w:rPr>
            </w:pPr>
            <w:r>
              <w:rPr>
                <w:rFonts w:ascii="Arial" w:cs="Arial" w:eastAsia="Arial" w:hAnsi="Arial"/>
                <w:sz w:val="16"/>
                <w:szCs w:val="16"/>
                <w:color w:val="41516E"/>
              </w:rPr>
              <w:t>464,470</w:t>
            </w:r>
          </w:p>
        </w:tc>
        <w:tc>
          <w:tcPr>
            <w:tcW w:w="26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1140" w:type="dxa"/>
            <w:vAlign w:val="bottom"/>
            <w:tcBorders>
              <w:bottom w:val="single" w:sz="8" w:color="41516E"/>
            </w:tcBorders>
            <w:shd w:val="clear" w:color="auto" w:fill="EFF0F1"/>
          </w:tcPr>
          <w:p>
            <w:pPr>
              <w:jc w:val="right"/>
              <w:ind w:right="99"/>
              <w:spacing w:after="0"/>
              <w:rPr>
                <w:sz w:val="20"/>
                <w:szCs w:val="20"/>
                <w:color w:val="auto"/>
              </w:rPr>
            </w:pPr>
            <w:r>
              <w:rPr>
                <w:rFonts w:ascii="Arial" w:cs="Arial" w:eastAsia="Arial" w:hAnsi="Arial"/>
                <w:sz w:val="16"/>
                <w:szCs w:val="16"/>
                <w:color w:val="41516E"/>
              </w:rPr>
              <w:t>464,470</w:t>
            </w:r>
          </w:p>
        </w:tc>
        <w:tc>
          <w:tcPr>
            <w:tcW w:w="480" w:type="dxa"/>
            <w:vAlign w:val="bottom"/>
            <w:tcBorders>
              <w:bottom w:val="single" w:sz="8" w:color="41516E"/>
            </w:tcBorders>
            <w:shd w:val="clear" w:color="auto" w:fill="EFF0F1"/>
          </w:tcPr>
          <w:p>
            <w:pPr>
              <w:ind w:left="160"/>
              <w:spacing w:after="0"/>
              <w:rPr>
                <w:sz w:val="20"/>
                <w:szCs w:val="20"/>
                <w:color w:val="auto"/>
              </w:rPr>
            </w:pPr>
            <w:r>
              <w:rPr>
                <w:rFonts w:ascii="Arial" w:cs="Arial" w:eastAsia="Arial" w:hAnsi="Arial"/>
                <w:sz w:val="16"/>
                <w:szCs w:val="16"/>
                <w:color w:val="41516E"/>
              </w:rPr>
              <w:t>$</w:t>
            </w:r>
          </w:p>
        </w:tc>
        <w:tc>
          <w:tcPr>
            <w:tcW w:w="1140" w:type="dxa"/>
            <w:vAlign w:val="bottom"/>
            <w:tcBorders>
              <w:bottom w:val="single" w:sz="8" w:color="41516E"/>
            </w:tcBorders>
            <w:shd w:val="clear" w:color="auto" w:fill="EFF0F1"/>
          </w:tcPr>
          <w:p>
            <w:pPr>
              <w:jc w:val="right"/>
              <w:ind w:right="79"/>
              <w:spacing w:after="0"/>
              <w:rPr>
                <w:sz w:val="20"/>
                <w:szCs w:val="20"/>
                <w:color w:val="auto"/>
              </w:rPr>
            </w:pPr>
            <w:r>
              <w:rPr>
                <w:rFonts w:ascii="Arial" w:cs="Arial" w:eastAsia="Arial" w:hAnsi="Arial"/>
                <w:sz w:val="16"/>
                <w:szCs w:val="16"/>
                <w:color w:val="41516E"/>
              </w:rPr>
              <w:t>14,117</w:t>
            </w:r>
          </w:p>
        </w:tc>
        <w:tc>
          <w:tcPr>
            <w:tcW w:w="460" w:type="dxa"/>
            <w:vAlign w:val="bottom"/>
            <w:tcBorders>
              <w:bottom w:val="single" w:sz="8" w:color="41516E"/>
            </w:tcBorders>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860" w:type="dxa"/>
            <w:vAlign w:val="bottom"/>
            <w:tcBorders>
              <w:bottom w:val="single" w:sz="8" w:color="41516E"/>
            </w:tcBorders>
            <w:shd w:val="clear" w:color="auto" w:fill="EFF0F1"/>
          </w:tcPr>
          <w:p>
            <w:pPr>
              <w:jc w:val="right"/>
              <w:ind w:right="19"/>
              <w:spacing w:after="0"/>
              <w:rPr>
                <w:sz w:val="20"/>
                <w:szCs w:val="20"/>
                <w:color w:val="auto"/>
              </w:rPr>
            </w:pPr>
            <w:r>
              <w:rPr>
                <w:rFonts w:ascii="Arial" w:cs="Arial" w:eastAsia="Arial" w:hAnsi="Arial"/>
                <w:sz w:val="16"/>
                <w:szCs w:val="16"/>
                <w:color w:val="41516E"/>
              </w:rPr>
              <w:t>943,057</w:t>
            </w:r>
          </w:p>
        </w:tc>
      </w:tr>
    </w:tbl>
    <w:p>
      <w:pPr>
        <w:spacing w:after="0" w:line="47" w:lineRule="exact"/>
        <w:rPr>
          <w:sz w:val="20"/>
          <w:szCs w:val="20"/>
          <w:color w:val="auto"/>
        </w:rPr>
      </w:pPr>
    </w:p>
    <w:p>
      <w:pPr>
        <w:ind w:left="340" w:hanging="332"/>
        <w:spacing w:after="0" w:line="282" w:lineRule="auto"/>
        <w:tabs>
          <w:tab w:leader="none" w:pos="340" w:val="left"/>
        </w:tabs>
        <w:numPr>
          <w:ilvl w:val="0"/>
          <w:numId w:val="11"/>
        </w:numPr>
        <w:rPr>
          <w:rFonts w:ascii="Arial" w:cs="Arial" w:eastAsia="Arial" w:hAnsi="Arial"/>
          <w:sz w:val="14"/>
          <w:szCs w:val="14"/>
          <w:i w:val="1"/>
          <w:iCs w:val="1"/>
          <w:color w:val="41516E"/>
        </w:rPr>
      </w:pPr>
      <w:r>
        <w:rPr>
          <w:rFonts w:ascii="Arial" w:cs="Arial" w:eastAsia="Arial" w:hAnsi="Arial"/>
          <w:sz w:val="14"/>
          <w:szCs w:val="14"/>
          <w:i w:val="1"/>
          <w:iCs w:val="1"/>
          <w:color w:val="41516E"/>
        </w:rPr>
        <w:t>Includes annual group life insurance premium, short-term and long-term disability, Company matching contributions under the Company’s 401(k) plan paid in the respective year, Company health savings contributions under the Company’s medical plan paid in the respective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90170</wp:posOffset>
            </wp:positionV>
            <wp:extent cx="857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25</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Executive </w:t>
      </w:r>
      <w:r>
        <w:rPr>
          <w:rFonts w:ascii="Arial" w:cs="Arial" w:eastAsia="Arial" w:hAnsi="Arial"/>
          <w:sz w:val="47"/>
          <w:szCs w:val="47"/>
          <w:b w:val="1"/>
          <w:bCs w:val="1"/>
          <w:color w:val="798297"/>
        </w:rPr>
        <w:t>Officers</w:t>
      </w:r>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Information about our Executive Officers as of the mailing of this Proxy Statement is set forth below. Our Executive Officers are elected annually by the Board of Directors, or upon joining Boston Beer at other times during the year and hold office until their successors are elected and qualified or until their earlier resignation or removal. As noted above, Mr. Geist retired from the position of Chief Sales Officer effective December 31, 2023, and remains with the Company in a senior advisory role. Mr. Spillane will succeed Mr. Burwick as President and Chief Executive Officer as of April 1, 2024; his biographical information is included in this Proxy Statement above under the heading “Nominees for Class B Director.”</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41516E"/>
        </w:rPr>
        <w:t xml:space="preserve">C. James Koch, </w:t>
      </w:r>
      <w:r>
        <w:rPr>
          <w:rFonts w:ascii="Arial" w:cs="Arial" w:eastAsia="Arial" w:hAnsi="Arial"/>
          <w:sz w:val="16"/>
          <w:szCs w:val="16"/>
          <w:color w:val="41516E"/>
        </w:rPr>
        <w:t>74, founded Boston Beer in 1984 and currently serves as our Chairman. Until January 2001, Mr. Koch also served as the Company’s Chief</w:t>
      </w:r>
      <w:r>
        <w:rPr>
          <w:rFonts w:ascii="Arial" w:cs="Arial" w:eastAsia="Arial" w:hAnsi="Arial"/>
          <w:sz w:val="16"/>
          <w:szCs w:val="16"/>
          <w:b w:val="1"/>
          <w:bCs w:val="1"/>
          <w:color w:val="41516E"/>
        </w:rPr>
        <w:t xml:space="preserve"> </w:t>
      </w:r>
      <w:r>
        <w:rPr>
          <w:rFonts w:ascii="Arial" w:cs="Arial" w:eastAsia="Arial" w:hAnsi="Arial"/>
          <w:sz w:val="16"/>
          <w:szCs w:val="16"/>
          <w:color w:val="41516E"/>
        </w:rPr>
        <w:t>Executive Officer. Prior to starting Boston Beer, he had worked as a consultant for an international consulting firm with a focus on manufacturing. He was appointed to the Board of Directors of Beyond Meat, Inc. in May 2023. He sits on Beyond Meat’s Risk Committee.</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41516E"/>
        </w:rPr>
        <w:t xml:space="preserve">David A. Burwick, </w:t>
      </w:r>
      <w:r>
        <w:rPr>
          <w:rFonts w:ascii="Arial" w:cs="Arial" w:eastAsia="Arial" w:hAnsi="Arial"/>
          <w:sz w:val="16"/>
          <w:szCs w:val="16"/>
          <w:color w:val="41516E"/>
        </w:rPr>
        <w:t>62, has served on Boston Beer’s Board of Directors since May 2005 and was appointed President and Chief Executive Officer in April</w:t>
      </w:r>
      <w:r>
        <w:rPr>
          <w:rFonts w:ascii="Arial" w:cs="Arial" w:eastAsia="Arial" w:hAnsi="Arial"/>
          <w:sz w:val="16"/>
          <w:szCs w:val="16"/>
          <w:b w:val="1"/>
          <w:bCs w:val="1"/>
          <w:color w:val="41516E"/>
        </w:rPr>
        <w:t xml:space="preserve"> </w:t>
      </w:r>
      <w:r>
        <w:rPr>
          <w:rFonts w:ascii="Arial" w:cs="Arial" w:eastAsia="Arial" w:hAnsi="Arial"/>
          <w:sz w:val="16"/>
          <w:szCs w:val="16"/>
          <w:color w:val="41516E"/>
        </w:rPr>
        <w:t>2018. As previously announced, Mr. Burwick will step down as President and Chief Executive Officer and from the Board on March 31, 2024. Prior to his appointment as Boston Beer’s President and Chief Executive Officer, he served as President and Chief Executive Officer of Peet’s Coffee &amp; Tea, Inc., a specialty coffee and tea company based in Emeryville, California, since December 2012. From April 2010 to December 2012, Mr. Burwick served as President, North America of WW International, Inc., formerly Weight Watchers International, Inc., a leading provider of weight management services based in New York City. Prior to that, Mr. Burwick held numerous positions with PepsiCo, Inc., headquartered in Purchase, New York, including Chief Marketing Officer, PepsiCo Americas Beverages from August 2008 to August 2009; Executive Vice President, Marketing, Sales and R&amp;D, PepsiCo International from April 2008 to July 2008; President, Pepsi-QTG Canada from January 2006 to March 2008; Chief Marketing Officer, Pepsi-Cola North America from June 2002 to December 2005; and various marketing roles from 1989 to 2002. In September 2021, Mr. Burwick joined the Board of Directors of Deckers Outdoor Corporation, a publicly-held footwear designer and distributor based in Goleta, California. He currently serves on Decker’s Talent &amp; Compensation Committee.</w:t>
      </w:r>
    </w:p>
    <w:p>
      <w:pPr>
        <w:spacing w:after="0" w:line="3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41516E"/>
        </w:rPr>
        <w:t>Samuel A. Calagione, III</w:t>
      </w:r>
      <w:r>
        <w:rPr>
          <w:rFonts w:ascii="Arial" w:cs="Arial" w:eastAsia="Arial" w:hAnsi="Arial"/>
          <w:sz w:val="16"/>
          <w:szCs w:val="16"/>
          <w:color w:val="41516E"/>
        </w:rPr>
        <w:t>, 54, is Founder and Brewer of Dogfish Head Brewery with overall responsibility for managing the Dogfish Head brand and</w:t>
      </w:r>
      <w:r>
        <w:rPr>
          <w:rFonts w:ascii="Arial" w:cs="Arial" w:eastAsia="Arial" w:hAnsi="Arial"/>
          <w:sz w:val="16"/>
          <w:szCs w:val="16"/>
          <w:b w:val="1"/>
          <w:bCs w:val="1"/>
          <w:color w:val="41516E"/>
        </w:rPr>
        <w:t xml:space="preserve"> </w:t>
      </w:r>
      <w:r>
        <w:rPr>
          <w:rFonts w:ascii="Arial" w:cs="Arial" w:eastAsia="Arial" w:hAnsi="Arial"/>
          <w:sz w:val="16"/>
          <w:szCs w:val="16"/>
          <w:color w:val="41516E"/>
        </w:rPr>
        <w:t>providing insight into all of the Company’s brands. He founded Dogfish Head with his wife Mariah Calagione in June 1995 and served as CEO until the merger with Boston Beer in July 2019. He joined the Company’s Board of Directors in October 2020. His innovative style has earned him a James Beard Award for Outstanding Wine, Spirits, or Beer Professional and a reputation as one of the country’s most adventurous brewers; he has been featured in The Wall Street Journal, USA Today, People, Forbes, Bon Appetit, and many other magazines and newspapers. He is also the author of five books, including Brewing Up a Business (2011), Off-Centered Leadership (2016), and The Dogfish Head Book: 25 Off-Centered Years (2021).</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41516E"/>
        </w:rPr>
        <w:t xml:space="preserve">Michael R. Crowley, </w:t>
      </w:r>
      <w:r>
        <w:rPr>
          <w:rFonts w:ascii="Arial" w:cs="Arial" w:eastAsia="Arial" w:hAnsi="Arial"/>
          <w:sz w:val="16"/>
          <w:szCs w:val="16"/>
          <w:color w:val="41516E"/>
        </w:rPr>
        <w:t>55, was appointed Chief Sales Officer of Boston Beer in January 2024. He has worked in senior sales roles with Boston Beer since</w:t>
      </w:r>
      <w:r>
        <w:rPr>
          <w:rFonts w:ascii="Arial" w:cs="Arial" w:eastAsia="Arial" w:hAnsi="Arial"/>
          <w:sz w:val="16"/>
          <w:szCs w:val="16"/>
          <w:b w:val="1"/>
          <w:bCs w:val="1"/>
          <w:color w:val="41516E"/>
        </w:rPr>
        <w:t xml:space="preserve"> </w:t>
      </w:r>
      <w:r>
        <w:rPr>
          <w:rFonts w:ascii="Arial" w:cs="Arial" w:eastAsia="Arial" w:hAnsi="Arial"/>
          <w:sz w:val="16"/>
          <w:szCs w:val="16"/>
          <w:color w:val="41516E"/>
        </w:rPr>
        <w:t>1996. Most recently, Mr. Crowley served in the role of Atlantic Division Senior Sales Director from 2014 to 2023. Prior to that, he worked as Senior National Account Manager from 2011 to 2014 and as Regional Sales Manager (New York and New Jersey) from 1996 to 2011.</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41516E"/>
        </w:rPr>
        <w:t xml:space="preserve">Annette N. Fritsch, </w:t>
      </w:r>
      <w:r>
        <w:rPr>
          <w:rFonts w:ascii="Arial" w:cs="Arial" w:eastAsia="Arial" w:hAnsi="Arial"/>
          <w:sz w:val="16"/>
          <w:szCs w:val="16"/>
          <w:color w:val="41516E"/>
        </w:rPr>
        <w:t>46, was appointed Vice President of Product Design, Research and Development of Boston Beer in July 2022. She joined the Company</w:t>
      </w:r>
      <w:r>
        <w:rPr>
          <w:rFonts w:ascii="Arial" w:cs="Arial" w:eastAsia="Arial" w:hAnsi="Arial"/>
          <w:sz w:val="16"/>
          <w:szCs w:val="16"/>
          <w:b w:val="1"/>
          <w:bCs w:val="1"/>
          <w:color w:val="41516E"/>
        </w:rPr>
        <w:t xml:space="preserve"> </w:t>
      </w:r>
      <w:r>
        <w:rPr>
          <w:rFonts w:ascii="Arial" w:cs="Arial" w:eastAsia="Arial" w:hAnsi="Arial"/>
          <w:sz w:val="16"/>
          <w:szCs w:val="16"/>
          <w:color w:val="41516E"/>
        </w:rPr>
        <w:t>in 2010 and has held various positions during that time, including Sensory Manager from 2010 to 2011, Senior Manager of Sensory and Innovation from 2011 to 2014; Director of New Product Development and Innovation from 2014 to 2019; and Senior Director of Product Development from 2019 to 2022. Prior to her time at Boston Beer, she worked in sensory and product development roles with Fosters Wine Estates from 2008 to 2009, Oregon State University from 2004 to 2008, and Givaudan Flavors from 2001 to 2004.</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41516E"/>
        </w:rPr>
        <w:t xml:space="preserve">Tara L. Heath, </w:t>
      </w:r>
      <w:r>
        <w:rPr>
          <w:rFonts w:ascii="Arial" w:cs="Arial" w:eastAsia="Arial" w:hAnsi="Arial"/>
          <w:sz w:val="16"/>
          <w:szCs w:val="16"/>
          <w:color w:val="41516E"/>
        </w:rPr>
        <w:t>49, was appointed Chief Legal Officer &amp; General Counsel of Boston Beer in May 2022. She joined the Company in 1997 and has held</w:t>
      </w:r>
      <w:r>
        <w:rPr>
          <w:rFonts w:ascii="Arial" w:cs="Arial" w:eastAsia="Arial" w:hAnsi="Arial"/>
          <w:sz w:val="16"/>
          <w:szCs w:val="16"/>
          <w:b w:val="1"/>
          <w:bCs w:val="1"/>
          <w:color w:val="41516E"/>
        </w:rPr>
        <w:t xml:space="preserve"> </w:t>
      </w:r>
      <w:r>
        <w:rPr>
          <w:rFonts w:ascii="Arial" w:cs="Arial" w:eastAsia="Arial" w:hAnsi="Arial"/>
          <w:sz w:val="16"/>
          <w:szCs w:val="16"/>
          <w:color w:val="41516E"/>
        </w:rPr>
        <w:t>various positions during that time, including Vice President, Legal &amp; Deputy General Counsel from 2016 to 2022; Senior Corporate Counsel, Director of Regulatory Affairs from 2013 to 2016; and Senior Manager &amp; Attorney for Regulatory Affairs from 2009 to 2013</w:t>
      </w:r>
      <w:r>
        <w:rPr>
          <w:rFonts w:ascii="Arial" w:cs="Arial" w:eastAsia="Arial" w:hAnsi="Arial"/>
          <w:sz w:val="17"/>
          <w:szCs w:val="17"/>
          <w:color w:val="41516E"/>
        </w:rPr>
        <w:t>.</w:t>
      </w:r>
    </w:p>
    <w:p>
      <w:pPr>
        <w:spacing w:after="0" w:line="116"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41516E"/>
        </w:rPr>
        <w:t xml:space="preserve">Philp A. Hodges, </w:t>
      </w:r>
      <w:r>
        <w:rPr>
          <w:rFonts w:ascii="Arial" w:cs="Arial" w:eastAsia="Arial" w:hAnsi="Arial"/>
          <w:sz w:val="16"/>
          <w:szCs w:val="16"/>
          <w:color w:val="41516E"/>
        </w:rPr>
        <w:t>57, joined the Company as its Chief Supply Chain Officer in May 2023, after having served as an advisor for the Company since May</w:t>
      </w:r>
      <w:r>
        <w:rPr>
          <w:rFonts w:ascii="Arial" w:cs="Arial" w:eastAsia="Arial" w:hAnsi="Arial"/>
          <w:sz w:val="16"/>
          <w:szCs w:val="16"/>
          <w:b w:val="1"/>
          <w:bCs w:val="1"/>
          <w:color w:val="41516E"/>
        </w:rPr>
        <w:t xml:space="preserve"> </w:t>
      </w:r>
      <w:r>
        <w:rPr>
          <w:rFonts w:ascii="Arial" w:cs="Arial" w:eastAsia="Arial" w:hAnsi="Arial"/>
          <w:sz w:val="16"/>
          <w:szCs w:val="16"/>
          <w:color w:val="41516E"/>
        </w:rPr>
        <w:t>2022. He has over 30 years of senior operations experience in consumer-packaged goods, most recently serving as the Executive Vice President of Group Supply Chain at the Carlsberg Group, an international brewing company based in Zurich, Switzerland, from 2017 to 2022. Before that, Mr. Hodges served as Group Director and Chief Supply Chain Officer for SABMiller, another international brewing company with his office in London, United Kingdom, from 2015 to 2016. From 2011 to 2015, he served as Senior Vice President of Integrated Supply Chain Europe for Mondelēz International, a multinational beverage and snack food company, with his office in Zurich, Switzerland. Prior to that, Mr. Hodges held a variety of senior operations roles with Kraft Foods Group from 1991 to 2011.</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41516E"/>
        </w:rPr>
        <w:t xml:space="preserve">Lesya Lysyj, </w:t>
      </w:r>
      <w:r>
        <w:rPr>
          <w:rFonts w:ascii="Arial" w:cs="Arial" w:eastAsia="Arial" w:hAnsi="Arial"/>
          <w:sz w:val="16"/>
          <w:szCs w:val="16"/>
          <w:color w:val="41516E"/>
        </w:rPr>
        <w:t>61, joined the Company as Chief Marketing Officer in April 2019. Ms. Lysyj has over 30 years of marketing experience in the food and</w:t>
      </w:r>
      <w:r>
        <w:rPr>
          <w:rFonts w:ascii="Arial" w:cs="Arial" w:eastAsia="Arial" w:hAnsi="Arial"/>
          <w:sz w:val="16"/>
          <w:szCs w:val="16"/>
          <w:b w:val="1"/>
          <w:bCs w:val="1"/>
          <w:color w:val="41516E"/>
        </w:rPr>
        <w:t xml:space="preserve"> </w:t>
      </w:r>
      <w:r>
        <w:rPr>
          <w:rFonts w:ascii="Arial" w:cs="Arial" w:eastAsia="Arial" w:hAnsi="Arial"/>
          <w:sz w:val="16"/>
          <w:szCs w:val="16"/>
          <w:color w:val="41516E"/>
        </w:rPr>
        <w:t>beverage industry. Prior to joining Boston Beer, she served as President U.S. (Sales and Marketing) for Welch’s Foods, based in Concord, Massachusetts from September 2017 to April 2019. From 2013 to 2015, she served as President North America of Weight Watchers International. She was Chief Marketing Officer for Heineken USA, headquartered in New York City, from 2011 to 2013. Prior to that, she held a number of positions with Kraft Foods from 1990 to 2011, including positions as Vice President Marketing, Confectionary and Executive Vice President of Marketing, Cadbury.</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41516E"/>
        </w:rPr>
        <w:t xml:space="preserve">Carolyn L. O’Boyle, </w:t>
      </w:r>
      <w:r>
        <w:rPr>
          <w:rFonts w:ascii="Arial" w:cs="Arial" w:eastAsia="Arial" w:hAnsi="Arial"/>
          <w:sz w:val="16"/>
          <w:szCs w:val="16"/>
          <w:color w:val="41516E"/>
        </w:rPr>
        <w:t>45, joined Boston Beer as Chief People Officer in March 2020. She has extensive experience in talent strategy and operations,</w:t>
      </w:r>
      <w:r>
        <w:rPr>
          <w:rFonts w:ascii="Arial" w:cs="Arial" w:eastAsia="Arial" w:hAnsi="Arial"/>
          <w:sz w:val="16"/>
          <w:szCs w:val="16"/>
          <w:b w:val="1"/>
          <w:bCs w:val="1"/>
          <w:color w:val="41516E"/>
        </w:rPr>
        <w:t xml:space="preserve"> </w:t>
      </w:r>
      <w:r>
        <w:rPr>
          <w:rFonts w:ascii="Arial" w:cs="Arial" w:eastAsia="Arial" w:hAnsi="Arial"/>
          <w:sz w:val="16"/>
          <w:szCs w:val="16"/>
          <w:color w:val="41516E"/>
        </w:rPr>
        <w:t>including expertise in recruiting, total rewards, operational transformation, immigration, people analytics, business partners, and shared services. Prior to joining Boston Beer, she was a Managing Director at Deloitte Services LP in Boston, Massachusetts from August 2013 to February 2020, serving as the National Managing Director for Talent Operations and Chief Operating Officer for Talent. Prior to that, she served in various senior roles at Deloitte from September 2005 to August 2013, and as an Operations Manager at Diageo North America, a wine and spirits company based in Norwalk, Connecticut, in 2004.</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41516E"/>
        </w:rPr>
        <w:t xml:space="preserve">Matthew D. Murphy, </w:t>
      </w:r>
      <w:r>
        <w:rPr>
          <w:rFonts w:ascii="Arial" w:cs="Arial" w:eastAsia="Arial" w:hAnsi="Arial"/>
          <w:sz w:val="16"/>
          <w:szCs w:val="16"/>
          <w:color w:val="41516E"/>
        </w:rPr>
        <w:t>55, is Chief Accounting Officer and Vice President of Finance of Boston Beer. From April 2023 to September 2023, he also served as</w:t>
      </w:r>
      <w:r>
        <w:rPr>
          <w:rFonts w:ascii="Arial" w:cs="Arial" w:eastAsia="Arial" w:hAnsi="Arial"/>
          <w:sz w:val="16"/>
          <w:szCs w:val="16"/>
          <w:b w:val="1"/>
          <w:bCs w:val="1"/>
          <w:color w:val="41516E"/>
        </w:rPr>
        <w:t xml:space="preserve"> </w:t>
      </w:r>
      <w:r>
        <w:rPr>
          <w:rFonts w:ascii="Arial" w:cs="Arial" w:eastAsia="Arial" w:hAnsi="Arial"/>
          <w:sz w:val="16"/>
          <w:szCs w:val="16"/>
          <w:color w:val="41516E"/>
        </w:rPr>
        <w:t>the Company’s Interim Chief Financial Officer. He was appointed Chief Accounting Officer in August 2015 and previously held the position of Corporate Controller of Boston Beer since September 2006. Prior to joining Boston Beer, he was Chief Financial Officer of Opodo, a leading European online travel agency, from 2004 to 2006.</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41516E"/>
        </w:rPr>
        <w:t xml:space="preserve">Diego Reynoso, </w:t>
      </w:r>
      <w:r>
        <w:rPr>
          <w:rFonts w:ascii="Arial" w:cs="Arial" w:eastAsia="Arial" w:hAnsi="Arial"/>
          <w:sz w:val="16"/>
          <w:szCs w:val="16"/>
          <w:color w:val="41516E"/>
        </w:rPr>
        <w:t>48, joined Boston Beer as Chief Financial Officer and Treasurer in September 2023. He has over 25 years of experience in finance and</w:t>
      </w:r>
      <w:r>
        <w:rPr>
          <w:rFonts w:ascii="Arial" w:cs="Arial" w:eastAsia="Arial" w:hAnsi="Arial"/>
          <w:sz w:val="16"/>
          <w:szCs w:val="16"/>
          <w:b w:val="1"/>
          <w:bCs w:val="1"/>
          <w:color w:val="41516E"/>
        </w:rPr>
        <w:t xml:space="preserve"> </w:t>
      </w:r>
      <w:r>
        <w:rPr>
          <w:rFonts w:ascii="Arial" w:cs="Arial" w:eastAsia="Arial" w:hAnsi="Arial"/>
          <w:sz w:val="16"/>
          <w:szCs w:val="16"/>
          <w:color w:val="41516E"/>
        </w:rPr>
        <w:t>operations in the alcoholic beverage and food industry. Prior to joining Boston Beer, Mr. Reynoso served as the Chief Financial Officer of the Prepared Foods division of Tyson Foods, a multinational food manufacturer, based out of its Chicago office, from 2021 to 2023. From 2017 to 2021, he served as Senior Vice President and Chief Financial Officer of the $5 billion beer division of Constellation Brands, an international alcoholic beverage company, also based out of its Chicago office. Prior to that, Mr. Reynoso held various senior financial and operational roles at Beam Suntory Inc., a global spirits manufacturer, from 2005 to 2017, including as CFO Global Operations and Group Treasury and Tax from 2016 to 2017, North American Chief Financial Officer &amp; General Manager International Markets from 2014 to 2016, and Chief Operating Officer and Chief Financial Officer North America from 2013 to 2014. Earlier in his career, he also held roles at Allied-Domecq, Danone, and Procter &amp; Gamble. He was appointed to the Board of Directors of SunOpta Inc., a natural food and mineral company headquartered in Eden Prairie, Minnesota, in March 2023 and currently serves as a member of SunOpta’s Audit Committee and Corporate Governance Committee</w:t>
      </w:r>
      <w:r>
        <w:rPr>
          <w:rFonts w:ascii="Arial" w:cs="Arial" w:eastAsia="Arial" w:hAnsi="Arial"/>
          <w:sz w:val="17"/>
          <w:szCs w:val="17"/>
          <w:color w:val="41516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103505</wp:posOffset>
            </wp:positionV>
            <wp:extent cx="8572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27</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Compensation </w:t>
      </w:r>
      <w:r>
        <w:rPr>
          <w:rFonts w:ascii="Arial" w:cs="Arial" w:eastAsia="Arial" w:hAnsi="Arial"/>
          <w:sz w:val="47"/>
          <w:szCs w:val="47"/>
          <w:b w:val="1"/>
          <w:bCs w:val="1"/>
          <w:color w:val="798297"/>
        </w:rPr>
        <w:t>Discussion and Analysis</w:t>
      </w:r>
    </w:p>
    <w:p>
      <w:pPr>
        <w:spacing w:after="0" w:line="3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41516E"/>
        </w:rPr>
        <w:t>In this section of the Proxy Statement, which we sometimes refer to as the CD&amp;A, we will describe the important components of our executive compensation program for our Named Executive Officers. In 2023,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90805</wp:posOffset>
            </wp:positionV>
            <wp:extent cx="38830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76" w:lineRule="exact"/>
        <w:rPr>
          <w:sz w:val="20"/>
          <w:szCs w:val="20"/>
          <w:color w:val="auto"/>
        </w:rPr>
      </w:pPr>
    </w:p>
    <w:tbl>
      <w:tblPr>
        <w:tblLayout w:type="fixed"/>
        <w:tblInd w:w="2560" w:type="dxa"/>
        <w:tblCellMar>
          <w:top w:w="0" w:type="dxa"/>
          <w:left w:w="0" w:type="dxa"/>
          <w:bottom w:w="0" w:type="dxa"/>
          <w:right w:w="0" w:type="dxa"/>
        </w:tblCellMar>
      </w:tblPr>
      <w:tr>
        <w:trPr>
          <w:trHeight w:val="223"/>
        </w:trPr>
        <w:tc>
          <w:tcPr>
            <w:tcW w:w="2020" w:type="dxa"/>
            <w:vAlign w:val="bottom"/>
          </w:tcPr>
          <w:p>
            <w:pPr>
              <w:ind w:left="80"/>
              <w:spacing w:after="0"/>
              <w:rPr>
                <w:sz w:val="20"/>
                <w:szCs w:val="20"/>
                <w:color w:val="auto"/>
              </w:rPr>
            </w:pPr>
            <w:r>
              <w:rPr>
                <w:rFonts w:ascii="Arial" w:cs="Arial" w:eastAsia="Arial" w:hAnsi="Arial"/>
                <w:sz w:val="16"/>
                <w:szCs w:val="16"/>
                <w:b w:val="1"/>
                <w:bCs w:val="1"/>
                <w:color w:val="41516E"/>
              </w:rPr>
              <w:t>DAVID A. BURWICK,</w:t>
            </w:r>
          </w:p>
        </w:tc>
        <w:tc>
          <w:tcPr>
            <w:tcW w:w="4100" w:type="dxa"/>
            <w:vAlign w:val="bottom"/>
          </w:tcPr>
          <w:p>
            <w:pPr>
              <w:ind w:left="140"/>
              <w:spacing w:after="0"/>
              <w:rPr>
                <w:sz w:val="20"/>
                <w:szCs w:val="20"/>
                <w:color w:val="auto"/>
              </w:rPr>
            </w:pPr>
            <w:r>
              <w:rPr>
                <w:rFonts w:ascii="Arial" w:cs="Arial" w:eastAsia="Arial" w:hAnsi="Arial"/>
                <w:sz w:val="16"/>
                <w:szCs w:val="16"/>
                <w:color w:val="41516E"/>
              </w:rPr>
              <w:t>President and Chief Executive Officer</w:t>
            </w:r>
          </w:p>
        </w:tc>
      </w:tr>
      <w:tr>
        <w:trPr>
          <w:trHeight w:val="243"/>
        </w:trPr>
        <w:tc>
          <w:tcPr>
            <w:tcW w:w="2020" w:type="dxa"/>
            <w:vAlign w:val="bottom"/>
          </w:tcPr>
          <w:p>
            <w:pPr>
              <w:ind w:left="80"/>
              <w:spacing w:after="0"/>
              <w:rPr>
                <w:sz w:val="20"/>
                <w:szCs w:val="20"/>
                <w:color w:val="auto"/>
              </w:rPr>
            </w:pPr>
            <w:r>
              <w:rPr>
                <w:rFonts w:ascii="Arial" w:cs="Arial" w:eastAsia="Arial" w:hAnsi="Arial"/>
                <w:sz w:val="16"/>
                <w:szCs w:val="16"/>
                <w:b w:val="1"/>
                <w:bCs w:val="1"/>
                <w:color w:val="41516E"/>
              </w:rPr>
              <w:t>DIEGO REYNOSO,</w:t>
            </w:r>
          </w:p>
        </w:tc>
        <w:tc>
          <w:tcPr>
            <w:tcW w:w="4100" w:type="dxa"/>
            <w:vAlign w:val="bottom"/>
          </w:tcPr>
          <w:p>
            <w:pPr>
              <w:ind w:left="140"/>
              <w:spacing w:after="0"/>
              <w:rPr>
                <w:sz w:val="20"/>
                <w:szCs w:val="20"/>
                <w:color w:val="auto"/>
              </w:rPr>
            </w:pPr>
            <w:r>
              <w:rPr>
                <w:rFonts w:ascii="Arial" w:cs="Arial" w:eastAsia="Arial" w:hAnsi="Arial"/>
                <w:sz w:val="16"/>
                <w:szCs w:val="16"/>
                <w:color w:val="41516E"/>
              </w:rPr>
              <w:t>Treasurer and Chief Financial Officer</w:t>
            </w:r>
          </w:p>
        </w:tc>
      </w:tr>
      <w:tr>
        <w:trPr>
          <w:trHeight w:val="243"/>
        </w:trPr>
        <w:tc>
          <w:tcPr>
            <w:tcW w:w="2020" w:type="dxa"/>
            <w:vAlign w:val="bottom"/>
          </w:tcPr>
          <w:p>
            <w:pPr>
              <w:ind w:left="80"/>
              <w:spacing w:after="0"/>
              <w:rPr>
                <w:sz w:val="20"/>
                <w:szCs w:val="20"/>
                <w:color w:val="auto"/>
              </w:rPr>
            </w:pPr>
            <w:r>
              <w:rPr>
                <w:rFonts w:ascii="Arial" w:cs="Arial" w:eastAsia="Arial" w:hAnsi="Arial"/>
                <w:sz w:val="16"/>
                <w:szCs w:val="16"/>
                <w:b w:val="1"/>
                <w:bCs w:val="1"/>
                <w:color w:val="41516E"/>
              </w:rPr>
              <w:t>MATTHEW D. MURPHY,</w:t>
            </w:r>
          </w:p>
        </w:tc>
        <w:tc>
          <w:tcPr>
            <w:tcW w:w="4100" w:type="dxa"/>
            <w:vAlign w:val="bottom"/>
          </w:tcPr>
          <w:p>
            <w:pPr>
              <w:ind w:left="140"/>
              <w:spacing w:after="0"/>
              <w:rPr>
                <w:sz w:val="20"/>
                <w:szCs w:val="20"/>
                <w:color w:val="auto"/>
              </w:rPr>
            </w:pPr>
            <w:r>
              <w:rPr>
                <w:rFonts w:ascii="Arial" w:cs="Arial" w:eastAsia="Arial" w:hAnsi="Arial"/>
                <w:sz w:val="16"/>
                <w:szCs w:val="16"/>
                <w:color w:val="41516E"/>
              </w:rPr>
              <w:t>Chief Accounting Officer and Vice President of Finance</w:t>
            </w:r>
          </w:p>
        </w:tc>
      </w:tr>
      <w:tr>
        <w:trPr>
          <w:trHeight w:val="243"/>
        </w:trPr>
        <w:tc>
          <w:tcPr>
            <w:tcW w:w="2020" w:type="dxa"/>
            <w:vAlign w:val="bottom"/>
          </w:tcPr>
          <w:p>
            <w:pPr>
              <w:ind w:left="80"/>
              <w:spacing w:after="0"/>
              <w:rPr>
                <w:sz w:val="20"/>
                <w:szCs w:val="20"/>
                <w:color w:val="auto"/>
              </w:rPr>
            </w:pPr>
            <w:r>
              <w:rPr>
                <w:rFonts w:ascii="Arial" w:cs="Arial" w:eastAsia="Arial" w:hAnsi="Arial"/>
                <w:sz w:val="16"/>
                <w:szCs w:val="16"/>
                <w:b w:val="1"/>
                <w:bCs w:val="1"/>
                <w:color w:val="41516E"/>
              </w:rPr>
              <w:t>PHILIP A. HODGES,</w:t>
            </w:r>
          </w:p>
        </w:tc>
        <w:tc>
          <w:tcPr>
            <w:tcW w:w="4100" w:type="dxa"/>
            <w:vAlign w:val="bottom"/>
          </w:tcPr>
          <w:p>
            <w:pPr>
              <w:ind w:left="140"/>
              <w:spacing w:after="0"/>
              <w:rPr>
                <w:sz w:val="20"/>
                <w:szCs w:val="20"/>
                <w:color w:val="auto"/>
              </w:rPr>
            </w:pPr>
            <w:r>
              <w:rPr>
                <w:rFonts w:ascii="Arial" w:cs="Arial" w:eastAsia="Arial" w:hAnsi="Arial"/>
                <w:sz w:val="16"/>
                <w:szCs w:val="16"/>
                <w:color w:val="41516E"/>
              </w:rPr>
              <w:t>Chief Supply Chain Officer</w:t>
            </w:r>
          </w:p>
        </w:tc>
      </w:tr>
      <w:tr>
        <w:trPr>
          <w:trHeight w:val="243"/>
        </w:trPr>
        <w:tc>
          <w:tcPr>
            <w:tcW w:w="2020" w:type="dxa"/>
            <w:vAlign w:val="bottom"/>
          </w:tcPr>
          <w:p>
            <w:pPr>
              <w:ind w:left="80"/>
              <w:spacing w:after="0"/>
              <w:rPr>
                <w:sz w:val="20"/>
                <w:szCs w:val="20"/>
                <w:color w:val="auto"/>
              </w:rPr>
            </w:pPr>
            <w:r>
              <w:rPr>
                <w:rFonts w:ascii="Arial" w:cs="Arial" w:eastAsia="Arial" w:hAnsi="Arial"/>
                <w:sz w:val="16"/>
                <w:szCs w:val="16"/>
                <w:b w:val="1"/>
                <w:bCs w:val="1"/>
                <w:color w:val="41516E"/>
              </w:rPr>
              <w:t>JOHN C. GEIST,</w:t>
            </w:r>
          </w:p>
        </w:tc>
        <w:tc>
          <w:tcPr>
            <w:tcW w:w="4100" w:type="dxa"/>
            <w:vAlign w:val="bottom"/>
          </w:tcPr>
          <w:p>
            <w:pPr>
              <w:ind w:left="140"/>
              <w:spacing w:after="0"/>
              <w:rPr>
                <w:sz w:val="20"/>
                <w:szCs w:val="20"/>
                <w:color w:val="auto"/>
              </w:rPr>
            </w:pPr>
            <w:r>
              <w:rPr>
                <w:rFonts w:ascii="Arial" w:cs="Arial" w:eastAsia="Arial" w:hAnsi="Arial"/>
                <w:sz w:val="16"/>
                <w:szCs w:val="16"/>
                <w:color w:val="41516E"/>
              </w:rPr>
              <w:t>Chief Sales Officer</w:t>
            </w:r>
          </w:p>
        </w:tc>
      </w:tr>
      <w:tr>
        <w:trPr>
          <w:trHeight w:val="243"/>
        </w:trPr>
        <w:tc>
          <w:tcPr>
            <w:tcW w:w="2020" w:type="dxa"/>
            <w:vAlign w:val="bottom"/>
          </w:tcPr>
          <w:p>
            <w:pPr>
              <w:ind w:left="80"/>
              <w:spacing w:after="0"/>
              <w:rPr>
                <w:sz w:val="20"/>
                <w:szCs w:val="20"/>
                <w:color w:val="auto"/>
              </w:rPr>
            </w:pPr>
            <w:r>
              <w:rPr>
                <w:rFonts w:ascii="Arial" w:cs="Arial" w:eastAsia="Arial" w:hAnsi="Arial"/>
                <w:sz w:val="16"/>
                <w:szCs w:val="16"/>
                <w:b w:val="1"/>
                <w:bCs w:val="1"/>
                <w:color w:val="41516E"/>
              </w:rPr>
              <w:t>LESYA LYSYJ,</w:t>
            </w:r>
          </w:p>
        </w:tc>
        <w:tc>
          <w:tcPr>
            <w:tcW w:w="4100" w:type="dxa"/>
            <w:vAlign w:val="bottom"/>
          </w:tcPr>
          <w:p>
            <w:pPr>
              <w:ind w:left="140"/>
              <w:spacing w:after="0"/>
              <w:rPr>
                <w:sz w:val="20"/>
                <w:szCs w:val="20"/>
                <w:color w:val="auto"/>
              </w:rPr>
            </w:pPr>
            <w:r>
              <w:rPr>
                <w:rFonts w:ascii="Arial" w:cs="Arial" w:eastAsia="Arial" w:hAnsi="Arial"/>
                <w:sz w:val="16"/>
                <w:szCs w:val="16"/>
                <w:color w:val="41516E"/>
              </w:rPr>
              <w:t>Chief Marketing Officer</w:t>
            </w:r>
          </w:p>
        </w:tc>
      </w:tr>
      <w:tr>
        <w:trPr>
          <w:trHeight w:val="35"/>
        </w:trPr>
        <w:tc>
          <w:tcPr>
            <w:tcW w:w="2020" w:type="dxa"/>
            <w:vAlign w:val="bottom"/>
            <w:tcBorders>
              <w:bottom w:val="single" w:sz="8" w:color="41516E"/>
            </w:tcBorders>
          </w:tcPr>
          <w:p>
            <w:pPr>
              <w:spacing w:after="0"/>
              <w:rPr>
                <w:sz w:val="3"/>
                <w:szCs w:val="3"/>
                <w:color w:val="auto"/>
              </w:rPr>
            </w:pPr>
          </w:p>
        </w:tc>
        <w:tc>
          <w:tcPr>
            <w:tcW w:w="4100" w:type="dxa"/>
            <w:vAlign w:val="bottom"/>
            <w:tcBorders>
              <w:bottom w:val="single" w:sz="8" w:color="41516E"/>
            </w:tcBorders>
          </w:tcPr>
          <w:p>
            <w:pPr>
              <w:spacing w:after="0"/>
              <w:rPr>
                <w:sz w:val="3"/>
                <w:szCs w:val="3"/>
                <w:color w:val="auto"/>
              </w:rPr>
            </w:pPr>
          </w:p>
        </w:tc>
      </w:tr>
    </w:tbl>
    <w:p>
      <w:pPr>
        <w:spacing w:after="0" w:line="17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41516E"/>
        </w:rPr>
        <w:t>Additionally, pursuant to SEC regulations, former Treasurer and Chief Financial Officer Frank H. Smalla is included herein as an NEO for Fiscal Year 2023. Mr. Smalla stepped down from his position as Treasurer and Chief Financial Officer effective as of March 6, 2023, remaining with the Company in an advisory role through April 14, 2023.</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41516E"/>
        </w:rPr>
        <w:t>Mr. Murphy served as the Company’s interim Chief Financial Officer from March 7, 2023 until September 4, 2023.</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In addition to providing an overview of our executive compensation program, this section also explains how the Compensation Committee determines the specific compensation policies and decisions involving our Named Executive Officers.</w:t>
      </w:r>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Role of the Compensation Committee</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The Compensation Committee has overall responsibility for evaluating and approving Boston Beer’s compensation programs and policies relating to Directors and Executive Officers. This includes reviewing the competitiveness of executive compensation programs, evaluating the performance of our Executive Officers, approving their annual compensation, and recommending approval of equity awards to the full Board. The Committee reviews and approves corporate goals and objectives relevant to the compensation of our Chairman, CEO, and other Executive Officers; evaluates the achievement of those goals, taking into consideration the recommendations of the CEO; and sets compensation levels based on this evaluation. The Committee also reviews and approves, on an advisory basis, the overall bonus structure and scale for all other coworkers.</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Compensation Philosophy and Objectives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Boston Beer’s executive compensation program is designed to attract, develop, engage, and retain highly talented executives, with a focus on pay for performance through bonuses linked to Company and individual performance and equity awards with performance-based vesting linked to Company performance and time-based vesting linked to retention. Overall, Boston Beer believes it should provide competitive pay to its Executive Officers and align compensation with the achievement of the Company’s goals and delivering strong Company performance, in terms of both growth and long-term stockholder value. These compensation packages are designed to:</w:t>
      </w:r>
    </w:p>
    <w:p>
      <w:pPr>
        <w:spacing w:after="0" w:line="153" w:lineRule="exact"/>
        <w:rPr>
          <w:sz w:val="20"/>
          <w:szCs w:val="20"/>
          <w:color w:val="auto"/>
        </w:rPr>
      </w:pPr>
    </w:p>
    <w:p>
      <w:pPr>
        <w:ind w:left="180" w:hanging="172"/>
        <w:spacing w:after="0" w:line="286" w:lineRule="auto"/>
        <w:tabs>
          <w:tab w:leader="none" w:pos="180" w:val="left"/>
        </w:tabs>
        <w:numPr>
          <w:ilvl w:val="0"/>
          <w:numId w:val="12"/>
        </w:numPr>
        <w:rPr>
          <w:rFonts w:ascii="Arial" w:cs="Arial" w:eastAsia="Arial" w:hAnsi="Arial"/>
          <w:sz w:val="16"/>
          <w:szCs w:val="16"/>
          <w:color w:val="41516E"/>
        </w:rPr>
      </w:pPr>
      <w:r>
        <w:rPr>
          <w:rFonts w:ascii="Arial" w:cs="Arial" w:eastAsia="Arial" w:hAnsi="Arial"/>
          <w:sz w:val="16"/>
          <w:szCs w:val="16"/>
          <w:color w:val="41516E"/>
        </w:rPr>
        <w:t>provide executives with competitive cash and equity compensation with a significant portion of total compensation contingent on Company performance, thereby increasing stockholder value;</w:t>
      </w:r>
    </w:p>
    <w:p>
      <w:pPr>
        <w:spacing w:after="0" w:line="20" w:lineRule="exact"/>
        <w:rPr>
          <w:rFonts w:ascii="Arial" w:cs="Arial" w:eastAsia="Arial" w:hAnsi="Arial"/>
          <w:sz w:val="16"/>
          <w:szCs w:val="16"/>
          <w:color w:val="41516E"/>
        </w:rPr>
      </w:pPr>
    </w:p>
    <w:p>
      <w:pPr>
        <w:ind w:left="180" w:hanging="172"/>
        <w:spacing w:after="0"/>
        <w:tabs>
          <w:tab w:leader="none" w:pos="180" w:val="left"/>
        </w:tabs>
        <w:numPr>
          <w:ilvl w:val="0"/>
          <w:numId w:val="12"/>
        </w:numPr>
        <w:rPr>
          <w:rFonts w:ascii="Arial" w:cs="Arial" w:eastAsia="Arial" w:hAnsi="Arial"/>
          <w:sz w:val="16"/>
          <w:szCs w:val="16"/>
          <w:color w:val="41516E"/>
        </w:rPr>
      </w:pPr>
      <w:r>
        <w:rPr>
          <w:rFonts w:ascii="Arial" w:cs="Arial" w:eastAsia="Arial" w:hAnsi="Arial"/>
          <w:sz w:val="16"/>
          <w:szCs w:val="16"/>
          <w:color w:val="41516E"/>
        </w:rPr>
        <w:t>provide higher compensation to high-value contributors and high performers in the most critical areas of the Company’s business; and</w:t>
      </w:r>
    </w:p>
    <w:p>
      <w:pPr>
        <w:spacing w:after="0" w:line="86"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12"/>
        </w:numPr>
        <w:rPr>
          <w:rFonts w:ascii="Arial" w:cs="Arial" w:eastAsia="Arial" w:hAnsi="Arial"/>
          <w:sz w:val="16"/>
          <w:szCs w:val="16"/>
          <w:color w:val="41516E"/>
        </w:rPr>
      </w:pPr>
      <w:r>
        <w:rPr>
          <w:rFonts w:ascii="Arial" w:cs="Arial" w:eastAsia="Arial" w:hAnsi="Arial"/>
          <w:sz w:val="16"/>
          <w:szCs w:val="16"/>
          <w:color w:val="41516E"/>
        </w:rPr>
        <w:t>encourage executives to act as owners with an equity stake in the Company, while reducing risk from its compensation practices that would be reasonably likely to have a material adverse effect on the Company, by basing variable compensation on a range of performance criteria that have a mix of short-term and long-term implications.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41516E"/>
        </w:rPr>
        <w:t>In keeping with these objectives, the structure of our executive compensation program is described in the section below.</w:t>
      </w:r>
    </w:p>
    <w:p>
      <w:pPr>
        <w:spacing w:after="0" w:line="174"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Response to Recent Advisory Say-on-Pay Votes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In establishing the Company’s compensation practices for 2023, the Board and the Compensation Committee considered the results of recent advisory Say-on-Pay votes as well as our discussions with stockholders which are discussed in detail under the heading “Stockholder Engagement” above. At our 2023 Annual Meeting of Stockholders, approximately 91.7% of the votes cast on our Say-on-Pay proposal were cast in support of the compensation of our NEOs.</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Components of Executive Compensation and Compensation Mix</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In 2023, the total potential compensation mix of our Named Executive Officers balanced: (1) competitive base salaries; (2) cash incentive bonuses contingent primarily on Company performance; (3) option awards generally contingent solely on multi-year Company performance; and (4) restricted stock unit awards generally contingent on continued employment. These pillars of our executive compensation program are described in more detail below. For other Executive Officers and senior managers of the Company, the proportion of compensation provided by equity and other variable performance-based compensation increases with the individual’s level of responsibility and ability to have an impact on the Company’s business.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Base Salary</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Base salaries are determined by a variety of factors, including the executive’s scope of responsibilities, experience, performance, and a comparison of salaries paid to peers within the Company and to those with similar roles at other companies of similar size, scale, and complexity. Base salaries are set at levels that allow us to attract and retain superior leaders and that will enable us to deliver on our business goals. Salaries are reviewed annually and may be adjusted after considering the above factors.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The Compensation Committee determines the base salaries of the Chairman and the CEO, considering individual and Company performance, individual responsibilities, and market data regarding peer group compensation. The Chairman makes a recommendation to the Compensation Committee for the base salary of the CEO. The CEO, in turn, makes recommendations to the Compensation Committee for base salaries of each Executive Officer, other than the Chairman and the CEO. When setting the base salaries of each of these Executive Officers, the Compensation Committee, while considering the recommendations of the CEO and the Chairman, makes the final determination based on the factors listed above and its assessment of each Executive Officer’s performance during the previous year.</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The Compensation Committee met on February 6, 2023 and reviewed the proposed 2023 compensation packages of our Executive Officers. During the meeting, the Committee approved the following 2023 base salaries for our Named Executive Officers: $860,503 for Mr. Burwick, a 3% increase from his 2022 base salary; $608,650 for Mr. Smalla, a 2% increase from his 2022 base salary; $379,887 for Mr. Murphy, a 3% increase from his 2022 base salary; $608,650 for Mr. Geist, a 2% increase from his 2022 base salary; and $529,045 for Ms. Lysyj, a 2% increase from her 2022 base salary.</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As disclosed in Form 8-Ks filed on March 7, 2023 and May 16, 2023, the Board appointed Mr. Murphy to serve as interim Treasurer and CFO until the Company was able to appoint a permanent successor. On May 12, 2023, Mr. Murphy and the Company entered into an Offer Letter outlining the details of Mr. Murphy’s compensation in this new role. A copy of the Offer Letter was attached as Exhibit 10.1 to the May 16, 2023 Form 8-K. The terms of the Offer Letter were approved by the Compensation Committee on May 3, 2023, and the equity portion of the offer was approved by the full Board of Directors on May 10, 2023. Mr. Murphy’s base salary remained unchanged from his previous base salary.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As disclosed in a Form 8-K filed on May 22, 2023, the Company announced that it had hired Mr. Hodges as its Chief Supply Chain Officer pursuant to an Offer Letter dated May 16, 2023. Mr. Hodges’ Offer Letter, attached as Exhibit 10.1 to the May 22, 2023 Form 8-K, was contingent on subsequent approval by the Compensation Committee and the Board of Directors. The non-equity terms of the Offer Letter were approved by the Compensation Committee on May 18, 2023. The equity portion of the Offer Letter was approved by the full Board of Directors on May 18, 2023. As outlined in the Offer Letter, Mr. Hodges’ annual base salary in 2023 was $615,000.</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As disclosed in a Form 8-K filed on July 24, 2023, the Company announced that it had hired Mr. Reynoso as its Chief Financial Officer and Treasurer pursuant to an Offer Letter dated July 21, 2023. The terms of Mr. Reynoso’s Offer Letter, attached as Exhibit 10.1 to the July 24, 2023 Form 8-K, were approved by the Compensation Committee on June 23, 2023 and the full Board of Directors on June 24, 2023. As outlined in the Offer Letter, Mr. Reynoso’s annual base salary in 2023 was $600,000.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104775</wp:posOffset>
            </wp:positionV>
            <wp:extent cx="8572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29</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Cash Incentive Bonuses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Bonuses payable to our Executive Officers are based primarily on Company performance against certain “Company Goals” in accordance with a “Bonus Scale,” subject to limited adjustment by the Compensation Committee, in its discretion, as noted below. In recent years, the Company Goals have consisted of pre-established depletions growth, Earnings Before Interest &amp; Tax (“EBIT”), and resource efficiency (focused operating expense cost savings) targets. For the purposes of the Bonus Scale, EBIT is equivalent to Operating Income on the Income Statement in the Company’s Annual Report on Form 10-K for Fiscal Year 2023, excluding the $16.4 million non-cash impairment recorded primarily for the Dogfish Head brand in September 2023.</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As reported in a Form 8-K filed by the Company on February 10, 2023, at its meeting on February 6, 2023, the Compensation Committee approved: (1) company-wide goals for Fiscal Year 2023 (the “2023 Company Goals”); (2) the 2023 bonus target for each Executive Officer, as a percentage of their base salary (“2023 Bonus Target”); and (3) a bonus funding scale ranging from 0% to 250% (the “2023 Bonus Scale”) for determining bonus payouts as a percentage of each Executive Officer’s respective 2023 Bonus Target, based on the Committee’s determination of the Company’s ultimate achievement of the 2023 Company Goals.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41516E"/>
        </w:rPr>
        <w:t>The target parameters of the 2023 Company Goals were based on the Company’s 2023 Financial Plan. The 2023 Company Goals consisted of achieving:</w:t>
      </w:r>
    </w:p>
    <w:p>
      <w:pPr>
        <w:spacing w:after="0" w:line="2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6"/>
          <w:szCs w:val="16"/>
          <w:color w:val="41516E"/>
        </w:rPr>
      </w:pPr>
      <w:r>
        <w:rPr>
          <w:rFonts w:ascii="Arial" w:cs="Arial" w:eastAsia="Arial" w:hAnsi="Arial"/>
          <w:sz w:val="16"/>
          <w:szCs w:val="16"/>
          <w:color w:val="41516E"/>
        </w:rPr>
        <w:t>certain depletions targets over 2022 on a like-for-like 52-week comparable basis (“2023 Depletions Growth”), which were weighted as 50% of the goals;</w:t>
      </w:r>
    </w:p>
    <w:p>
      <w:pPr>
        <w:spacing w:after="0" w:line="5" w:lineRule="exact"/>
        <w:rPr>
          <w:rFonts w:ascii="Arial" w:cs="Arial" w:eastAsia="Arial" w:hAnsi="Arial"/>
          <w:sz w:val="16"/>
          <w:szCs w:val="16"/>
          <w:color w:val="41516E"/>
        </w:rPr>
      </w:pPr>
    </w:p>
    <w:p>
      <w:pPr>
        <w:ind w:right="20" w:firstLine="8"/>
        <w:spacing w:after="0" w:line="265" w:lineRule="auto"/>
        <w:tabs>
          <w:tab w:leader="none" w:pos="256" w:val="left"/>
        </w:tabs>
        <w:numPr>
          <w:ilvl w:val="0"/>
          <w:numId w:val="13"/>
        </w:numPr>
        <w:rPr>
          <w:rFonts w:ascii="Arial" w:cs="Arial" w:eastAsia="Arial" w:hAnsi="Arial"/>
          <w:sz w:val="16"/>
          <w:szCs w:val="16"/>
          <w:color w:val="41516E"/>
        </w:rPr>
      </w:pPr>
      <w:r>
        <w:rPr>
          <w:rFonts w:ascii="Arial" w:cs="Arial" w:eastAsia="Arial" w:hAnsi="Arial"/>
          <w:sz w:val="16"/>
          <w:szCs w:val="16"/>
          <w:color w:val="41516E"/>
        </w:rPr>
        <w:t>certain EBIT targets, which were weighted as 30% of the goals; and (3) the generation of certain resource efficiency (focused operating expense cost savings) targets, which were weighted as 20% of the goals.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41516E"/>
        </w:rPr>
        <w:t>The 2023 Bonus Target approved on February 6, 2023 for each NEO was as follows:</w:t>
      </w:r>
    </w:p>
    <w:p>
      <w:pPr>
        <w:spacing w:after="0" w:line="194"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6"/>
          <w:szCs w:val="16"/>
          <w:color w:val="41516E"/>
        </w:rPr>
      </w:pPr>
      <w:r>
        <w:rPr>
          <w:rFonts w:ascii="Arial" w:cs="Arial" w:eastAsia="Arial" w:hAnsi="Arial"/>
          <w:sz w:val="16"/>
          <w:szCs w:val="16"/>
          <w:color w:val="41516E"/>
        </w:rPr>
        <w:t>Mr. Burwick: 120% of base salary, a 20% increase from his 2022 Bonus Target;</w:t>
      </w:r>
    </w:p>
    <w:p>
      <w:pPr>
        <w:spacing w:after="0" w:line="86" w:lineRule="exact"/>
        <w:rPr>
          <w:rFonts w:ascii="Arial" w:cs="Arial" w:eastAsia="Arial" w:hAnsi="Arial"/>
          <w:sz w:val="16"/>
          <w:szCs w:val="16"/>
          <w:color w:val="41516E"/>
        </w:rPr>
      </w:pPr>
    </w:p>
    <w:p>
      <w:pPr>
        <w:ind w:left="180" w:hanging="172"/>
        <w:spacing w:after="0"/>
        <w:tabs>
          <w:tab w:leader="none" w:pos="180" w:val="left"/>
        </w:tabs>
        <w:numPr>
          <w:ilvl w:val="0"/>
          <w:numId w:val="14"/>
        </w:numPr>
        <w:rPr>
          <w:rFonts w:ascii="Arial" w:cs="Arial" w:eastAsia="Arial" w:hAnsi="Arial"/>
          <w:sz w:val="16"/>
          <w:szCs w:val="16"/>
          <w:color w:val="41516E"/>
        </w:rPr>
      </w:pPr>
      <w:r>
        <w:rPr>
          <w:rFonts w:ascii="Arial" w:cs="Arial" w:eastAsia="Arial" w:hAnsi="Arial"/>
          <w:sz w:val="16"/>
          <w:szCs w:val="16"/>
          <w:color w:val="41516E"/>
        </w:rPr>
        <w:t>Mr. Smalla: 75% of base salary, no change from 2022;</w:t>
      </w:r>
    </w:p>
    <w:p>
      <w:pPr>
        <w:spacing w:after="0" w:line="86" w:lineRule="exact"/>
        <w:rPr>
          <w:rFonts w:ascii="Arial" w:cs="Arial" w:eastAsia="Arial" w:hAnsi="Arial"/>
          <w:sz w:val="16"/>
          <w:szCs w:val="16"/>
          <w:color w:val="41516E"/>
        </w:rPr>
      </w:pPr>
    </w:p>
    <w:p>
      <w:pPr>
        <w:ind w:left="180" w:hanging="172"/>
        <w:spacing w:after="0"/>
        <w:tabs>
          <w:tab w:leader="none" w:pos="180" w:val="left"/>
        </w:tabs>
        <w:numPr>
          <w:ilvl w:val="0"/>
          <w:numId w:val="14"/>
        </w:numPr>
        <w:rPr>
          <w:rFonts w:ascii="Arial" w:cs="Arial" w:eastAsia="Arial" w:hAnsi="Arial"/>
          <w:sz w:val="16"/>
          <w:szCs w:val="16"/>
          <w:color w:val="41516E"/>
        </w:rPr>
      </w:pPr>
      <w:r>
        <w:rPr>
          <w:rFonts w:ascii="Arial" w:cs="Arial" w:eastAsia="Arial" w:hAnsi="Arial"/>
          <w:sz w:val="16"/>
          <w:szCs w:val="16"/>
          <w:color w:val="41516E"/>
        </w:rPr>
        <w:t>Mr. Murphy: 40% of base salary, no change from 2022.</w:t>
      </w:r>
    </w:p>
    <w:p>
      <w:pPr>
        <w:spacing w:after="0" w:line="86" w:lineRule="exact"/>
        <w:rPr>
          <w:rFonts w:ascii="Arial" w:cs="Arial" w:eastAsia="Arial" w:hAnsi="Arial"/>
          <w:sz w:val="16"/>
          <w:szCs w:val="16"/>
          <w:color w:val="41516E"/>
        </w:rPr>
      </w:pPr>
    </w:p>
    <w:p>
      <w:pPr>
        <w:ind w:left="180" w:hanging="172"/>
        <w:spacing w:after="0"/>
        <w:tabs>
          <w:tab w:leader="none" w:pos="180" w:val="left"/>
        </w:tabs>
        <w:numPr>
          <w:ilvl w:val="0"/>
          <w:numId w:val="14"/>
        </w:numPr>
        <w:rPr>
          <w:rFonts w:ascii="Arial" w:cs="Arial" w:eastAsia="Arial" w:hAnsi="Arial"/>
          <w:sz w:val="16"/>
          <w:szCs w:val="16"/>
          <w:color w:val="41516E"/>
        </w:rPr>
      </w:pPr>
      <w:r>
        <w:rPr>
          <w:rFonts w:ascii="Arial" w:cs="Arial" w:eastAsia="Arial" w:hAnsi="Arial"/>
          <w:sz w:val="16"/>
          <w:szCs w:val="16"/>
          <w:color w:val="41516E"/>
        </w:rPr>
        <w:t>Mr. Geist: 75% of base salary, no change from 2022; and</w:t>
      </w:r>
    </w:p>
    <w:p>
      <w:pPr>
        <w:spacing w:after="0" w:line="86" w:lineRule="exact"/>
        <w:rPr>
          <w:rFonts w:ascii="Arial" w:cs="Arial" w:eastAsia="Arial" w:hAnsi="Arial"/>
          <w:sz w:val="16"/>
          <w:szCs w:val="16"/>
          <w:color w:val="41516E"/>
        </w:rPr>
      </w:pPr>
    </w:p>
    <w:p>
      <w:pPr>
        <w:ind w:left="180" w:hanging="172"/>
        <w:spacing w:after="0"/>
        <w:tabs>
          <w:tab w:leader="none" w:pos="180" w:val="left"/>
        </w:tabs>
        <w:numPr>
          <w:ilvl w:val="0"/>
          <w:numId w:val="14"/>
        </w:numPr>
        <w:rPr>
          <w:rFonts w:ascii="Arial" w:cs="Arial" w:eastAsia="Arial" w:hAnsi="Arial"/>
          <w:sz w:val="16"/>
          <w:szCs w:val="16"/>
          <w:color w:val="41516E"/>
        </w:rPr>
      </w:pPr>
      <w:r>
        <w:rPr>
          <w:rFonts w:ascii="Arial" w:cs="Arial" w:eastAsia="Arial" w:hAnsi="Arial"/>
          <w:sz w:val="16"/>
          <w:szCs w:val="16"/>
          <w:color w:val="41516E"/>
        </w:rPr>
        <w:t>Ms. Lysyj: 60% of base salary, no change from 2022.</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41516E"/>
        </w:rPr>
        <w:t>In other words, for example, if the Company achieved 100% on the 2023 Bonus Scale, Mr. Burwick would be eligible for a cash bonus of 120% of his base salary, subject to adjustment by the Compensation Committee as described in more detail below.</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Mr. Murphy’s 2023 Bonus Target was increased to 50% of his base salary in connection with his March 2023 appointment as Interim CFO. The increase was approved by the Compensation Committee on May 3, 2023, outlined in his May 12, 2023 Offer Letter, and disclosed in a Form 8-K dated May 16, 2023.</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Mr. Hodges’ 2023 Bonus Target was set at 60% of his base salary in his May 16, 2023 Offer Letter, which was approved by the Compensation Committee on May 18, 2023 and disclosed in a Form 8-K dated May 22, 2023.</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Mr. Reynoso’s 2023 Bonus Target was set at 60% of his base salary in his July 21, 2023 Offer Letter, which was approved by the Compensation Committee on June 23, 2023 and disclosed in a Form 8-K dated July 24, 2023.</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As reported in the February 10, 2023 Form 8-K, the bonus of each Executive Officer for Fiscal Year 2023 was to be determined by the Compensation Committee before March 1, 2024, based on a three-step process, which process was finalized on February 16, 2024.</w:t>
      </w:r>
    </w:p>
    <w:p>
      <w:pPr>
        <w:spacing w:after="0" w:line="129" w:lineRule="exact"/>
        <w:rPr>
          <w:sz w:val="20"/>
          <w:szCs w:val="20"/>
          <w:color w:val="auto"/>
        </w:rPr>
      </w:pPr>
    </w:p>
    <w:p>
      <w:pPr>
        <w:ind w:left="180" w:right="20" w:hanging="172"/>
        <w:spacing w:after="0" w:line="286" w:lineRule="auto"/>
        <w:tabs>
          <w:tab w:leader="none" w:pos="180" w:val="left"/>
        </w:tabs>
        <w:numPr>
          <w:ilvl w:val="0"/>
          <w:numId w:val="15"/>
        </w:numPr>
        <w:rPr>
          <w:rFonts w:ascii="Arial" w:cs="Arial" w:eastAsia="Arial" w:hAnsi="Arial"/>
          <w:sz w:val="16"/>
          <w:szCs w:val="16"/>
          <w:color w:val="41516E"/>
        </w:rPr>
      </w:pPr>
      <w:r>
        <w:rPr>
          <w:rFonts w:ascii="Arial" w:cs="Arial" w:eastAsia="Arial" w:hAnsi="Arial"/>
          <w:sz w:val="16"/>
          <w:szCs w:val="16"/>
          <w:color w:val="41516E"/>
        </w:rPr>
        <w:t>First, the Committee was tasked with determining the Company’s achievement of the 2023 Company Goals against the 2023 Bonus Scale (the “2023 Achievement”).</w:t>
      </w:r>
    </w:p>
    <w:p>
      <w:pPr>
        <w:spacing w:after="0" w:line="20"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15"/>
        </w:numPr>
        <w:rPr>
          <w:rFonts w:ascii="Arial" w:cs="Arial" w:eastAsia="Arial" w:hAnsi="Arial"/>
          <w:sz w:val="16"/>
          <w:szCs w:val="16"/>
          <w:color w:val="41516E"/>
        </w:rPr>
      </w:pPr>
      <w:r>
        <w:rPr>
          <w:rFonts w:ascii="Arial" w:cs="Arial" w:eastAsia="Arial" w:hAnsi="Arial"/>
          <w:sz w:val="16"/>
          <w:szCs w:val="16"/>
          <w:color w:val="41516E"/>
        </w:rPr>
        <w:t>Second, the Committee established an aggregate bonus pool for the Company’s Executive Officers, including the NEOs, by applying the 2023 Achievement against each Officer’s 2023 Bonus Target.</w:t>
      </w:r>
    </w:p>
    <w:p>
      <w:pPr>
        <w:spacing w:after="0" w:line="20" w:lineRule="exact"/>
        <w:rPr>
          <w:rFonts w:ascii="Arial" w:cs="Arial" w:eastAsia="Arial" w:hAnsi="Arial"/>
          <w:sz w:val="16"/>
          <w:szCs w:val="16"/>
          <w:color w:val="41516E"/>
        </w:rPr>
      </w:pPr>
    </w:p>
    <w:p>
      <w:pPr>
        <w:jc w:val="both"/>
        <w:ind w:left="180" w:hanging="172"/>
        <w:spacing w:after="0" w:line="255" w:lineRule="auto"/>
        <w:tabs>
          <w:tab w:leader="none" w:pos="180" w:val="left"/>
        </w:tabs>
        <w:numPr>
          <w:ilvl w:val="0"/>
          <w:numId w:val="15"/>
        </w:numPr>
        <w:rPr>
          <w:rFonts w:ascii="Arial" w:cs="Arial" w:eastAsia="Arial" w:hAnsi="Arial"/>
          <w:sz w:val="16"/>
          <w:szCs w:val="16"/>
          <w:color w:val="41516E"/>
        </w:rPr>
      </w:pPr>
      <w:r>
        <w:rPr>
          <w:rFonts w:ascii="Arial" w:cs="Arial" w:eastAsia="Arial" w:hAnsi="Arial"/>
          <w:sz w:val="16"/>
          <w:szCs w:val="16"/>
          <w:color w:val="41516E"/>
        </w:rPr>
        <w:t>Third, the Compensation Committee considered any potential adjustments to any of the Executive Officers’ final 2023 bonus payout based on the Committee’s assessment of each Executive Officer’s overall job performance, key competencies, and the achievement of relevant objectives and key results in 2023. The Committee retains the discretion to increase or decrease an Officer’s bonus payout by 10% from the baseline bonus funding if the Officer was deemed to have performed “successfully” in 2023, and by 30% if the Officer was deemed to have performed “exceptionally.” The Committee had also retained the discretion to decrease an Officer’s 2023 bonus payout to as low as $0 if the Officer was deemed to have performed “unsatisfactorily” in 2023.</w:t>
      </w:r>
    </w:p>
    <w:p>
      <w:pPr>
        <w:spacing w:after="0" w:line="3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The 2023 Bonus Scale, as detailed in the chart below, was a sliding scale of target points for each of the depletions, EBIT, and resource efficiency goals. For example, the potential payouts for achievement relative to the 2023 Depletions Growth target would have been: 0% of target if 2023 Depletions Growth was -8% or less; 100% of target if 2023 Depletions Growth was -3.5%; or 250% of target if 2023 Depletions Growth was 3.5% or greater. For the EBIT target, potential payouts would have been, for example: 0% of target if the Company’s 2023 EBIT was $102 million or less; 100% of target if 2023 EBIT was $128 million; or 250% of target if 2023 EBIT was $175 million or higher. For the resource efficiency target, potential payouts would have been, for example: 0% of target if the Company recognized $52 million or less in resource efficiencies; 100% of target if the Company recognized $72 million in resource efficiencies; or 250% of target if the Company recognized $100 million or more in resource efficiencies.</w:t>
      </w:r>
    </w:p>
    <w:p>
      <w:pPr>
        <w:spacing w:after="0" w:line="135"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8034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80340"/>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1516E"/>
        </w:rPr>
        <w:t>2023 Bonus Scale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60" w:type="dxa"/>
            <w:vAlign w:val="bottom"/>
            <w:tcBorders>
              <w:top w:val="single" w:sz="8" w:color="41516E"/>
            </w:tcBorders>
          </w:tcPr>
          <w:p>
            <w:pPr>
              <w:ind w:left="60"/>
              <w:spacing w:after="0"/>
              <w:rPr>
                <w:sz w:val="20"/>
                <w:szCs w:val="20"/>
                <w:color w:val="auto"/>
              </w:rPr>
            </w:pPr>
            <w:r>
              <w:rPr>
                <w:rFonts w:ascii="Arial" w:cs="Arial" w:eastAsia="Arial" w:hAnsi="Arial"/>
                <w:sz w:val="16"/>
                <w:szCs w:val="16"/>
                <w:color w:val="41516E"/>
              </w:rPr>
              <w:t>Resource Efficiencies (millions $)</w:t>
            </w:r>
          </w:p>
        </w:tc>
        <w:tc>
          <w:tcPr>
            <w:tcW w:w="360" w:type="dxa"/>
            <w:vAlign w:val="bottom"/>
            <w:tcBorders>
              <w:top w:val="single" w:sz="8" w:color="41516E"/>
            </w:tcBorders>
          </w:tcPr>
          <w:p>
            <w:pPr>
              <w:jc w:val="right"/>
              <w:spacing w:after="0"/>
              <w:rPr>
                <w:sz w:val="20"/>
                <w:szCs w:val="20"/>
                <w:color w:val="auto"/>
              </w:rPr>
            </w:pPr>
            <w:r>
              <w:rPr>
                <w:rFonts w:ascii="Arial" w:cs="Arial" w:eastAsia="Arial" w:hAnsi="Arial"/>
                <w:sz w:val="16"/>
                <w:szCs w:val="16"/>
                <w:color w:val="41516E"/>
              </w:rPr>
              <w:t>$</w:t>
            </w:r>
          </w:p>
        </w:tc>
        <w:tc>
          <w:tcPr>
            <w:tcW w:w="580" w:type="dxa"/>
            <w:vAlign w:val="bottom"/>
            <w:tcBorders>
              <w:top w:val="single" w:sz="8" w:color="41516E"/>
            </w:tcBorders>
          </w:tcPr>
          <w:p>
            <w:pPr>
              <w:jc w:val="right"/>
              <w:ind w:right="199"/>
              <w:spacing w:after="0"/>
              <w:rPr>
                <w:sz w:val="20"/>
                <w:szCs w:val="20"/>
                <w:color w:val="auto"/>
              </w:rPr>
            </w:pPr>
            <w:r>
              <w:rPr>
                <w:rFonts w:ascii="Arial" w:cs="Arial" w:eastAsia="Arial" w:hAnsi="Arial"/>
                <w:sz w:val="16"/>
                <w:szCs w:val="16"/>
                <w:color w:val="41516E"/>
              </w:rPr>
              <w:t>52</w:t>
            </w:r>
          </w:p>
        </w:tc>
        <w:tc>
          <w:tcPr>
            <w:tcW w:w="280" w:type="dxa"/>
            <w:vAlign w:val="bottom"/>
            <w:tcBorders>
              <w:top w:val="single" w:sz="8" w:color="41516E"/>
            </w:tcBorders>
          </w:tcPr>
          <w:p>
            <w:pPr>
              <w:jc w:val="right"/>
              <w:spacing w:after="0"/>
              <w:rPr>
                <w:sz w:val="20"/>
                <w:szCs w:val="20"/>
                <w:color w:val="auto"/>
              </w:rPr>
            </w:pPr>
            <w:r>
              <w:rPr>
                <w:rFonts w:ascii="Arial" w:cs="Arial" w:eastAsia="Arial" w:hAnsi="Arial"/>
                <w:sz w:val="16"/>
                <w:szCs w:val="16"/>
                <w:color w:val="41516E"/>
              </w:rPr>
              <w:t>$</w:t>
            </w:r>
          </w:p>
        </w:tc>
        <w:tc>
          <w:tcPr>
            <w:tcW w:w="580" w:type="dxa"/>
            <w:vAlign w:val="bottom"/>
            <w:tcBorders>
              <w:top w:val="single" w:sz="8" w:color="41516E"/>
            </w:tcBorders>
          </w:tcPr>
          <w:p>
            <w:pPr>
              <w:jc w:val="right"/>
              <w:ind w:right="199"/>
              <w:spacing w:after="0"/>
              <w:rPr>
                <w:sz w:val="20"/>
                <w:szCs w:val="20"/>
                <w:color w:val="auto"/>
              </w:rPr>
            </w:pPr>
            <w:r>
              <w:rPr>
                <w:rFonts w:ascii="Arial" w:cs="Arial" w:eastAsia="Arial" w:hAnsi="Arial"/>
                <w:sz w:val="16"/>
                <w:szCs w:val="16"/>
                <w:color w:val="41516E"/>
              </w:rPr>
              <w:t>57</w:t>
            </w:r>
          </w:p>
        </w:tc>
        <w:tc>
          <w:tcPr>
            <w:tcW w:w="280" w:type="dxa"/>
            <w:vAlign w:val="bottom"/>
            <w:tcBorders>
              <w:top w:val="single" w:sz="8" w:color="41516E"/>
            </w:tcBorders>
          </w:tcPr>
          <w:p>
            <w:pPr>
              <w:jc w:val="right"/>
              <w:spacing w:after="0"/>
              <w:rPr>
                <w:sz w:val="20"/>
                <w:szCs w:val="20"/>
                <w:color w:val="auto"/>
              </w:rPr>
            </w:pPr>
            <w:r>
              <w:rPr>
                <w:rFonts w:ascii="Arial" w:cs="Arial" w:eastAsia="Arial" w:hAnsi="Arial"/>
                <w:sz w:val="16"/>
                <w:szCs w:val="16"/>
                <w:color w:val="41516E"/>
              </w:rPr>
              <w:t>$</w:t>
            </w:r>
          </w:p>
        </w:tc>
        <w:tc>
          <w:tcPr>
            <w:tcW w:w="600" w:type="dxa"/>
            <w:vAlign w:val="bottom"/>
            <w:tcBorders>
              <w:top w:val="single" w:sz="8" w:color="41516E"/>
            </w:tcBorders>
          </w:tcPr>
          <w:p>
            <w:pPr>
              <w:jc w:val="right"/>
              <w:ind w:right="219"/>
              <w:spacing w:after="0"/>
              <w:rPr>
                <w:sz w:val="20"/>
                <w:szCs w:val="20"/>
                <w:color w:val="auto"/>
              </w:rPr>
            </w:pPr>
            <w:r>
              <w:rPr>
                <w:rFonts w:ascii="Arial" w:cs="Arial" w:eastAsia="Arial" w:hAnsi="Arial"/>
                <w:sz w:val="16"/>
                <w:szCs w:val="16"/>
                <w:color w:val="41516E"/>
              </w:rPr>
              <w:t>62</w:t>
            </w:r>
          </w:p>
        </w:tc>
        <w:tc>
          <w:tcPr>
            <w:tcW w:w="260" w:type="dxa"/>
            <w:vAlign w:val="bottom"/>
            <w:tcBorders>
              <w:top w:val="single" w:sz="8" w:color="41516E"/>
            </w:tcBorders>
          </w:tcPr>
          <w:p>
            <w:pPr>
              <w:jc w:val="right"/>
              <w:spacing w:after="0"/>
              <w:rPr>
                <w:sz w:val="20"/>
                <w:szCs w:val="20"/>
                <w:color w:val="auto"/>
              </w:rPr>
            </w:pPr>
            <w:r>
              <w:rPr>
                <w:rFonts w:ascii="Arial" w:cs="Arial" w:eastAsia="Arial" w:hAnsi="Arial"/>
                <w:sz w:val="16"/>
                <w:szCs w:val="16"/>
                <w:color w:val="41516E"/>
              </w:rPr>
              <w:t>$</w:t>
            </w:r>
          </w:p>
        </w:tc>
        <w:tc>
          <w:tcPr>
            <w:tcW w:w="600" w:type="dxa"/>
            <w:vAlign w:val="bottom"/>
            <w:tcBorders>
              <w:top w:val="single" w:sz="8" w:color="41516E"/>
            </w:tcBorders>
          </w:tcPr>
          <w:p>
            <w:pPr>
              <w:jc w:val="right"/>
              <w:ind w:right="219"/>
              <w:spacing w:after="0"/>
              <w:rPr>
                <w:sz w:val="20"/>
                <w:szCs w:val="20"/>
                <w:color w:val="auto"/>
              </w:rPr>
            </w:pPr>
            <w:r>
              <w:rPr>
                <w:rFonts w:ascii="Arial" w:cs="Arial" w:eastAsia="Arial" w:hAnsi="Arial"/>
                <w:sz w:val="16"/>
                <w:szCs w:val="16"/>
                <w:color w:val="41516E"/>
              </w:rPr>
              <w:t>67</w:t>
            </w:r>
          </w:p>
        </w:tc>
        <w:tc>
          <w:tcPr>
            <w:tcW w:w="260" w:type="dxa"/>
            <w:vAlign w:val="bottom"/>
            <w:tcBorders>
              <w:top w:val="single" w:sz="8" w:color="41516E"/>
            </w:tcBorders>
          </w:tcPr>
          <w:p>
            <w:pPr>
              <w:jc w:val="right"/>
              <w:spacing w:after="0"/>
              <w:rPr>
                <w:sz w:val="20"/>
                <w:szCs w:val="20"/>
                <w:color w:val="auto"/>
              </w:rPr>
            </w:pPr>
            <w:r>
              <w:rPr>
                <w:rFonts w:ascii="Arial" w:cs="Arial" w:eastAsia="Arial" w:hAnsi="Arial"/>
                <w:sz w:val="16"/>
                <w:szCs w:val="16"/>
                <w:color w:val="41516E"/>
              </w:rPr>
              <w:t>$</w:t>
            </w:r>
          </w:p>
        </w:tc>
        <w:tc>
          <w:tcPr>
            <w:tcW w:w="600" w:type="dxa"/>
            <w:vAlign w:val="bottom"/>
            <w:tcBorders>
              <w:top w:val="single" w:sz="8" w:color="41516E"/>
            </w:tcBorders>
          </w:tcPr>
          <w:p>
            <w:pPr>
              <w:jc w:val="right"/>
              <w:ind w:right="199"/>
              <w:spacing w:after="0"/>
              <w:rPr>
                <w:sz w:val="20"/>
                <w:szCs w:val="20"/>
                <w:color w:val="auto"/>
              </w:rPr>
            </w:pPr>
            <w:r>
              <w:rPr>
                <w:rFonts w:ascii="Arial" w:cs="Arial" w:eastAsia="Arial" w:hAnsi="Arial"/>
                <w:sz w:val="16"/>
                <w:szCs w:val="16"/>
                <w:color w:val="41516E"/>
              </w:rPr>
              <w:t>72</w:t>
            </w:r>
          </w:p>
        </w:tc>
        <w:tc>
          <w:tcPr>
            <w:tcW w:w="260" w:type="dxa"/>
            <w:vAlign w:val="bottom"/>
            <w:tcBorders>
              <w:top w:val="single" w:sz="8" w:color="41516E"/>
            </w:tcBorders>
          </w:tcPr>
          <w:p>
            <w:pPr>
              <w:jc w:val="right"/>
              <w:spacing w:after="0"/>
              <w:rPr>
                <w:sz w:val="20"/>
                <w:szCs w:val="20"/>
                <w:color w:val="auto"/>
              </w:rPr>
            </w:pPr>
            <w:r>
              <w:rPr>
                <w:rFonts w:ascii="Arial" w:cs="Arial" w:eastAsia="Arial" w:hAnsi="Arial"/>
                <w:sz w:val="16"/>
                <w:szCs w:val="16"/>
                <w:color w:val="41516E"/>
              </w:rPr>
              <w:t>$</w:t>
            </w:r>
          </w:p>
        </w:tc>
        <w:tc>
          <w:tcPr>
            <w:tcW w:w="600" w:type="dxa"/>
            <w:vAlign w:val="bottom"/>
            <w:tcBorders>
              <w:top w:val="single" w:sz="8" w:color="41516E"/>
            </w:tcBorders>
          </w:tcPr>
          <w:p>
            <w:pPr>
              <w:jc w:val="right"/>
              <w:ind w:right="199"/>
              <w:spacing w:after="0"/>
              <w:rPr>
                <w:sz w:val="20"/>
                <w:szCs w:val="20"/>
                <w:color w:val="auto"/>
              </w:rPr>
            </w:pPr>
            <w:r>
              <w:rPr>
                <w:rFonts w:ascii="Arial" w:cs="Arial" w:eastAsia="Arial" w:hAnsi="Arial"/>
                <w:sz w:val="16"/>
                <w:szCs w:val="16"/>
                <w:color w:val="41516E"/>
              </w:rPr>
              <w:t>77</w:t>
            </w:r>
          </w:p>
        </w:tc>
        <w:tc>
          <w:tcPr>
            <w:tcW w:w="280" w:type="dxa"/>
            <w:vAlign w:val="bottom"/>
            <w:tcBorders>
              <w:top w:val="single" w:sz="8" w:color="41516E"/>
            </w:tcBorders>
          </w:tcPr>
          <w:p>
            <w:pPr>
              <w:jc w:val="right"/>
              <w:spacing w:after="0"/>
              <w:rPr>
                <w:sz w:val="20"/>
                <w:szCs w:val="20"/>
                <w:color w:val="auto"/>
              </w:rPr>
            </w:pPr>
            <w:r>
              <w:rPr>
                <w:rFonts w:ascii="Arial" w:cs="Arial" w:eastAsia="Arial" w:hAnsi="Arial"/>
                <w:sz w:val="16"/>
                <w:szCs w:val="16"/>
                <w:color w:val="41516E"/>
              </w:rPr>
              <w:t>$</w:t>
            </w:r>
          </w:p>
        </w:tc>
        <w:tc>
          <w:tcPr>
            <w:tcW w:w="580" w:type="dxa"/>
            <w:vAlign w:val="bottom"/>
            <w:tcBorders>
              <w:top w:val="single" w:sz="8" w:color="41516E"/>
            </w:tcBorders>
          </w:tcPr>
          <w:p>
            <w:pPr>
              <w:jc w:val="right"/>
              <w:ind w:right="199"/>
              <w:spacing w:after="0"/>
              <w:rPr>
                <w:sz w:val="20"/>
                <w:szCs w:val="20"/>
                <w:color w:val="auto"/>
              </w:rPr>
            </w:pPr>
            <w:r>
              <w:rPr>
                <w:rFonts w:ascii="Arial" w:cs="Arial" w:eastAsia="Arial" w:hAnsi="Arial"/>
                <w:sz w:val="16"/>
                <w:szCs w:val="16"/>
                <w:color w:val="41516E"/>
              </w:rPr>
              <w:t>82</w:t>
            </w:r>
          </w:p>
        </w:tc>
        <w:tc>
          <w:tcPr>
            <w:tcW w:w="280" w:type="dxa"/>
            <w:vAlign w:val="bottom"/>
            <w:tcBorders>
              <w:top w:val="single" w:sz="8" w:color="41516E"/>
            </w:tcBorders>
          </w:tcPr>
          <w:p>
            <w:pPr>
              <w:jc w:val="right"/>
              <w:spacing w:after="0"/>
              <w:rPr>
                <w:sz w:val="20"/>
                <w:szCs w:val="20"/>
                <w:color w:val="auto"/>
              </w:rPr>
            </w:pPr>
            <w:r>
              <w:rPr>
                <w:rFonts w:ascii="Arial" w:cs="Arial" w:eastAsia="Arial" w:hAnsi="Arial"/>
                <w:sz w:val="16"/>
                <w:szCs w:val="16"/>
                <w:color w:val="41516E"/>
              </w:rPr>
              <w:t>$</w:t>
            </w:r>
          </w:p>
        </w:tc>
        <w:tc>
          <w:tcPr>
            <w:tcW w:w="600" w:type="dxa"/>
            <w:vAlign w:val="bottom"/>
            <w:tcBorders>
              <w:top w:val="single" w:sz="8" w:color="41516E"/>
            </w:tcBorders>
          </w:tcPr>
          <w:p>
            <w:pPr>
              <w:jc w:val="right"/>
              <w:ind w:right="219"/>
              <w:spacing w:after="0"/>
              <w:rPr>
                <w:sz w:val="20"/>
                <w:szCs w:val="20"/>
                <w:color w:val="auto"/>
              </w:rPr>
            </w:pPr>
            <w:r>
              <w:rPr>
                <w:rFonts w:ascii="Arial" w:cs="Arial" w:eastAsia="Arial" w:hAnsi="Arial"/>
                <w:sz w:val="16"/>
                <w:szCs w:val="16"/>
                <w:color w:val="41516E"/>
              </w:rPr>
              <w:t>87</w:t>
            </w:r>
          </w:p>
        </w:tc>
        <w:tc>
          <w:tcPr>
            <w:tcW w:w="260" w:type="dxa"/>
            <w:vAlign w:val="bottom"/>
            <w:tcBorders>
              <w:top w:val="single" w:sz="8" w:color="41516E"/>
            </w:tcBorders>
          </w:tcPr>
          <w:p>
            <w:pPr>
              <w:jc w:val="right"/>
              <w:spacing w:after="0"/>
              <w:rPr>
                <w:sz w:val="20"/>
                <w:szCs w:val="20"/>
                <w:color w:val="auto"/>
              </w:rPr>
            </w:pPr>
            <w:r>
              <w:rPr>
                <w:rFonts w:ascii="Arial" w:cs="Arial" w:eastAsia="Arial" w:hAnsi="Arial"/>
                <w:sz w:val="16"/>
                <w:szCs w:val="16"/>
                <w:color w:val="41516E"/>
              </w:rPr>
              <w:t>$</w:t>
            </w:r>
          </w:p>
        </w:tc>
        <w:tc>
          <w:tcPr>
            <w:tcW w:w="600" w:type="dxa"/>
            <w:vAlign w:val="bottom"/>
            <w:tcBorders>
              <w:top w:val="single" w:sz="8" w:color="41516E"/>
            </w:tcBorders>
          </w:tcPr>
          <w:p>
            <w:pPr>
              <w:jc w:val="right"/>
              <w:ind w:right="219"/>
              <w:spacing w:after="0"/>
              <w:rPr>
                <w:sz w:val="20"/>
                <w:szCs w:val="20"/>
                <w:color w:val="auto"/>
              </w:rPr>
            </w:pPr>
            <w:r>
              <w:rPr>
                <w:rFonts w:ascii="Arial" w:cs="Arial" w:eastAsia="Arial" w:hAnsi="Arial"/>
                <w:sz w:val="16"/>
                <w:szCs w:val="16"/>
                <w:color w:val="41516E"/>
              </w:rPr>
              <w:t>92</w:t>
            </w:r>
          </w:p>
        </w:tc>
        <w:tc>
          <w:tcPr>
            <w:tcW w:w="720" w:type="dxa"/>
            <w:vAlign w:val="bottom"/>
            <w:tcBorders>
              <w:top w:val="single" w:sz="8" w:color="41516E"/>
            </w:tcBorders>
          </w:tcPr>
          <w:p>
            <w:pPr>
              <w:jc w:val="right"/>
              <w:ind w:right="59"/>
              <w:spacing w:after="0"/>
              <w:rPr>
                <w:sz w:val="20"/>
                <w:szCs w:val="20"/>
                <w:color w:val="auto"/>
              </w:rPr>
            </w:pPr>
            <w:r>
              <w:rPr>
                <w:rFonts w:ascii="Arial" w:cs="Arial" w:eastAsia="Arial" w:hAnsi="Arial"/>
                <w:sz w:val="16"/>
                <w:szCs w:val="16"/>
                <w:color w:val="41516E"/>
              </w:rPr>
              <w:t>$ 100</w:t>
            </w:r>
          </w:p>
        </w:tc>
      </w:tr>
      <w:tr>
        <w:trPr>
          <w:trHeight w:val="203"/>
        </w:trPr>
        <w:tc>
          <w:tcPr>
            <w:tcW w:w="266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EBIT (millions $)</w:t>
            </w:r>
          </w:p>
        </w:tc>
        <w:tc>
          <w:tcPr>
            <w:tcW w:w="36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580" w:type="dxa"/>
            <w:vAlign w:val="bottom"/>
            <w:shd w:val="clear" w:color="auto" w:fill="EFF0F1"/>
          </w:tcPr>
          <w:p>
            <w:pPr>
              <w:jc w:val="right"/>
              <w:ind w:right="199"/>
              <w:spacing w:after="0"/>
              <w:rPr>
                <w:sz w:val="20"/>
                <w:szCs w:val="20"/>
                <w:color w:val="auto"/>
              </w:rPr>
            </w:pPr>
            <w:r>
              <w:rPr>
                <w:rFonts w:ascii="Arial" w:cs="Arial" w:eastAsia="Arial" w:hAnsi="Arial"/>
                <w:sz w:val="16"/>
                <w:szCs w:val="16"/>
                <w:color w:val="41516E"/>
              </w:rPr>
              <w:t>102</w:t>
            </w:r>
          </w:p>
        </w:tc>
        <w:tc>
          <w:tcPr>
            <w:tcW w:w="28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580" w:type="dxa"/>
            <w:vAlign w:val="bottom"/>
            <w:shd w:val="clear" w:color="auto" w:fill="EFF0F1"/>
          </w:tcPr>
          <w:p>
            <w:pPr>
              <w:jc w:val="right"/>
              <w:ind w:right="199"/>
              <w:spacing w:after="0"/>
              <w:rPr>
                <w:sz w:val="20"/>
                <w:szCs w:val="20"/>
                <w:color w:val="auto"/>
              </w:rPr>
            </w:pPr>
            <w:r>
              <w:rPr>
                <w:rFonts w:ascii="Arial" w:cs="Arial" w:eastAsia="Arial" w:hAnsi="Arial"/>
                <w:sz w:val="16"/>
                <w:szCs w:val="16"/>
                <w:color w:val="41516E"/>
              </w:rPr>
              <w:t>109</w:t>
            </w:r>
          </w:p>
        </w:tc>
        <w:tc>
          <w:tcPr>
            <w:tcW w:w="28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600" w:type="dxa"/>
            <w:vAlign w:val="bottom"/>
            <w:shd w:val="clear" w:color="auto" w:fill="EFF0F1"/>
          </w:tcPr>
          <w:p>
            <w:pPr>
              <w:jc w:val="right"/>
              <w:ind w:right="219"/>
              <w:spacing w:after="0"/>
              <w:rPr>
                <w:sz w:val="20"/>
                <w:szCs w:val="20"/>
                <w:color w:val="auto"/>
              </w:rPr>
            </w:pPr>
            <w:r>
              <w:rPr>
                <w:rFonts w:ascii="Arial" w:cs="Arial" w:eastAsia="Arial" w:hAnsi="Arial"/>
                <w:sz w:val="16"/>
                <w:szCs w:val="16"/>
                <w:color w:val="41516E"/>
              </w:rPr>
              <w:t>117</w:t>
            </w:r>
          </w:p>
        </w:tc>
        <w:tc>
          <w:tcPr>
            <w:tcW w:w="26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600" w:type="dxa"/>
            <w:vAlign w:val="bottom"/>
            <w:shd w:val="clear" w:color="auto" w:fill="EFF0F1"/>
          </w:tcPr>
          <w:p>
            <w:pPr>
              <w:jc w:val="right"/>
              <w:ind w:right="219"/>
              <w:spacing w:after="0"/>
              <w:rPr>
                <w:sz w:val="20"/>
                <w:szCs w:val="20"/>
                <w:color w:val="auto"/>
              </w:rPr>
            </w:pPr>
            <w:r>
              <w:rPr>
                <w:rFonts w:ascii="Arial" w:cs="Arial" w:eastAsia="Arial" w:hAnsi="Arial"/>
                <w:sz w:val="16"/>
                <w:szCs w:val="16"/>
                <w:color w:val="41516E"/>
              </w:rPr>
              <w:t>122</w:t>
            </w:r>
          </w:p>
        </w:tc>
        <w:tc>
          <w:tcPr>
            <w:tcW w:w="26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600" w:type="dxa"/>
            <w:vAlign w:val="bottom"/>
            <w:shd w:val="clear" w:color="auto" w:fill="EFF0F1"/>
          </w:tcPr>
          <w:p>
            <w:pPr>
              <w:jc w:val="right"/>
              <w:ind w:right="199"/>
              <w:spacing w:after="0"/>
              <w:rPr>
                <w:sz w:val="20"/>
                <w:szCs w:val="20"/>
                <w:color w:val="auto"/>
              </w:rPr>
            </w:pPr>
            <w:r>
              <w:rPr>
                <w:rFonts w:ascii="Arial" w:cs="Arial" w:eastAsia="Arial" w:hAnsi="Arial"/>
                <w:sz w:val="16"/>
                <w:szCs w:val="16"/>
                <w:color w:val="41516E"/>
              </w:rPr>
              <w:t>128</w:t>
            </w:r>
          </w:p>
        </w:tc>
        <w:tc>
          <w:tcPr>
            <w:tcW w:w="26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600" w:type="dxa"/>
            <w:vAlign w:val="bottom"/>
            <w:shd w:val="clear" w:color="auto" w:fill="EFF0F1"/>
          </w:tcPr>
          <w:p>
            <w:pPr>
              <w:jc w:val="right"/>
              <w:ind w:right="199"/>
              <w:spacing w:after="0"/>
              <w:rPr>
                <w:sz w:val="20"/>
                <w:szCs w:val="20"/>
                <w:color w:val="auto"/>
              </w:rPr>
            </w:pPr>
            <w:r>
              <w:rPr>
                <w:rFonts w:ascii="Arial" w:cs="Arial" w:eastAsia="Arial" w:hAnsi="Arial"/>
                <w:sz w:val="16"/>
                <w:szCs w:val="16"/>
                <w:color w:val="41516E"/>
              </w:rPr>
              <w:t>135</w:t>
            </w:r>
          </w:p>
        </w:tc>
        <w:tc>
          <w:tcPr>
            <w:tcW w:w="28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580" w:type="dxa"/>
            <w:vAlign w:val="bottom"/>
            <w:shd w:val="clear" w:color="auto" w:fill="EFF0F1"/>
          </w:tcPr>
          <w:p>
            <w:pPr>
              <w:jc w:val="right"/>
              <w:ind w:right="199"/>
              <w:spacing w:after="0"/>
              <w:rPr>
                <w:sz w:val="20"/>
                <w:szCs w:val="20"/>
                <w:color w:val="auto"/>
              </w:rPr>
            </w:pPr>
            <w:r>
              <w:rPr>
                <w:rFonts w:ascii="Arial" w:cs="Arial" w:eastAsia="Arial" w:hAnsi="Arial"/>
                <w:sz w:val="16"/>
                <w:szCs w:val="16"/>
                <w:color w:val="41516E"/>
              </w:rPr>
              <w:t>145</w:t>
            </w:r>
          </w:p>
        </w:tc>
        <w:tc>
          <w:tcPr>
            <w:tcW w:w="28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600" w:type="dxa"/>
            <w:vAlign w:val="bottom"/>
            <w:shd w:val="clear" w:color="auto" w:fill="EFF0F1"/>
          </w:tcPr>
          <w:p>
            <w:pPr>
              <w:jc w:val="right"/>
              <w:ind w:right="219"/>
              <w:spacing w:after="0"/>
              <w:rPr>
                <w:sz w:val="20"/>
                <w:szCs w:val="20"/>
                <w:color w:val="auto"/>
              </w:rPr>
            </w:pPr>
            <w:r>
              <w:rPr>
                <w:rFonts w:ascii="Arial" w:cs="Arial" w:eastAsia="Arial" w:hAnsi="Arial"/>
                <w:sz w:val="16"/>
                <w:szCs w:val="16"/>
                <w:color w:val="41516E"/>
              </w:rPr>
              <w:t>155</w:t>
            </w:r>
          </w:p>
        </w:tc>
        <w:tc>
          <w:tcPr>
            <w:tcW w:w="26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600" w:type="dxa"/>
            <w:vAlign w:val="bottom"/>
            <w:shd w:val="clear" w:color="auto" w:fill="EFF0F1"/>
          </w:tcPr>
          <w:p>
            <w:pPr>
              <w:jc w:val="right"/>
              <w:ind w:right="219"/>
              <w:spacing w:after="0"/>
              <w:rPr>
                <w:sz w:val="20"/>
                <w:szCs w:val="20"/>
                <w:color w:val="auto"/>
              </w:rPr>
            </w:pPr>
            <w:r>
              <w:rPr>
                <w:rFonts w:ascii="Arial" w:cs="Arial" w:eastAsia="Arial" w:hAnsi="Arial"/>
                <w:sz w:val="16"/>
                <w:szCs w:val="16"/>
                <w:color w:val="41516E"/>
              </w:rPr>
              <w:t>165</w:t>
            </w:r>
          </w:p>
        </w:tc>
        <w:tc>
          <w:tcPr>
            <w:tcW w:w="720" w:type="dxa"/>
            <w:vAlign w:val="bottom"/>
            <w:shd w:val="clear" w:color="auto" w:fill="EFF0F1"/>
          </w:tcPr>
          <w:p>
            <w:pPr>
              <w:jc w:val="right"/>
              <w:ind w:right="59"/>
              <w:spacing w:after="0"/>
              <w:rPr>
                <w:sz w:val="20"/>
                <w:szCs w:val="20"/>
                <w:color w:val="auto"/>
              </w:rPr>
            </w:pPr>
            <w:r>
              <w:rPr>
                <w:rFonts w:ascii="Arial" w:cs="Arial" w:eastAsia="Arial" w:hAnsi="Arial"/>
                <w:sz w:val="16"/>
                <w:szCs w:val="16"/>
                <w:color w:val="41516E"/>
              </w:rPr>
              <w:t>$ 175</w:t>
            </w:r>
          </w:p>
        </w:tc>
      </w:tr>
      <w:tr>
        <w:trPr>
          <w:trHeight w:val="188"/>
        </w:trPr>
        <w:tc>
          <w:tcPr>
            <w:tcW w:w="2660" w:type="dxa"/>
            <w:vAlign w:val="bottom"/>
          </w:tcPr>
          <w:p>
            <w:pPr>
              <w:ind w:left="60"/>
              <w:spacing w:after="0"/>
              <w:rPr>
                <w:sz w:val="20"/>
                <w:szCs w:val="20"/>
                <w:color w:val="auto"/>
              </w:rPr>
            </w:pPr>
            <w:r>
              <w:rPr>
                <w:rFonts w:ascii="Arial" w:cs="Arial" w:eastAsia="Arial" w:hAnsi="Arial"/>
                <w:sz w:val="16"/>
                <w:szCs w:val="16"/>
                <w:color w:val="41516E"/>
              </w:rPr>
              <w:t>Depletions Growth (Like for Like)</w:t>
            </w:r>
          </w:p>
        </w:tc>
        <w:tc>
          <w:tcPr>
            <w:tcW w:w="360" w:type="dxa"/>
            <w:vAlign w:val="bottom"/>
          </w:tcPr>
          <w:p>
            <w:pPr>
              <w:spacing w:after="0"/>
              <w:rPr>
                <w:sz w:val="16"/>
                <w:szCs w:val="16"/>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41516E"/>
              </w:rPr>
              <w:t>-8%</w:t>
            </w:r>
          </w:p>
        </w:tc>
        <w:tc>
          <w:tcPr>
            <w:tcW w:w="280" w:type="dxa"/>
            <w:vAlign w:val="bottom"/>
          </w:tcPr>
          <w:p>
            <w:pPr>
              <w:spacing w:after="0"/>
              <w:rPr>
                <w:sz w:val="16"/>
                <w:szCs w:val="16"/>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41516E"/>
              </w:rPr>
              <w:t>-7%</w:t>
            </w:r>
          </w:p>
        </w:tc>
        <w:tc>
          <w:tcPr>
            <w:tcW w:w="28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41516E"/>
              </w:rPr>
              <w:t>-6.5%</w:t>
            </w:r>
          </w:p>
        </w:tc>
        <w:tc>
          <w:tcPr>
            <w:tcW w:w="26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41516E"/>
              </w:rPr>
              <w:t>-5.5%</w:t>
            </w:r>
          </w:p>
        </w:tc>
        <w:tc>
          <w:tcPr>
            <w:tcW w:w="26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41516E"/>
              </w:rPr>
              <w:t>-3.5%</w:t>
            </w:r>
          </w:p>
        </w:tc>
        <w:tc>
          <w:tcPr>
            <w:tcW w:w="26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41516E"/>
              </w:rPr>
              <w:t>-1.5%</w:t>
            </w:r>
          </w:p>
        </w:tc>
        <w:tc>
          <w:tcPr>
            <w:tcW w:w="280" w:type="dxa"/>
            <w:vAlign w:val="bottom"/>
          </w:tcPr>
          <w:p>
            <w:pPr>
              <w:spacing w:after="0"/>
              <w:rPr>
                <w:sz w:val="16"/>
                <w:szCs w:val="16"/>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41516E"/>
              </w:rPr>
              <w:t>-0.5%</w:t>
            </w:r>
          </w:p>
        </w:tc>
        <w:tc>
          <w:tcPr>
            <w:tcW w:w="28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41516E"/>
              </w:rPr>
              <w:t>-1%</w:t>
            </w:r>
          </w:p>
        </w:tc>
        <w:tc>
          <w:tcPr>
            <w:tcW w:w="26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41516E"/>
              </w:rPr>
              <w:t>2%</w:t>
            </w:r>
          </w:p>
        </w:tc>
        <w:tc>
          <w:tcPr>
            <w:tcW w:w="720" w:type="dxa"/>
            <w:vAlign w:val="bottom"/>
          </w:tcPr>
          <w:p>
            <w:pPr>
              <w:jc w:val="right"/>
              <w:spacing w:after="0"/>
              <w:rPr>
                <w:sz w:val="20"/>
                <w:szCs w:val="20"/>
                <w:color w:val="auto"/>
              </w:rPr>
            </w:pPr>
            <w:r>
              <w:rPr>
                <w:rFonts w:ascii="Arial" w:cs="Arial" w:eastAsia="Arial" w:hAnsi="Arial"/>
                <w:sz w:val="16"/>
                <w:szCs w:val="16"/>
                <w:color w:val="41516E"/>
              </w:rPr>
              <w:t>3.5%</w:t>
            </w:r>
          </w:p>
        </w:tc>
      </w:tr>
      <w:tr>
        <w:trPr>
          <w:trHeight w:val="203"/>
        </w:trPr>
        <w:tc>
          <w:tcPr>
            <w:tcW w:w="2660" w:type="dxa"/>
            <w:vAlign w:val="bottom"/>
            <w:tcBorders>
              <w:bottom w:val="single" w:sz="8" w:color="41516E"/>
            </w:tcBorders>
          </w:tcPr>
          <w:p>
            <w:pPr>
              <w:ind w:left="60"/>
              <w:spacing w:after="0"/>
              <w:rPr>
                <w:sz w:val="20"/>
                <w:szCs w:val="20"/>
                <w:color w:val="auto"/>
              </w:rPr>
            </w:pPr>
            <w:r>
              <w:rPr>
                <w:rFonts w:ascii="Arial" w:cs="Arial" w:eastAsia="Arial" w:hAnsi="Arial"/>
                <w:sz w:val="16"/>
                <w:szCs w:val="16"/>
                <w:color w:val="41516E"/>
              </w:rPr>
              <w:t>%</w:t>
            </w:r>
          </w:p>
        </w:tc>
        <w:tc>
          <w:tcPr>
            <w:tcW w:w="360" w:type="dxa"/>
            <w:vAlign w:val="bottom"/>
            <w:tcBorders>
              <w:bottom w:val="single" w:sz="8" w:color="41516E"/>
            </w:tcBorders>
          </w:tcPr>
          <w:p>
            <w:pPr>
              <w:spacing w:after="0"/>
              <w:rPr>
                <w:sz w:val="17"/>
                <w:szCs w:val="17"/>
                <w:color w:val="auto"/>
              </w:rPr>
            </w:pPr>
          </w:p>
        </w:tc>
        <w:tc>
          <w:tcPr>
            <w:tcW w:w="580" w:type="dxa"/>
            <w:vAlign w:val="bottom"/>
            <w:tcBorders>
              <w:bottom w:val="single" w:sz="8" w:color="41516E"/>
            </w:tcBorders>
          </w:tcPr>
          <w:p>
            <w:pPr>
              <w:spacing w:after="0"/>
              <w:rPr>
                <w:sz w:val="17"/>
                <w:szCs w:val="17"/>
                <w:color w:val="auto"/>
              </w:rPr>
            </w:pPr>
          </w:p>
        </w:tc>
        <w:tc>
          <w:tcPr>
            <w:tcW w:w="280" w:type="dxa"/>
            <w:vAlign w:val="bottom"/>
            <w:tcBorders>
              <w:bottom w:val="single" w:sz="8" w:color="41516E"/>
            </w:tcBorders>
          </w:tcPr>
          <w:p>
            <w:pPr>
              <w:spacing w:after="0"/>
              <w:rPr>
                <w:sz w:val="17"/>
                <w:szCs w:val="17"/>
                <w:color w:val="auto"/>
              </w:rPr>
            </w:pPr>
          </w:p>
        </w:tc>
        <w:tc>
          <w:tcPr>
            <w:tcW w:w="580" w:type="dxa"/>
            <w:vAlign w:val="bottom"/>
            <w:tcBorders>
              <w:bottom w:val="single" w:sz="8" w:color="41516E"/>
            </w:tcBorders>
          </w:tcPr>
          <w:p>
            <w:pPr>
              <w:spacing w:after="0"/>
              <w:rPr>
                <w:sz w:val="17"/>
                <w:szCs w:val="17"/>
                <w:color w:val="auto"/>
              </w:rPr>
            </w:pPr>
          </w:p>
        </w:tc>
        <w:tc>
          <w:tcPr>
            <w:tcW w:w="280" w:type="dxa"/>
            <w:vAlign w:val="bottom"/>
            <w:tcBorders>
              <w:bottom w:val="single" w:sz="8" w:color="41516E"/>
            </w:tcBorders>
          </w:tcPr>
          <w:p>
            <w:pPr>
              <w:spacing w:after="0"/>
              <w:rPr>
                <w:sz w:val="17"/>
                <w:szCs w:val="17"/>
                <w:color w:val="auto"/>
              </w:rPr>
            </w:pPr>
          </w:p>
        </w:tc>
        <w:tc>
          <w:tcPr>
            <w:tcW w:w="600" w:type="dxa"/>
            <w:vAlign w:val="bottom"/>
            <w:tcBorders>
              <w:bottom w:val="single" w:sz="8" w:color="41516E"/>
            </w:tcBorders>
          </w:tcPr>
          <w:p>
            <w:pPr>
              <w:spacing w:after="0"/>
              <w:rPr>
                <w:sz w:val="17"/>
                <w:szCs w:val="17"/>
                <w:color w:val="auto"/>
              </w:rPr>
            </w:pPr>
          </w:p>
        </w:tc>
        <w:tc>
          <w:tcPr>
            <w:tcW w:w="260" w:type="dxa"/>
            <w:vAlign w:val="bottom"/>
            <w:tcBorders>
              <w:bottom w:val="single" w:sz="8" w:color="41516E"/>
            </w:tcBorders>
          </w:tcPr>
          <w:p>
            <w:pPr>
              <w:spacing w:after="0"/>
              <w:rPr>
                <w:sz w:val="17"/>
                <w:szCs w:val="17"/>
                <w:color w:val="auto"/>
              </w:rPr>
            </w:pPr>
          </w:p>
        </w:tc>
        <w:tc>
          <w:tcPr>
            <w:tcW w:w="600" w:type="dxa"/>
            <w:vAlign w:val="bottom"/>
            <w:tcBorders>
              <w:bottom w:val="single" w:sz="8" w:color="41516E"/>
            </w:tcBorders>
          </w:tcPr>
          <w:p>
            <w:pPr>
              <w:spacing w:after="0"/>
              <w:rPr>
                <w:sz w:val="17"/>
                <w:szCs w:val="17"/>
                <w:color w:val="auto"/>
              </w:rPr>
            </w:pPr>
          </w:p>
        </w:tc>
        <w:tc>
          <w:tcPr>
            <w:tcW w:w="260" w:type="dxa"/>
            <w:vAlign w:val="bottom"/>
            <w:tcBorders>
              <w:bottom w:val="single" w:sz="8" w:color="41516E"/>
            </w:tcBorders>
          </w:tcPr>
          <w:p>
            <w:pPr>
              <w:spacing w:after="0"/>
              <w:rPr>
                <w:sz w:val="17"/>
                <w:szCs w:val="17"/>
                <w:color w:val="auto"/>
              </w:rPr>
            </w:pPr>
          </w:p>
        </w:tc>
        <w:tc>
          <w:tcPr>
            <w:tcW w:w="600" w:type="dxa"/>
            <w:vAlign w:val="bottom"/>
            <w:tcBorders>
              <w:bottom w:val="single" w:sz="8" w:color="41516E"/>
            </w:tcBorders>
          </w:tcPr>
          <w:p>
            <w:pPr>
              <w:spacing w:after="0"/>
              <w:rPr>
                <w:sz w:val="17"/>
                <w:szCs w:val="17"/>
                <w:color w:val="auto"/>
              </w:rPr>
            </w:pPr>
          </w:p>
        </w:tc>
        <w:tc>
          <w:tcPr>
            <w:tcW w:w="260" w:type="dxa"/>
            <w:vAlign w:val="bottom"/>
            <w:tcBorders>
              <w:bottom w:val="single" w:sz="8" w:color="41516E"/>
            </w:tcBorders>
          </w:tcPr>
          <w:p>
            <w:pPr>
              <w:spacing w:after="0"/>
              <w:rPr>
                <w:sz w:val="17"/>
                <w:szCs w:val="17"/>
                <w:color w:val="auto"/>
              </w:rPr>
            </w:pPr>
          </w:p>
        </w:tc>
        <w:tc>
          <w:tcPr>
            <w:tcW w:w="600" w:type="dxa"/>
            <w:vAlign w:val="bottom"/>
            <w:tcBorders>
              <w:bottom w:val="single" w:sz="8" w:color="41516E"/>
            </w:tcBorders>
          </w:tcPr>
          <w:p>
            <w:pPr>
              <w:spacing w:after="0"/>
              <w:rPr>
                <w:sz w:val="17"/>
                <w:szCs w:val="17"/>
                <w:color w:val="auto"/>
              </w:rPr>
            </w:pPr>
          </w:p>
        </w:tc>
        <w:tc>
          <w:tcPr>
            <w:tcW w:w="280" w:type="dxa"/>
            <w:vAlign w:val="bottom"/>
            <w:tcBorders>
              <w:bottom w:val="single" w:sz="8" w:color="41516E"/>
            </w:tcBorders>
          </w:tcPr>
          <w:p>
            <w:pPr>
              <w:spacing w:after="0"/>
              <w:rPr>
                <w:sz w:val="17"/>
                <w:szCs w:val="17"/>
                <w:color w:val="auto"/>
              </w:rPr>
            </w:pPr>
          </w:p>
        </w:tc>
        <w:tc>
          <w:tcPr>
            <w:tcW w:w="580" w:type="dxa"/>
            <w:vAlign w:val="bottom"/>
            <w:tcBorders>
              <w:bottom w:val="single" w:sz="8" w:color="41516E"/>
            </w:tcBorders>
          </w:tcPr>
          <w:p>
            <w:pPr>
              <w:spacing w:after="0"/>
              <w:rPr>
                <w:sz w:val="17"/>
                <w:szCs w:val="17"/>
                <w:color w:val="auto"/>
              </w:rPr>
            </w:pPr>
          </w:p>
        </w:tc>
        <w:tc>
          <w:tcPr>
            <w:tcW w:w="280" w:type="dxa"/>
            <w:vAlign w:val="bottom"/>
            <w:tcBorders>
              <w:bottom w:val="single" w:sz="8" w:color="41516E"/>
            </w:tcBorders>
          </w:tcPr>
          <w:p>
            <w:pPr>
              <w:spacing w:after="0"/>
              <w:rPr>
                <w:sz w:val="17"/>
                <w:szCs w:val="17"/>
                <w:color w:val="auto"/>
              </w:rPr>
            </w:pPr>
          </w:p>
        </w:tc>
        <w:tc>
          <w:tcPr>
            <w:tcW w:w="600" w:type="dxa"/>
            <w:vAlign w:val="bottom"/>
            <w:tcBorders>
              <w:bottom w:val="single" w:sz="8" w:color="41516E"/>
            </w:tcBorders>
          </w:tcPr>
          <w:p>
            <w:pPr>
              <w:spacing w:after="0"/>
              <w:rPr>
                <w:sz w:val="17"/>
                <w:szCs w:val="17"/>
                <w:color w:val="auto"/>
              </w:rPr>
            </w:pPr>
          </w:p>
        </w:tc>
        <w:tc>
          <w:tcPr>
            <w:tcW w:w="260" w:type="dxa"/>
            <w:vAlign w:val="bottom"/>
            <w:tcBorders>
              <w:bottom w:val="single" w:sz="8" w:color="41516E"/>
            </w:tcBorders>
          </w:tcPr>
          <w:p>
            <w:pPr>
              <w:spacing w:after="0"/>
              <w:rPr>
                <w:sz w:val="17"/>
                <w:szCs w:val="17"/>
                <w:color w:val="auto"/>
              </w:rPr>
            </w:pPr>
          </w:p>
        </w:tc>
        <w:tc>
          <w:tcPr>
            <w:tcW w:w="600" w:type="dxa"/>
            <w:vAlign w:val="bottom"/>
            <w:tcBorders>
              <w:bottom w:val="single" w:sz="8" w:color="41516E"/>
            </w:tcBorders>
          </w:tcPr>
          <w:p>
            <w:pPr>
              <w:spacing w:after="0"/>
              <w:rPr>
                <w:sz w:val="17"/>
                <w:szCs w:val="17"/>
                <w:color w:val="auto"/>
              </w:rPr>
            </w:pPr>
          </w:p>
        </w:tc>
        <w:tc>
          <w:tcPr>
            <w:tcW w:w="720" w:type="dxa"/>
            <w:vAlign w:val="bottom"/>
            <w:tcBorders>
              <w:bottom w:val="single" w:sz="8" w:color="41516E"/>
            </w:tcBorders>
          </w:tcPr>
          <w:p>
            <w:pPr>
              <w:spacing w:after="0"/>
              <w:rPr>
                <w:sz w:val="17"/>
                <w:szCs w:val="17"/>
                <w:color w:val="auto"/>
              </w:rPr>
            </w:pPr>
          </w:p>
        </w:tc>
      </w:tr>
      <w:tr>
        <w:trPr>
          <w:trHeight w:val="196"/>
        </w:trPr>
        <w:tc>
          <w:tcPr>
            <w:tcW w:w="2660" w:type="dxa"/>
            <w:vAlign w:val="bottom"/>
            <w:tcBorders>
              <w:bottom w:val="single" w:sz="8" w:color="41516E"/>
            </w:tcBorders>
            <w:shd w:val="clear" w:color="auto" w:fill="EFF0F1"/>
          </w:tcPr>
          <w:p>
            <w:pPr>
              <w:ind w:left="60"/>
              <w:spacing w:after="0"/>
              <w:rPr>
                <w:sz w:val="20"/>
                <w:szCs w:val="20"/>
                <w:color w:val="auto"/>
              </w:rPr>
            </w:pPr>
            <w:r>
              <w:rPr>
                <w:rFonts w:ascii="Arial" w:cs="Arial" w:eastAsia="Arial" w:hAnsi="Arial"/>
                <w:sz w:val="16"/>
                <w:szCs w:val="16"/>
                <w:b w:val="1"/>
                <w:bCs w:val="1"/>
                <w:color w:val="41516E"/>
              </w:rPr>
              <w:t>FUNDING %</w:t>
            </w:r>
          </w:p>
        </w:tc>
        <w:tc>
          <w:tcPr>
            <w:tcW w:w="360" w:type="dxa"/>
            <w:vAlign w:val="bottom"/>
            <w:tcBorders>
              <w:bottom w:val="single" w:sz="8" w:color="41516E"/>
            </w:tcBorders>
            <w:shd w:val="clear" w:color="auto" w:fill="EFF0F1"/>
          </w:tcPr>
          <w:p>
            <w:pPr>
              <w:spacing w:after="0"/>
              <w:rPr>
                <w:sz w:val="17"/>
                <w:szCs w:val="17"/>
                <w:color w:val="auto"/>
              </w:rPr>
            </w:pPr>
          </w:p>
        </w:tc>
        <w:tc>
          <w:tcPr>
            <w:tcW w:w="580" w:type="dxa"/>
            <w:vAlign w:val="bottom"/>
            <w:tcBorders>
              <w:bottom w:val="single" w:sz="8" w:color="41516E"/>
            </w:tcBorders>
            <w:shd w:val="clear" w:color="auto" w:fill="EFF0F1"/>
          </w:tcPr>
          <w:p>
            <w:pPr>
              <w:jc w:val="right"/>
              <w:ind w:right="59"/>
              <w:spacing w:after="0"/>
              <w:rPr>
                <w:sz w:val="20"/>
                <w:szCs w:val="20"/>
                <w:color w:val="auto"/>
              </w:rPr>
            </w:pPr>
            <w:r>
              <w:rPr>
                <w:rFonts w:ascii="Arial" w:cs="Arial" w:eastAsia="Arial" w:hAnsi="Arial"/>
                <w:sz w:val="16"/>
                <w:szCs w:val="16"/>
                <w:b w:val="1"/>
                <w:bCs w:val="1"/>
                <w:color w:val="41516E"/>
              </w:rPr>
              <w:t>0%</w:t>
            </w:r>
          </w:p>
        </w:tc>
        <w:tc>
          <w:tcPr>
            <w:tcW w:w="280" w:type="dxa"/>
            <w:vAlign w:val="bottom"/>
            <w:tcBorders>
              <w:bottom w:val="single" w:sz="8" w:color="41516E"/>
            </w:tcBorders>
            <w:shd w:val="clear" w:color="auto" w:fill="EFF0F1"/>
          </w:tcPr>
          <w:p>
            <w:pPr>
              <w:spacing w:after="0"/>
              <w:rPr>
                <w:sz w:val="17"/>
                <w:szCs w:val="17"/>
                <w:color w:val="auto"/>
              </w:rPr>
            </w:pPr>
          </w:p>
        </w:tc>
        <w:tc>
          <w:tcPr>
            <w:tcW w:w="580" w:type="dxa"/>
            <w:vAlign w:val="bottom"/>
            <w:tcBorders>
              <w:bottom w:val="single" w:sz="8" w:color="41516E"/>
            </w:tcBorders>
            <w:shd w:val="clear" w:color="auto" w:fill="EFF0F1"/>
          </w:tcPr>
          <w:p>
            <w:pPr>
              <w:jc w:val="right"/>
              <w:ind w:right="59"/>
              <w:spacing w:after="0"/>
              <w:rPr>
                <w:sz w:val="20"/>
                <w:szCs w:val="20"/>
                <w:color w:val="auto"/>
              </w:rPr>
            </w:pPr>
            <w:r>
              <w:rPr>
                <w:rFonts w:ascii="Arial" w:cs="Arial" w:eastAsia="Arial" w:hAnsi="Arial"/>
                <w:sz w:val="16"/>
                <w:szCs w:val="16"/>
                <w:b w:val="1"/>
                <w:bCs w:val="1"/>
                <w:color w:val="41516E"/>
              </w:rPr>
              <w:t>25%</w:t>
            </w:r>
          </w:p>
        </w:tc>
        <w:tc>
          <w:tcPr>
            <w:tcW w:w="280" w:type="dxa"/>
            <w:vAlign w:val="bottom"/>
            <w:tcBorders>
              <w:bottom w:val="single" w:sz="8" w:color="41516E"/>
            </w:tcBorders>
            <w:shd w:val="clear" w:color="auto" w:fill="EFF0F1"/>
          </w:tcPr>
          <w:p>
            <w:pPr>
              <w:spacing w:after="0"/>
              <w:rPr>
                <w:sz w:val="17"/>
                <w:szCs w:val="17"/>
                <w:color w:val="auto"/>
              </w:rPr>
            </w:pPr>
          </w:p>
        </w:tc>
        <w:tc>
          <w:tcPr>
            <w:tcW w:w="600" w:type="dxa"/>
            <w:vAlign w:val="bottom"/>
            <w:tcBorders>
              <w:bottom w:val="single" w:sz="8" w:color="41516E"/>
            </w:tcBorders>
            <w:shd w:val="clear" w:color="auto" w:fill="EFF0F1"/>
          </w:tcPr>
          <w:p>
            <w:pPr>
              <w:jc w:val="right"/>
              <w:ind w:right="79"/>
              <w:spacing w:after="0"/>
              <w:rPr>
                <w:sz w:val="20"/>
                <w:szCs w:val="20"/>
                <w:color w:val="auto"/>
              </w:rPr>
            </w:pPr>
            <w:r>
              <w:rPr>
                <w:rFonts w:ascii="Arial" w:cs="Arial" w:eastAsia="Arial" w:hAnsi="Arial"/>
                <w:sz w:val="16"/>
                <w:szCs w:val="16"/>
                <w:b w:val="1"/>
                <w:bCs w:val="1"/>
                <w:color w:val="41516E"/>
              </w:rPr>
              <w:t>50%</w:t>
            </w:r>
          </w:p>
        </w:tc>
        <w:tc>
          <w:tcPr>
            <w:tcW w:w="260" w:type="dxa"/>
            <w:vAlign w:val="bottom"/>
            <w:tcBorders>
              <w:bottom w:val="single" w:sz="8" w:color="41516E"/>
            </w:tcBorders>
            <w:shd w:val="clear" w:color="auto" w:fill="EFF0F1"/>
          </w:tcPr>
          <w:p>
            <w:pPr>
              <w:spacing w:after="0"/>
              <w:rPr>
                <w:sz w:val="17"/>
                <w:szCs w:val="17"/>
                <w:color w:val="auto"/>
              </w:rPr>
            </w:pPr>
          </w:p>
        </w:tc>
        <w:tc>
          <w:tcPr>
            <w:tcW w:w="600" w:type="dxa"/>
            <w:vAlign w:val="bottom"/>
            <w:tcBorders>
              <w:bottom w:val="single" w:sz="8" w:color="41516E"/>
            </w:tcBorders>
            <w:shd w:val="clear" w:color="auto" w:fill="EFF0F1"/>
          </w:tcPr>
          <w:p>
            <w:pPr>
              <w:jc w:val="right"/>
              <w:ind w:right="59"/>
              <w:spacing w:after="0"/>
              <w:rPr>
                <w:sz w:val="20"/>
                <w:szCs w:val="20"/>
                <w:color w:val="auto"/>
              </w:rPr>
            </w:pPr>
            <w:r>
              <w:rPr>
                <w:rFonts w:ascii="Arial" w:cs="Arial" w:eastAsia="Arial" w:hAnsi="Arial"/>
                <w:sz w:val="16"/>
                <w:szCs w:val="16"/>
                <w:b w:val="1"/>
                <w:bCs w:val="1"/>
                <w:color w:val="41516E"/>
              </w:rPr>
              <w:t>75%</w:t>
            </w:r>
          </w:p>
        </w:tc>
        <w:tc>
          <w:tcPr>
            <w:tcW w:w="260" w:type="dxa"/>
            <w:vAlign w:val="bottom"/>
            <w:tcBorders>
              <w:bottom w:val="single" w:sz="8" w:color="41516E"/>
            </w:tcBorders>
            <w:shd w:val="clear" w:color="auto" w:fill="EFF0F1"/>
          </w:tcPr>
          <w:p>
            <w:pPr>
              <w:spacing w:after="0"/>
              <w:rPr>
                <w:sz w:val="17"/>
                <w:szCs w:val="17"/>
                <w:color w:val="auto"/>
              </w:rPr>
            </w:pPr>
          </w:p>
        </w:tc>
        <w:tc>
          <w:tcPr>
            <w:tcW w:w="600" w:type="dxa"/>
            <w:vAlign w:val="bottom"/>
            <w:tcBorders>
              <w:bottom w:val="single" w:sz="8" w:color="41516E"/>
            </w:tcBorders>
            <w:shd w:val="clear" w:color="auto" w:fill="EFF0F1"/>
          </w:tcPr>
          <w:p>
            <w:pPr>
              <w:jc w:val="right"/>
              <w:ind w:right="59"/>
              <w:spacing w:after="0"/>
              <w:rPr>
                <w:sz w:val="20"/>
                <w:szCs w:val="20"/>
                <w:color w:val="auto"/>
              </w:rPr>
            </w:pPr>
            <w:r>
              <w:rPr>
                <w:rFonts w:ascii="Arial" w:cs="Arial" w:eastAsia="Arial" w:hAnsi="Arial"/>
                <w:sz w:val="16"/>
                <w:szCs w:val="16"/>
                <w:b w:val="1"/>
                <w:bCs w:val="1"/>
                <w:color w:val="41516E"/>
              </w:rPr>
              <w:t>100%</w:t>
            </w:r>
          </w:p>
        </w:tc>
        <w:tc>
          <w:tcPr>
            <w:tcW w:w="260" w:type="dxa"/>
            <w:vAlign w:val="bottom"/>
            <w:tcBorders>
              <w:bottom w:val="single" w:sz="8" w:color="41516E"/>
            </w:tcBorders>
            <w:shd w:val="clear" w:color="auto" w:fill="EFF0F1"/>
          </w:tcPr>
          <w:p>
            <w:pPr>
              <w:spacing w:after="0"/>
              <w:rPr>
                <w:sz w:val="17"/>
                <w:szCs w:val="17"/>
                <w:color w:val="auto"/>
              </w:rPr>
            </w:pPr>
          </w:p>
        </w:tc>
        <w:tc>
          <w:tcPr>
            <w:tcW w:w="600" w:type="dxa"/>
            <w:vAlign w:val="bottom"/>
            <w:tcBorders>
              <w:bottom w:val="single" w:sz="8" w:color="41516E"/>
            </w:tcBorders>
            <w:shd w:val="clear" w:color="auto" w:fill="EFF0F1"/>
          </w:tcPr>
          <w:p>
            <w:pPr>
              <w:jc w:val="right"/>
              <w:ind w:right="59"/>
              <w:spacing w:after="0"/>
              <w:rPr>
                <w:sz w:val="20"/>
                <w:szCs w:val="20"/>
                <w:color w:val="auto"/>
              </w:rPr>
            </w:pPr>
            <w:r>
              <w:rPr>
                <w:rFonts w:ascii="Arial" w:cs="Arial" w:eastAsia="Arial" w:hAnsi="Arial"/>
                <w:sz w:val="16"/>
                <w:szCs w:val="16"/>
                <w:b w:val="1"/>
                <w:bCs w:val="1"/>
                <w:color w:val="41516E"/>
              </w:rPr>
              <w:t>125%</w:t>
            </w:r>
          </w:p>
        </w:tc>
        <w:tc>
          <w:tcPr>
            <w:tcW w:w="280" w:type="dxa"/>
            <w:vAlign w:val="bottom"/>
            <w:tcBorders>
              <w:bottom w:val="single" w:sz="8" w:color="41516E"/>
            </w:tcBorders>
            <w:shd w:val="clear" w:color="auto" w:fill="EFF0F1"/>
          </w:tcPr>
          <w:p>
            <w:pPr>
              <w:spacing w:after="0"/>
              <w:rPr>
                <w:sz w:val="17"/>
                <w:szCs w:val="17"/>
                <w:color w:val="auto"/>
              </w:rPr>
            </w:pPr>
          </w:p>
        </w:tc>
        <w:tc>
          <w:tcPr>
            <w:tcW w:w="580" w:type="dxa"/>
            <w:vAlign w:val="bottom"/>
            <w:tcBorders>
              <w:bottom w:val="single" w:sz="8" w:color="41516E"/>
            </w:tcBorders>
            <w:shd w:val="clear" w:color="auto" w:fill="EFF0F1"/>
          </w:tcPr>
          <w:p>
            <w:pPr>
              <w:jc w:val="right"/>
              <w:ind w:right="59"/>
              <w:spacing w:after="0"/>
              <w:rPr>
                <w:sz w:val="20"/>
                <w:szCs w:val="20"/>
                <w:color w:val="auto"/>
              </w:rPr>
            </w:pPr>
            <w:r>
              <w:rPr>
                <w:rFonts w:ascii="Arial" w:cs="Arial" w:eastAsia="Arial" w:hAnsi="Arial"/>
                <w:sz w:val="16"/>
                <w:szCs w:val="16"/>
                <w:b w:val="1"/>
                <w:bCs w:val="1"/>
                <w:color w:val="41516E"/>
              </w:rPr>
              <w:t>150%</w:t>
            </w:r>
          </w:p>
        </w:tc>
        <w:tc>
          <w:tcPr>
            <w:tcW w:w="280" w:type="dxa"/>
            <w:vAlign w:val="bottom"/>
            <w:tcBorders>
              <w:bottom w:val="single" w:sz="8" w:color="41516E"/>
            </w:tcBorders>
            <w:shd w:val="clear" w:color="auto" w:fill="EFF0F1"/>
          </w:tcPr>
          <w:p>
            <w:pPr>
              <w:spacing w:after="0"/>
              <w:rPr>
                <w:sz w:val="17"/>
                <w:szCs w:val="17"/>
                <w:color w:val="auto"/>
              </w:rPr>
            </w:pPr>
          </w:p>
        </w:tc>
        <w:tc>
          <w:tcPr>
            <w:tcW w:w="600" w:type="dxa"/>
            <w:vAlign w:val="bottom"/>
            <w:tcBorders>
              <w:bottom w:val="single" w:sz="8" w:color="41516E"/>
            </w:tcBorders>
            <w:shd w:val="clear" w:color="auto" w:fill="EFF0F1"/>
          </w:tcPr>
          <w:p>
            <w:pPr>
              <w:jc w:val="right"/>
              <w:ind w:right="79"/>
              <w:spacing w:after="0"/>
              <w:rPr>
                <w:sz w:val="20"/>
                <w:szCs w:val="20"/>
                <w:color w:val="auto"/>
              </w:rPr>
            </w:pPr>
            <w:r>
              <w:rPr>
                <w:rFonts w:ascii="Arial" w:cs="Arial" w:eastAsia="Arial" w:hAnsi="Arial"/>
                <w:sz w:val="16"/>
                <w:szCs w:val="16"/>
                <w:b w:val="1"/>
                <w:bCs w:val="1"/>
                <w:color w:val="41516E"/>
              </w:rPr>
              <w:t>175%</w:t>
            </w:r>
          </w:p>
        </w:tc>
        <w:tc>
          <w:tcPr>
            <w:tcW w:w="260" w:type="dxa"/>
            <w:vAlign w:val="bottom"/>
            <w:tcBorders>
              <w:bottom w:val="single" w:sz="8" w:color="41516E"/>
            </w:tcBorders>
            <w:shd w:val="clear" w:color="auto" w:fill="EFF0F1"/>
          </w:tcPr>
          <w:p>
            <w:pPr>
              <w:spacing w:after="0"/>
              <w:rPr>
                <w:sz w:val="17"/>
                <w:szCs w:val="17"/>
                <w:color w:val="auto"/>
              </w:rPr>
            </w:pPr>
          </w:p>
        </w:tc>
        <w:tc>
          <w:tcPr>
            <w:tcW w:w="600" w:type="dxa"/>
            <w:vAlign w:val="bottom"/>
            <w:tcBorders>
              <w:bottom w:val="single" w:sz="8" w:color="41516E"/>
            </w:tcBorders>
            <w:shd w:val="clear" w:color="auto" w:fill="EFF0F1"/>
          </w:tcPr>
          <w:p>
            <w:pPr>
              <w:jc w:val="right"/>
              <w:ind w:right="59"/>
              <w:spacing w:after="0"/>
              <w:rPr>
                <w:sz w:val="20"/>
                <w:szCs w:val="20"/>
                <w:color w:val="auto"/>
              </w:rPr>
            </w:pPr>
            <w:r>
              <w:rPr>
                <w:rFonts w:ascii="Arial" w:cs="Arial" w:eastAsia="Arial" w:hAnsi="Arial"/>
                <w:sz w:val="16"/>
                <w:szCs w:val="16"/>
                <w:b w:val="1"/>
                <w:bCs w:val="1"/>
                <w:color w:val="41516E"/>
              </w:rPr>
              <w:t>200%</w:t>
            </w:r>
          </w:p>
        </w:tc>
        <w:tc>
          <w:tcPr>
            <w:tcW w:w="72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6"/>
                <w:szCs w:val="16"/>
                <w:b w:val="1"/>
                <w:bCs w:val="1"/>
                <w:color w:val="41516E"/>
              </w:rPr>
              <w:t>250%</w:t>
            </w:r>
          </w:p>
        </w:tc>
      </w:tr>
    </w:tbl>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As reported in a Form 8-K filed on February 22, 2024, on February 16, 2024, the Compensation Committee reviewed the Company’s performance against the 2023 Bonus Scale and determined that: (1) the Company achieved $81.5 million in resource efficiencies (focused cost savings), exceeding the resource efficiencies target; (2) the Company’s 2023 EBIT was approximately $119.6 million, partially achieving the EBIT target; and (3) Company depletions decreased approximately 4.5% in Fiscal Year 2023 on a like-for-like 52-week comparable basis, partially achieving the depletions target. Accordingly, the Committee determined that the Company had achieved 95% on the Bonus Scale and determined to fund the bonus pool at 100%. The Company’s formulaic achievement of the 2023 targets was as follows: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The Committee accordingly approved 2023 cash bonuses for our Executive Officers, including the following bonuses for our Named Executive Officers: $1,032,605 to Mr. Burwick, $111,000 for Mr. Reynoso, $189,850 for Mr. Murphy, $214,500 for Mr. Hodges, $432,000 for Mr. Geist, and $332,500 for Ms. Lysyj. These bonuses were paid in March 2024. Mr. Smalla stepped down from his position with the Company in April 2023 and therefore was not eligible for a 2023 bonus.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4160" w:type="dxa"/>
            <w:vAlign w:val="bottom"/>
          </w:tcPr>
          <w:p>
            <w:pPr>
              <w:jc w:val="right"/>
              <w:spacing w:after="0"/>
              <w:rPr>
                <w:sz w:val="20"/>
                <w:szCs w:val="20"/>
                <w:color w:val="auto"/>
              </w:rPr>
            </w:pPr>
            <w:r>
              <w:rPr>
                <w:rFonts w:ascii="Arial" w:cs="Arial" w:eastAsia="Arial" w:hAnsi="Arial"/>
                <w:sz w:val="16"/>
                <w:szCs w:val="16"/>
                <w:b w:val="1"/>
                <w:bCs w:val="1"/>
                <w:color w:val="41516E"/>
              </w:rPr>
              <w:t>% Achievement on</w:t>
            </w:r>
          </w:p>
        </w:tc>
      </w:tr>
      <w:tr>
        <w:trPr>
          <w:trHeight w:val="203"/>
        </w:trPr>
        <w:tc>
          <w:tcPr>
            <w:tcW w:w="708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2023 Formulaic Achievement</w:t>
            </w:r>
          </w:p>
        </w:tc>
        <w:tc>
          <w:tcPr>
            <w:tcW w:w="4160" w:type="dxa"/>
            <w:vAlign w:val="bottom"/>
            <w:tcBorders>
              <w:bottom w:val="single" w:sz="8" w:color="41516E"/>
            </w:tcBorders>
          </w:tcPr>
          <w:p>
            <w:pPr>
              <w:jc w:val="right"/>
              <w:spacing w:after="0"/>
              <w:rPr>
                <w:sz w:val="20"/>
                <w:szCs w:val="20"/>
                <w:color w:val="auto"/>
              </w:rPr>
            </w:pPr>
            <w:r>
              <w:rPr>
                <w:rFonts w:ascii="Arial" w:cs="Arial" w:eastAsia="Arial" w:hAnsi="Arial"/>
                <w:sz w:val="16"/>
                <w:szCs w:val="16"/>
                <w:b w:val="1"/>
                <w:bCs w:val="1"/>
                <w:color w:val="41516E"/>
              </w:rPr>
              <w:t>2023 Bonus Scale</w:t>
            </w:r>
          </w:p>
        </w:tc>
      </w:tr>
      <w:tr>
        <w:trPr>
          <w:trHeight w:val="183"/>
        </w:trPr>
        <w:tc>
          <w:tcPr>
            <w:tcW w:w="7080" w:type="dxa"/>
            <w:vAlign w:val="bottom"/>
          </w:tcPr>
          <w:p>
            <w:pPr>
              <w:ind w:left="60"/>
              <w:spacing w:after="0" w:line="183" w:lineRule="exact"/>
              <w:rPr>
                <w:sz w:val="20"/>
                <w:szCs w:val="20"/>
                <w:color w:val="auto"/>
              </w:rPr>
            </w:pPr>
            <w:r>
              <w:rPr>
                <w:rFonts w:ascii="Arial" w:cs="Arial" w:eastAsia="Arial" w:hAnsi="Arial"/>
                <w:sz w:val="16"/>
                <w:szCs w:val="16"/>
                <w:color w:val="41516E"/>
              </w:rPr>
              <w:t>$81.5 million in Resource Efficiencies (focused cost savings)</w:t>
            </w:r>
          </w:p>
        </w:tc>
        <w:tc>
          <w:tcPr>
            <w:tcW w:w="4160" w:type="dxa"/>
            <w:vAlign w:val="bottom"/>
          </w:tcPr>
          <w:p>
            <w:pPr>
              <w:jc w:val="right"/>
              <w:spacing w:after="0" w:line="183" w:lineRule="exact"/>
              <w:rPr>
                <w:sz w:val="20"/>
                <w:szCs w:val="20"/>
                <w:color w:val="auto"/>
              </w:rPr>
            </w:pPr>
            <w:r>
              <w:rPr>
                <w:rFonts w:ascii="Arial" w:cs="Arial" w:eastAsia="Arial" w:hAnsi="Arial"/>
                <w:sz w:val="16"/>
                <w:szCs w:val="16"/>
                <w:color w:val="41516E"/>
              </w:rPr>
              <w:t>148%</w:t>
            </w:r>
          </w:p>
        </w:tc>
      </w:tr>
      <w:tr>
        <w:trPr>
          <w:trHeight w:val="189"/>
        </w:trPr>
        <w:tc>
          <w:tcPr>
            <w:tcW w:w="708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$119.6 million in EBIT</w:t>
            </w:r>
          </w:p>
        </w:tc>
        <w:tc>
          <w:tcPr>
            <w:tcW w:w="416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63%</w:t>
            </w:r>
          </w:p>
        </w:tc>
      </w:tr>
      <w:tr>
        <w:trPr>
          <w:trHeight w:val="203"/>
        </w:trPr>
        <w:tc>
          <w:tcPr>
            <w:tcW w:w="7080" w:type="dxa"/>
            <w:vAlign w:val="bottom"/>
            <w:tcBorders>
              <w:bottom w:val="single" w:sz="8" w:color="41516E"/>
            </w:tcBorders>
          </w:tcPr>
          <w:p>
            <w:pPr>
              <w:ind w:left="60"/>
              <w:spacing w:after="0"/>
              <w:rPr>
                <w:sz w:val="20"/>
                <w:szCs w:val="20"/>
                <w:color w:val="auto"/>
              </w:rPr>
            </w:pPr>
            <w:r>
              <w:rPr>
                <w:rFonts w:ascii="Arial" w:cs="Arial" w:eastAsia="Arial" w:hAnsi="Arial"/>
                <w:sz w:val="16"/>
                <w:szCs w:val="16"/>
                <w:color w:val="41516E"/>
              </w:rPr>
              <w:t>-4.5% Depletions Growth</w:t>
            </w:r>
          </w:p>
        </w:tc>
        <w:tc>
          <w:tcPr>
            <w:tcW w:w="4160" w:type="dxa"/>
            <w:vAlign w:val="bottom"/>
            <w:tcBorders>
              <w:bottom w:val="single" w:sz="8" w:color="41516E"/>
            </w:tcBorders>
          </w:tcPr>
          <w:p>
            <w:pPr>
              <w:jc w:val="right"/>
              <w:spacing w:after="0"/>
              <w:rPr>
                <w:sz w:val="20"/>
                <w:szCs w:val="20"/>
                <w:color w:val="auto"/>
              </w:rPr>
            </w:pPr>
            <w:r>
              <w:rPr>
                <w:rFonts w:ascii="Arial" w:cs="Arial" w:eastAsia="Arial" w:hAnsi="Arial"/>
                <w:sz w:val="16"/>
                <w:szCs w:val="16"/>
                <w:color w:val="41516E"/>
              </w:rPr>
              <w:t>88%</w:t>
            </w:r>
          </w:p>
        </w:tc>
      </w:tr>
      <w:tr>
        <w:trPr>
          <w:trHeight w:val="196"/>
        </w:trPr>
        <w:tc>
          <w:tcPr>
            <w:tcW w:w="7080" w:type="dxa"/>
            <w:vAlign w:val="bottom"/>
            <w:tcBorders>
              <w:bottom w:val="single" w:sz="8" w:color="41516E"/>
            </w:tcBorders>
            <w:shd w:val="clear" w:color="auto" w:fill="EFF0F1"/>
          </w:tcPr>
          <w:p>
            <w:pPr>
              <w:ind w:left="60"/>
              <w:spacing w:after="0"/>
              <w:rPr>
                <w:sz w:val="20"/>
                <w:szCs w:val="20"/>
                <w:color w:val="auto"/>
              </w:rPr>
            </w:pPr>
            <w:r>
              <w:rPr>
                <w:rFonts w:ascii="Arial" w:cs="Arial" w:eastAsia="Arial" w:hAnsi="Arial"/>
                <w:sz w:val="16"/>
                <w:szCs w:val="16"/>
                <w:b w:val="1"/>
                <w:bCs w:val="1"/>
                <w:color w:val="41516E"/>
              </w:rPr>
              <w:t>PAYOUT %</w:t>
            </w:r>
          </w:p>
        </w:tc>
        <w:tc>
          <w:tcPr>
            <w:tcW w:w="416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6"/>
                <w:szCs w:val="16"/>
                <w:b w:val="1"/>
                <w:bCs w:val="1"/>
                <w:color w:val="41516E"/>
              </w:rPr>
              <w:t>95%</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Long-Term Equity Awards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Long-Term Equity Awards (“LTE Awards”) are designed to provide Executive Officers and other select coworkers a reward for delivering long-term stockholder value and to align the interests of our key coworkers with the interests of our stockholders. LTE Awards are also an effective tool for attracting and retaining executives and other key coworkers. Our LTE Awards program is governed by our Employee Equity Incentive Plan, or “EEIP,” which was last amended on December 20, 2018. A copy of the EEIP was attached as Exhibit 10.1 to a Form 8-K filed on December 22, 2018. The primary components of our LTE Awards program – stock option awards, restricted stock units, and investment shares – are described in detail below.</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As noted in a Form 8-K filed by the Company on February 22, 2024, the Compensation Committee made limited changes to the structure of the LTE Awards granted to the Company’s Executive Officers on a going forward basis. The below narrative describes the LTE Award structure in place in Fiscal Year 2023.</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41516E"/>
        </w:rPr>
        <w:t>Stock Option Awards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Under our EEIP, certain coworkers are eligible to receive stock option awards. While generally granted on an annual basis in March, all option grants are discretionary and may be awarded by the Board upon the recommendation of the Compensation Committee at any time. For example, options may be granted at other times during the year under certain circumstances, such as the hiring of a new Executive Officer, as part of a performance review, in connection with a promotion or mid-year compensation adjustment, or to address potential retention issues. Such option awards may have vesting and performance criteria that differ from our annual stock option award grants.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The Compensation Committee believes that stock option awards align our Executive Officers’ interests with the interests of our stockholders, as they provide significant equity compensation only if the value of the Company’s stock increases. In addition, through the use of performance-based vesting, the Committee endeavors to assure that receipt of significant equity-based compensation requires that the Company’s performance exceeds appropriate benchmarks. Through the use of vesting over a number of years, the Committee endeavors to create an incentive for retention. The Compensation Committee has also granted time-based vesting options in the past to certain Executive Officers to encourage retention or to provide appropriate incentives to attract new executives. The Compensation Committee reviews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107315</wp:posOffset>
            </wp:positionV>
            <wp:extent cx="8572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31</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employment offers made to new Executive Officers that contain equity grants; any such grant is conditioned on the approval of the Compensation Committee and the full Board of Directors. In assessing these offers, the Compensation Committee evaluates historical compensation for the individual, the value of the role, and compensation for peers within the Company or comparable roles within the Company’s peer group, to the extent such data is available to the Committee.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At its meeting on February 9, 2023, the Board of Directors approved, upon the recommendation of the Compensation Committee, grants of performance-based stock option awards to eight Executive Officers, to be effective in March 2023, for a total of 24,769 shares. All of the awards were issued on March 1, 2023. The March 2023 option grants included the following awards to our Named Executive Officers: 12,430 option shares to Mr. Burwick, valued at $2,000,007 on the grant date; 3,084 option shares to Mr. Smalla, valued at $500,058 on the grant date; 771 option shares to Mr. Murphy, valued at $125,015 on the grant date; 3,084 option shares to Mr. Geist, valued at $500,058 on the grant date; and 1,697 option shares to Ms. Lysyj, valued at $275,162 on the grant date. Mr. Smalla forfeited these option awards following his departure from the Company in April 2023.</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41516E"/>
        </w:rPr>
        <w:t>Each of the March 2023 option awards has an exercise price of $323.80 per share, which was the closing price of Class A Shares on the last business day before the grant. The extent to which these option awards may become exercisable is dependent upon the Company achieving certain compounded annual growth rate targets based on net revenue growth in Fiscal Year 2024 over Fiscal Year 2022. The determination of the vesting of these stock option awards will be made by the Compensation Committee before March 1, 2025. If the compounded annual growth rate of the Company’s net revenue in Fiscal Year 2024 over Fiscal Year 2022 is equal to or greater than -2.0%, the options will vest as to one-third of the underlying shares on March 1, 2025, one-third on March 1, 2026, and one-third on March 1, 2027, contingent on continued employment on the applicable vesting dates and subject to accelerated vesting upon the occurrence of certain specified events. If the compounded annual growth rate of the Company’s net revenue in Fiscal Year 2024 over Fiscal Year 2022 is equal to or greater than -5.5% but less than -2.0%, the options will vest as to one-sixth of the underlying shares on March 1, 2025, one-sixth on March 1, 2026, and one-sixth on March 1, 2027, contingent on continued employment on the applicable vesting dates and subject to accelerated vesting upon the occurrence of certain specified events. The options will lapse to the extent that the compounded annual growth rate is less than -5.5%.</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Additionally, on May 15, 2023, the Company granted a time-based option award to Mr. Murphy in connection with his appointment to Interim Chief Financial Officer. The award, which was approved by the Compensation Committee on May 3, 2023 and the full Board on May 10, 2023, has an exercise price of $308.14 per share, which was the closing price of Class A Shares on the last business day before the grant. The award is for 3,944 option shares, which were valued at $600,090 on the grant date, and is contingent upon Mr. Murphy’s continued employment with the Company, with 25% of the shares vesting on March 1 in each of the years 2024 through 2027.</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41516E"/>
        </w:rPr>
        <w:t>The Company also granted Mr. Hodges a time-based option award and a performance-based option award on May 24, 2023 in connection with his recruitment and hiring as Chief Supply Chain Officer. The awards were approved by the Compensation Committee and the full Board on May 18, 2023. The time-based option was valued at $2,000,114 on the grant date and is for 13,276 option shares with an exercise price of $330.68 per share. The time-based option will vest as to 25% of the shares on March 1, 2024, 25% of the shares on March 1, 2025, and 25% of the shares on March 1, 2026, contingent upon Mr. Hodges’ continued active employment by the Company through the close of business on the business day preceding each of the applicable vesting dates. The remaining 25% will vest on March 1, 2027, contingent on his continued employment by the Company through December 31, 2026. The performance-based option was valued at $1,000,003 on the grant date and is for 6,348 option shares with an exercise price of $330.68 per share. The vesting of the performance-based option is contingent upon the Company’s achievement of certain pre-established criteria related to adjusted gross margin and the engagement levels of the Company’s supply chain coworkers, referred to as “Net Promoter Score.” The performance criteria and the related vesting schedules are outlined in detail in Mr. Hodges’ Offer Letter, which was attached as Exhibit 10.1 to a Form 8-K filed on May 22, 2023.</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Under the terms of his offer letter, Mr. Hodges is not currently eligible to receive additional equity awards from the Company in the future due to these one-time special long-term equity awards granted to him in connection with his recruitment and hiring.</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On October 31, 2023, the Company granted Mr. Reynoso a time-based option award in connection with his recruitment and hiring as Chief Financial Officer and Treasurer. The terms of the award had been previously approved by the Compensation Committee on June 23, 2023 and the full Board on June 24, 2023. The option was valued at $1,500,110 on the grant date and is for 9,717 option shares with an exercise price of $333.50 per share. The option will vest as to 25% of the shares on March 1 in each of the years 2024 through 2027, contingent upon Mr. Reynoso’s continued employment by the Company on the applicable vesting dates.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Each of the option awards granted to the Company’s Executive Officers in Fiscal Year 2023 includes a double-trigger Change in Control clause which provides that the option shall become immediately exercisable in the event that a Change in Control results in the termination of the employment of the optionee without cause or good reason within 12 months of the Change in Control. For the purposes of the Company’s equity grants, the term “Change in Control” means if Chairman C. James Koch and/or members of his family cease to control a majority of the Company’s Class B Shares.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41516E"/>
        </w:rPr>
        <w:t>Restricted Stock Units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Restricted stock units or “RSUs” are granted by the Board of Directors upon the recommendation of the Compensation Committee. In making its recommendations, the Committee considers recommendations from the CEO. RSUs are generally granted on an annual basis on March 1, valued at the fair market value as of the award date. These shares of restricted stock</w:t>
      </w:r>
    </w:p>
    <w:p>
      <w:pPr>
        <w:spacing w:after="0" w:line="124"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8034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80340"/>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generally vest over a four-year period, at the rate of 25% per year. On occasion, RSU grants are made at other times during the year, such as upon the hiring of a new executive or senior manager.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Boston Beer believes that RSUs serve as an important retention tool because: (1) for most coworkers, RSUs are easier to understand and value than stock option awards; (2) RSUs have value even if the share price decreases after the date of the award; and (3) RSUs encourage coworkers to think and act like owners of the Company. That said, the Company believes in striking a proper balance between performance-based awards and time-based awards for its Executive Officers.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On March 1, 2023, the Board of Directors, upon the recommendation of the Compensation Committee, granted an aggregate of 12,359 RSUs to eight Executive Officers. These RSU awards included the following awards to our NEOs: 6,177 shares to Mr. Burwick, valued at $2,000,113 on the grant date; 1,545 shares to Mr. Smalla, valued at $500,271 on the grant date; 387 shares to Mr. Murphy, valued at $125,311 on the grant date; 1,545 shares to Mr. Geist, valued at $500,271 on the grant date; and 850 shares to Ms. Lysyj, valued at $275,230 on the grant date. Mr. Smalla forfeited these RSUs following his departure from the Company in April 2023.</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Each of the RSUs granted to the Company’s Executive Officers in March 2023 included a double-trigger Change in Control clause. All shares vest 25% per year over a four-year period, contingent on continued employment on the applicable vesting dates.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41516E"/>
        </w:rPr>
        <w:t>The Company granted Mr. Hodges a time-based RSU and a performance-based RSU on May 24, 2023 in connection with his recruitment and hiring as Chief Supply Chain Officer. The awards were approved by the Compensation Committee and the full Board on May 18, 2023. The time-based RSU was valued at $2,000,283 on the grant date and is for 6,094 shares. The time-based RSUs will vest as to 25% of the shares on March 1, 2024, 25% of the shares on March 1, 2025, and 25% of the shares on March 1, 2026, contingent upon Mr. Hodges’ continued active employment by the Company through the close of business on the business day preceding each of the applicable vesting dates. The remaining 25% will vest on March 1, 2027, contingent on his continued employment by the Company through December 31, 2026. The performance-based RSU was valued at $2,999,352 on the grant date and is for 9,073 shares. The vesting of these RSUs is contingent upon the Company’s achievement of certain pre-established criteria related to adjusted gross margin and the engagement levels of the Company’s supply chain coworkers, referred to as “Net Promoter Score.” The performance criteria and the related vesting schedules are outlined in detail in Mr. Hodges’ Offer Letter, which was attached as Exhibit 10.1 to a Form 8-K filed on May 22, 2023.</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The Company granted Mr. Reynoso a time-based RSU on October 31, 2023 in connection with his recruitment and hiring as Chief Financial Officer. The terms of the award were approved by the Compensation Committee on June 23, 2023 and the full Board on June 24, 2023. The RSU was valued at $1,500,083 on the grant date and is for 4,498 shares. The RSUs will vest as to 25% of the shares on March 1 in each of the years 2024 through 2027, contingent upon Mr. Reynoso’s continued active employment by the Company on the applicable vesting dates.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41516E"/>
        </w:rPr>
        <w:t>Investment Shares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Eligible Boston Beer coworkers, including Executive Officers other than the Chairman and CEO, may also participate in the Company’s Investment Share Program, or the “ISP,” where our stock may be purchased at a discount based on tenure, encouraging equity ownership in the Company. Eligible Boston Beer coworkers, referred to in this Proxy Statement as “ISP Eligible Coworkers,” generally must have: (1) been employed by Boston Beer for at least one year; and (2) entered into an employment agreement with Boston Beer.</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Under our Investment Share Program, ISP Eligible Coworkers may annually purchase such number of Class A Shares that have a value of no greater than 10% of their annual base salary and bonus received in the immediately preceding year, up to a maximum annual investment of $17,500 (“Investment Shares”). After two full years of service with the Company, Investment Shares may be purchased at a discount. The amount of the discount is tied to years of service; the maximum discount is 40% after four full years of service. ISP Eligible Coworkers have the opportunity to purchase Investment Shares on an annual basis on March 1 each year with the purchase price based on the fair market value of the shares as of the purchase date. Investment Shares vest at the rate of 20% per year over the five-year period commencing on the effective date of purchase, contingent on continued employment with the Company on the applicable vesting dates.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In 2023, Boston Beer coworkers purchased a total of 10,594 Investment Shares under the ISP, of which 169 shares were purchased by two Executive Officers. Of our NEOs, Mr. Murphy purchased 91 Investment Shares effective March 1, 2023.</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Executive Benefits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41516E"/>
        </w:rPr>
        <w:t>In 2023, the Company’s Executive Officers were eligible for the same level and offering of benefits as are available to all coworkers, including payment of annual life insurance premiums, Company matching contributions under the Company’s 401(k) plan, car allowances where applicable, Company health savings contributions under the Company’s medical plan, wellness plan reimbursements, and other benefit programs. The Company provides no additional benefits to its Executive Officers. However, certain coworkers are eligible for the reimbursement of relocation, commuting, and living expenses (“Relocation Assistance”) upon hiring and for a limited period thereafter. Mr. Reynoso received $600,000 and Mr. Hodges received $9,016 in Relocation Assistance in 2023. Additionally, all coworkers are eligible for a financial advisor benefit; the benefit is available in tiers based on the complexity of the coworker’s advisory needs. Of our NEOs, Mr. Smalla, Mr. Murphy, and Ms. Lysyj took advantage of this benefit, valued at $2,829 for Mr. Smalla; $15,925 for Mr. Murphy; and $15,925 for Ms. Lysyj.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107950</wp:posOffset>
            </wp:positionV>
            <wp:extent cx="857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33</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How Executive Pay Levels Are Determined</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As noted above, the Compensation Committee considers a number of factors in determining executive compensation, including but not limited to individual performance, responsibility level, role within the Company, tenure, a comparison of salaries paid to peers within the Company and to those with similar roles at other similarly sized companies, and data collected in interviewing and hiring external candidates for executive positions. It also reviews the historical compensation for each Officer, including salary, bonus, and equity grants.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Each year, the Compensation Committee, taking into consideration the recommendations of the CEO and the Chairman, determines the appropriate level of compensation for each Executive Officer. The Company emphasizes differentiation in executive compensation, focusing on high performers and individuals who significantly impact, or who have the potential to significantly impact, Boston Beer’s business.</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Executive Compensation Analysis Timeline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While the Compensation Committee does not follow a strict calendar for establishing the parameters of executive compensation each year, it generally follows the following timeline. During and leading up to the October Compensation Committee meeting, the Committee, CEO, CFO, Chief People Officer, and the Director of Total Rewards review the Company’s peer group (if applicable), evaluate expected performance and vesting of outstanding equity grants, and review the projections for the then-current fiscal year bonus payouts.</w:t>
      </w:r>
    </w:p>
    <w:p>
      <w:pPr>
        <w:spacing w:after="0" w:line="1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41516E"/>
        </w:rPr>
        <w:t>Then, at its December meeting, the Committee reviews benchmarking data, has preliminary discussions about the following year’s LTE Award recommendations and bonus scale, and tentatively establishes an aggregate pool for the following year’s Executive Officer LTE Awards.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Next, in February, the Committee meets to review management’s report on Executive Officer performance and compensation; evaluates the status of the vesting criteria of any outstanding performance-based LTE Awards; reviews and approves the achievement of the previous year’s Executive Officer bonus targets; establishes the total compensation targets for Executive Officers for the then-current fiscal year; reviews and approves the bonus scale for the then-current fiscal year; and reviews and recommends approval of the LTE Awards to be awarded in the current fiscal year, including performance criteria. The full Board then approves those LTE awards.</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LTE Awards are generally granted on March 1, bonuses are typically paid in early March, and merit increases are generally effective in March. Merit increases, bonus awards, equity awards, and other compensation changes may occur at other times during the year on occasion.</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Compensation Assessments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41516E"/>
        </w:rPr>
        <w:t>The Compensation Committee has the authority to select, retain, and compensate outside executive compensation consultants and other experts as it determines is necessary to carry out its responsibilities. As one element in its assessment of the competitiveness of executive compensation packages established for Fiscal Year 2023, the Compensation Committee applied knowledge gained through an executive compensation competitive assessment prepared by Frederic W. Cook &amp; Co., Inc., or FW Cook, a nationally recognized executive compensation consulting firm, presented in October 2021 (the “FW Cook Assessment”). At that time, the Compensation Committee assessed the independence of FW Cook and determined that FW Cook was independent and that no conflicts of interest existed. FW Cook reported directly to the Compensation Committee and did not provide services to, or on behalf of, any other part of our business. The Committee’s retention of FW Cook continued into 2023 and helped inform the Compensation Committee’s recommendations regarding 2023 executive compensation structure.</w:t>
      </w:r>
    </w:p>
    <w:p>
      <w:pPr>
        <w:spacing w:after="0" w:line="136"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8034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180340"/>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-76835</wp:posOffset>
            </wp:positionV>
            <wp:extent cx="12084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-76835</wp:posOffset>
            </wp:positionV>
            <wp:extent cx="14147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FW Cook’s task was to analyze Boston Beer’s compensation programs and compensation strategies, confirm the appropriateness of the strategies, develop an updated peer group for use as a competitive frame of reference, and provide the Committee with external benchmarking information for Boston Beer’s Executive Officers. The Compensation Committee reviewed the peer group suggested by FW Cook, considering criteria such as financial similarity (primarily revenue and market capitalization), industry similarity, and number of employees. After discussion, the Committee approved the following companies as Boston Beer’s peer group:</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41516E"/>
        </w:rPr>
        <w:t>Boston Beer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jc w:val="center"/>
              <w:ind w:right="239"/>
              <w:spacing w:after="0"/>
              <w:rPr>
                <w:sz w:val="20"/>
                <w:szCs w:val="20"/>
                <w:color w:val="auto"/>
              </w:rPr>
            </w:pPr>
            <w:r>
              <w:rPr>
                <w:rFonts w:ascii="Arial" w:cs="Arial" w:eastAsia="Arial" w:hAnsi="Arial"/>
                <w:sz w:val="16"/>
                <w:szCs w:val="16"/>
                <w:color w:val="41516E"/>
              </w:rPr>
              <w:t>Acushnet Company</w:t>
            </w:r>
          </w:p>
        </w:tc>
        <w:tc>
          <w:tcPr>
            <w:tcW w:w="4120" w:type="dxa"/>
            <w:vAlign w:val="bottom"/>
          </w:tcPr>
          <w:p>
            <w:pPr>
              <w:jc w:val="center"/>
              <w:spacing w:after="0"/>
              <w:rPr>
                <w:sz w:val="20"/>
                <w:szCs w:val="20"/>
                <w:color w:val="auto"/>
              </w:rPr>
            </w:pPr>
            <w:r>
              <w:rPr>
                <w:rFonts w:ascii="Arial" w:cs="Arial" w:eastAsia="Arial" w:hAnsi="Arial"/>
                <w:sz w:val="16"/>
                <w:szCs w:val="16"/>
                <w:color w:val="41516E"/>
              </w:rPr>
              <w:t>Crocs, Inc.</w:t>
            </w:r>
          </w:p>
        </w:tc>
        <w:tc>
          <w:tcPr>
            <w:tcW w:w="3540" w:type="dxa"/>
            <w:vAlign w:val="bottom"/>
          </w:tcPr>
          <w:p>
            <w:pPr>
              <w:jc w:val="center"/>
              <w:ind w:left="219"/>
              <w:spacing w:after="0"/>
              <w:rPr>
                <w:sz w:val="20"/>
                <w:szCs w:val="20"/>
                <w:color w:val="auto"/>
              </w:rPr>
            </w:pPr>
            <w:r>
              <w:rPr>
                <w:rFonts w:ascii="Arial" w:cs="Arial" w:eastAsia="Arial" w:hAnsi="Arial"/>
                <w:sz w:val="16"/>
                <w:szCs w:val="16"/>
                <w:color w:val="41516E"/>
              </w:rPr>
              <w:t>Lancaster Colony Corp.</w:t>
            </w:r>
          </w:p>
        </w:tc>
      </w:tr>
      <w:tr>
        <w:trPr>
          <w:trHeight w:val="251"/>
        </w:trPr>
        <w:tc>
          <w:tcPr>
            <w:tcW w:w="3580" w:type="dxa"/>
            <w:vAlign w:val="bottom"/>
            <w:shd w:val="clear" w:color="auto" w:fill="EFF0F1"/>
          </w:tcPr>
          <w:p>
            <w:pPr>
              <w:jc w:val="center"/>
              <w:ind w:right="239"/>
              <w:spacing w:after="0"/>
              <w:rPr>
                <w:sz w:val="20"/>
                <w:szCs w:val="20"/>
                <w:color w:val="auto"/>
              </w:rPr>
            </w:pPr>
            <w:r>
              <w:rPr>
                <w:rFonts w:ascii="Arial" w:cs="Arial" w:eastAsia="Arial" w:hAnsi="Arial"/>
                <w:sz w:val="16"/>
                <w:szCs w:val="16"/>
                <w:color w:val="41516E"/>
              </w:rPr>
              <w:t>Beyond Meat, Inc.</w:t>
            </w:r>
          </w:p>
        </w:tc>
        <w:tc>
          <w:tcPr>
            <w:tcW w:w="4120" w:type="dxa"/>
            <w:vAlign w:val="bottom"/>
            <w:shd w:val="clear" w:color="auto" w:fill="EFF0F1"/>
          </w:tcPr>
          <w:p>
            <w:pPr>
              <w:jc w:val="center"/>
              <w:spacing w:after="0"/>
              <w:rPr>
                <w:sz w:val="20"/>
                <w:szCs w:val="20"/>
                <w:color w:val="auto"/>
              </w:rPr>
            </w:pPr>
            <w:r>
              <w:rPr>
                <w:rFonts w:ascii="Arial" w:cs="Arial" w:eastAsia="Arial" w:hAnsi="Arial"/>
                <w:sz w:val="16"/>
                <w:szCs w:val="16"/>
                <w:color w:val="41516E"/>
              </w:rPr>
              <w:t>Deckers Outdoor Corporation</w:t>
            </w:r>
          </w:p>
        </w:tc>
        <w:tc>
          <w:tcPr>
            <w:tcW w:w="3540" w:type="dxa"/>
            <w:vAlign w:val="bottom"/>
            <w:shd w:val="clear" w:color="auto" w:fill="EFF0F1"/>
          </w:tcPr>
          <w:p>
            <w:pPr>
              <w:jc w:val="center"/>
              <w:ind w:left="219"/>
              <w:spacing w:after="0"/>
              <w:rPr>
                <w:sz w:val="20"/>
                <w:szCs w:val="20"/>
                <w:color w:val="auto"/>
              </w:rPr>
            </w:pPr>
            <w:r>
              <w:rPr>
                <w:rFonts w:ascii="Arial" w:cs="Arial" w:eastAsia="Arial" w:hAnsi="Arial"/>
                <w:sz w:val="16"/>
                <w:szCs w:val="16"/>
                <w:color w:val="41516E"/>
              </w:rPr>
              <w:t>National Beverage Corp.</w:t>
            </w:r>
          </w:p>
        </w:tc>
      </w:tr>
      <w:tr>
        <w:trPr>
          <w:trHeight w:val="235"/>
        </w:trPr>
        <w:tc>
          <w:tcPr>
            <w:tcW w:w="3580" w:type="dxa"/>
            <w:vAlign w:val="bottom"/>
          </w:tcPr>
          <w:p>
            <w:pPr>
              <w:jc w:val="center"/>
              <w:ind w:right="259"/>
              <w:spacing w:after="0"/>
              <w:rPr>
                <w:sz w:val="20"/>
                <w:szCs w:val="20"/>
                <w:color w:val="auto"/>
              </w:rPr>
            </w:pPr>
            <w:r>
              <w:rPr>
                <w:rFonts w:ascii="Arial" w:cs="Arial" w:eastAsia="Arial" w:hAnsi="Arial"/>
                <w:sz w:val="16"/>
                <w:szCs w:val="16"/>
                <w:color w:val="41516E"/>
              </w:rPr>
              <w:t>Brown-Forman Corporation</w:t>
            </w:r>
          </w:p>
        </w:tc>
        <w:tc>
          <w:tcPr>
            <w:tcW w:w="4120" w:type="dxa"/>
            <w:vAlign w:val="bottom"/>
          </w:tcPr>
          <w:p>
            <w:pPr>
              <w:jc w:val="center"/>
              <w:spacing w:after="0"/>
              <w:rPr>
                <w:sz w:val="20"/>
                <w:szCs w:val="20"/>
                <w:color w:val="auto"/>
              </w:rPr>
            </w:pPr>
            <w:r>
              <w:rPr>
                <w:rFonts w:ascii="Arial" w:cs="Arial" w:eastAsia="Arial" w:hAnsi="Arial"/>
                <w:sz w:val="16"/>
                <w:szCs w:val="16"/>
                <w:color w:val="41516E"/>
              </w:rPr>
              <w:t>Flower Foods Inc.</w:t>
            </w:r>
          </w:p>
        </w:tc>
        <w:tc>
          <w:tcPr>
            <w:tcW w:w="3540" w:type="dxa"/>
            <w:vAlign w:val="bottom"/>
          </w:tcPr>
          <w:p>
            <w:pPr>
              <w:jc w:val="center"/>
              <w:ind w:left="219"/>
              <w:spacing w:after="0"/>
              <w:rPr>
                <w:sz w:val="20"/>
                <w:szCs w:val="20"/>
                <w:color w:val="auto"/>
              </w:rPr>
            </w:pPr>
            <w:r>
              <w:rPr>
                <w:rFonts w:ascii="Arial" w:cs="Arial" w:eastAsia="Arial" w:hAnsi="Arial"/>
                <w:sz w:val="16"/>
                <w:szCs w:val="16"/>
                <w:color w:val="41516E"/>
                <w:w w:val="99"/>
              </w:rPr>
              <w:t>Tilray Brands, Inc.</w:t>
            </w:r>
          </w:p>
        </w:tc>
      </w:tr>
      <w:tr>
        <w:trPr>
          <w:trHeight w:val="251"/>
        </w:trPr>
        <w:tc>
          <w:tcPr>
            <w:tcW w:w="3580" w:type="dxa"/>
            <w:vAlign w:val="bottom"/>
            <w:shd w:val="clear" w:color="auto" w:fill="EFF0F1"/>
          </w:tcPr>
          <w:p>
            <w:pPr>
              <w:jc w:val="center"/>
              <w:ind w:right="259"/>
              <w:spacing w:after="0"/>
              <w:rPr>
                <w:sz w:val="20"/>
                <w:szCs w:val="20"/>
                <w:color w:val="auto"/>
              </w:rPr>
            </w:pPr>
            <w:r>
              <w:rPr>
                <w:rFonts w:ascii="Arial" w:cs="Arial" w:eastAsia="Arial" w:hAnsi="Arial"/>
                <w:sz w:val="16"/>
                <w:szCs w:val="16"/>
                <w:color w:val="41516E"/>
              </w:rPr>
              <w:t>Cabot Corporation</w:t>
            </w:r>
          </w:p>
        </w:tc>
        <w:tc>
          <w:tcPr>
            <w:tcW w:w="4120" w:type="dxa"/>
            <w:vAlign w:val="bottom"/>
            <w:shd w:val="clear" w:color="auto" w:fill="EFF0F1"/>
          </w:tcPr>
          <w:p>
            <w:pPr>
              <w:jc w:val="center"/>
              <w:spacing w:after="0"/>
              <w:rPr>
                <w:sz w:val="20"/>
                <w:szCs w:val="20"/>
                <w:color w:val="auto"/>
              </w:rPr>
            </w:pPr>
            <w:r>
              <w:rPr>
                <w:rFonts w:ascii="Arial" w:cs="Arial" w:eastAsia="Arial" w:hAnsi="Arial"/>
                <w:sz w:val="16"/>
                <w:szCs w:val="16"/>
                <w:color w:val="41516E"/>
              </w:rPr>
              <w:t>Hasbro, Inc.</w:t>
            </w:r>
          </w:p>
        </w:tc>
        <w:tc>
          <w:tcPr>
            <w:tcW w:w="3540" w:type="dxa"/>
            <w:vAlign w:val="bottom"/>
            <w:shd w:val="clear" w:color="auto" w:fill="EFF0F1"/>
          </w:tcPr>
          <w:p>
            <w:pPr>
              <w:jc w:val="center"/>
              <w:ind w:left="219"/>
              <w:spacing w:after="0"/>
              <w:rPr>
                <w:sz w:val="20"/>
                <w:szCs w:val="20"/>
                <w:color w:val="auto"/>
              </w:rPr>
            </w:pPr>
            <w:r>
              <w:rPr>
                <w:rFonts w:ascii="Arial" w:cs="Arial" w:eastAsia="Arial" w:hAnsi="Arial"/>
                <w:sz w:val="16"/>
                <w:szCs w:val="16"/>
                <w:color w:val="41516E"/>
              </w:rPr>
              <w:t>Vector Group Ltd.</w:t>
            </w:r>
          </w:p>
        </w:tc>
      </w:tr>
      <w:tr>
        <w:trPr>
          <w:trHeight w:val="235"/>
        </w:trPr>
        <w:tc>
          <w:tcPr>
            <w:tcW w:w="3580" w:type="dxa"/>
            <w:vAlign w:val="bottom"/>
          </w:tcPr>
          <w:p>
            <w:pPr>
              <w:jc w:val="center"/>
              <w:ind w:right="239"/>
              <w:spacing w:after="0"/>
              <w:rPr>
                <w:sz w:val="20"/>
                <w:szCs w:val="20"/>
                <w:color w:val="auto"/>
              </w:rPr>
            </w:pPr>
            <w:r>
              <w:rPr>
                <w:rFonts w:ascii="Arial" w:cs="Arial" w:eastAsia="Arial" w:hAnsi="Arial"/>
                <w:sz w:val="16"/>
                <w:szCs w:val="16"/>
                <w:color w:val="41516E"/>
              </w:rPr>
              <w:t>Church &amp; Dwight Co., Inc.</w:t>
            </w:r>
          </w:p>
        </w:tc>
        <w:tc>
          <w:tcPr>
            <w:tcW w:w="4120" w:type="dxa"/>
            <w:vAlign w:val="bottom"/>
          </w:tcPr>
          <w:p>
            <w:pPr>
              <w:jc w:val="center"/>
              <w:spacing w:after="0"/>
              <w:rPr>
                <w:sz w:val="20"/>
                <w:szCs w:val="20"/>
                <w:color w:val="auto"/>
              </w:rPr>
            </w:pPr>
            <w:r>
              <w:rPr>
                <w:rFonts w:ascii="Arial" w:cs="Arial" w:eastAsia="Arial" w:hAnsi="Arial"/>
                <w:sz w:val="16"/>
                <w:szCs w:val="16"/>
                <w:color w:val="41516E"/>
              </w:rPr>
              <w:t>Hostess Brands Inc.</w:t>
            </w:r>
          </w:p>
        </w:tc>
        <w:tc>
          <w:tcPr>
            <w:tcW w:w="3540" w:type="dxa"/>
            <w:vAlign w:val="bottom"/>
          </w:tcPr>
          <w:p>
            <w:pPr>
              <w:jc w:val="center"/>
              <w:ind w:left="219"/>
              <w:spacing w:after="0"/>
              <w:rPr>
                <w:sz w:val="20"/>
                <w:szCs w:val="20"/>
                <w:color w:val="auto"/>
              </w:rPr>
            </w:pPr>
            <w:r>
              <w:rPr>
                <w:rFonts w:ascii="Arial" w:cs="Arial" w:eastAsia="Arial" w:hAnsi="Arial"/>
                <w:sz w:val="16"/>
                <w:szCs w:val="16"/>
                <w:color w:val="41516E"/>
              </w:rPr>
              <w:t>YETI Holdings, Inc.</w:t>
            </w:r>
          </w:p>
        </w:tc>
      </w:tr>
      <w:tr>
        <w:trPr>
          <w:trHeight w:val="258"/>
        </w:trPr>
        <w:tc>
          <w:tcPr>
            <w:tcW w:w="3580" w:type="dxa"/>
            <w:vAlign w:val="bottom"/>
            <w:tcBorders>
              <w:bottom w:val="single" w:sz="8" w:color="41516E"/>
            </w:tcBorders>
            <w:shd w:val="clear" w:color="auto" w:fill="EFF0F1"/>
          </w:tcPr>
          <w:p>
            <w:pPr>
              <w:jc w:val="center"/>
              <w:ind w:right="239"/>
              <w:spacing w:after="0"/>
              <w:rPr>
                <w:sz w:val="20"/>
                <w:szCs w:val="20"/>
                <w:color w:val="auto"/>
              </w:rPr>
            </w:pPr>
            <w:r>
              <w:rPr>
                <w:rFonts w:ascii="Arial" w:cs="Arial" w:eastAsia="Arial" w:hAnsi="Arial"/>
                <w:sz w:val="16"/>
                <w:szCs w:val="16"/>
                <w:color w:val="41516E"/>
              </w:rPr>
              <w:t>Columbia Sportswear Co.</w:t>
            </w:r>
          </w:p>
        </w:tc>
        <w:tc>
          <w:tcPr>
            <w:tcW w:w="4120" w:type="dxa"/>
            <w:vAlign w:val="bottom"/>
            <w:tcBorders>
              <w:bottom w:val="single" w:sz="8" w:color="41516E"/>
            </w:tcBorders>
            <w:shd w:val="clear" w:color="auto" w:fill="EFF0F1"/>
          </w:tcPr>
          <w:p>
            <w:pPr>
              <w:jc w:val="center"/>
              <w:spacing w:after="0"/>
              <w:rPr>
                <w:sz w:val="20"/>
                <w:szCs w:val="20"/>
                <w:color w:val="auto"/>
              </w:rPr>
            </w:pPr>
            <w:r>
              <w:rPr>
                <w:rFonts w:ascii="Arial" w:cs="Arial" w:eastAsia="Arial" w:hAnsi="Arial"/>
                <w:sz w:val="16"/>
                <w:szCs w:val="16"/>
                <w:color w:val="41516E"/>
              </w:rPr>
              <w:t>iRobot Corporation</w:t>
            </w:r>
          </w:p>
        </w:tc>
        <w:tc>
          <w:tcPr>
            <w:tcW w:w="3540" w:type="dxa"/>
            <w:vAlign w:val="bottom"/>
            <w:tcBorders>
              <w:bottom w:val="single" w:sz="8" w:color="41516E"/>
            </w:tcBorders>
            <w:shd w:val="clear" w:color="auto" w:fill="EFF0F1"/>
          </w:tcPr>
          <w:p>
            <w:pPr>
              <w:spacing w:after="0"/>
              <w:rPr>
                <w:sz w:val="22"/>
                <w:szCs w:val="22"/>
                <w:color w:val="auto"/>
              </w:rPr>
            </w:pPr>
          </w:p>
        </w:tc>
      </w:tr>
    </w:tbl>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Once this Peer Group was established, FW Cook used multiple data sources to assess Boston Beer’s executive compensation plan going forward, including, but not limited to, the compensation paid to the CEO and other named executive officers of the peer group companies, as derived from the most recent proxy statements filed by the peer group companies and third-party surveys. The information gained from the FW Cook Assessment helped the Compensation Committee better understand market practices and provided perspective for the Committee’s determinations regarding 2023 Executive Officer compensation packages. However, while competitive market practices are considered, the Committee continues to believe that individual and Company performance, the impact of an Executive Officer’s role and function within the Company, and the Executive Officer’s contribution to the Company’s growth are similarly important drivers of total compensation decisions.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The Compensation Committee reviewed the Peer Group again in October 2023. Following that discussion, the Committee determined not to make any changes to the Peer Group.</w:t>
      </w:r>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Additional Compensation Policies and Practices</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Executive Compensation Recovery Policy</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In December 2006, the Compensation Committee adopted an executive compensation recovery policy that applies to Executive Officers. Under this policy, the Company was permitted to seek recovery of incentive income that was based on achievement of quantitative performance targets, if an Executive Officer or the Corporate Controller engaged in intentional misconduct that resulted in an increase in their incentive income. Incentive income includes income related to annual bonuses and LTE Awards. The Company had not sought compensation recovery under this policy since its adoption.</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Effective October 2, 2023, the Board of Directors amended the Executive Compensation Recovery Policy and renamed it the Clawback Policy. Under the Clawback Policy, in the event the Company is required to prepare an accounting restatement, the Company will require the reasonably prompt recovery of any excess incentive compensation received by any Executive Officer, without regard to whether or not the Executive Officer committed any misconduct that led to the Restatement. A copy of the Clawback Policy was attached as Exhibit 97.1 to the Form 10-K filed on February 27, 2024. The Company has not been required to seek compensation recovery under the Clawback Policy.</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Policies Prohibiting Hedging and Pledging Boston Beer Stock</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Our Insider Trading Policy prohibits the Company’s Directors, Executive Officers, and certain other coworkers who are designated as Company “Insiders” from hedging or pledging Boston Beer Stock. As of the mailing of this Proxy Statement, there were approximately 215 Boston Beer coworkers identified as “Insiders” because they regularly have or may have access to material non-public information about the Company. Under this policy, the Company’s Directors, Executive Officers, and Insiders are also prohibited from engaging in any investment to reduce the risk of adverse price movements in Boston Beer stock and from offering Boston Beer stock to a lender as collateral for a loan. Trading of Boston Beer stock by Company Directors, Executive Officers, and Insiders is restricted under this policy to defined window periods following our quarterly earnings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107315</wp:posOffset>
            </wp:positionV>
            <wp:extent cx="857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35</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(except pursuant to an approved Rule 10b5-1 Plan). All Directors, Executive Officers, and Insiders are also prohibited by the Insider Trading Policy from engaging in certain trading practices involving Boston Beer stock which would suggest speculation in our securities, including short-term trading, short sales, transactions involving put or call options, and purchases on margin. For all other coworkers, such practices are strongly discouraged but not prohibited, subject to prior notice to the Company.</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41516E"/>
        </w:rPr>
        <w:t>Additionally, in February 2013, the Board adopted a separate and complementary policy that bans hedging or pledging of Boston Beer stock by all Directors, Executive Officers, and Company Insiders. This policy is also incorporated into our Corporate Governance Guidelines and Nominating/Governance Committee Charter. On an annual basis, all Company Directors and Executive Officers are required to certify compliance with this policy, which specifically prohibits such persons from: (1) purchasing or selling financial instruments, such as prepaid variable forward contracts, equity swaps, collars, or exchange funds that are designed to hedge or offset any decrease in the market value of Boston Beer stock; (2) engaging in short sales of Boston Beer stock; or</w:t>
      </w:r>
    </w:p>
    <w:p>
      <w:pPr>
        <w:spacing w:after="0" w:line="3" w:lineRule="exact"/>
        <w:rPr>
          <w:sz w:val="20"/>
          <w:szCs w:val="20"/>
          <w:color w:val="auto"/>
        </w:rPr>
      </w:pPr>
    </w:p>
    <w:p>
      <w:pPr>
        <w:jc w:val="both"/>
        <w:ind w:firstLine="8"/>
        <w:spacing w:after="0" w:line="256" w:lineRule="auto"/>
        <w:tabs>
          <w:tab w:leader="none" w:pos="256" w:val="left"/>
        </w:tabs>
        <w:numPr>
          <w:ilvl w:val="0"/>
          <w:numId w:val="16"/>
        </w:numPr>
        <w:rPr>
          <w:rFonts w:ascii="Arial" w:cs="Arial" w:eastAsia="Arial" w:hAnsi="Arial"/>
          <w:sz w:val="16"/>
          <w:szCs w:val="16"/>
          <w:color w:val="41516E"/>
        </w:rPr>
      </w:pPr>
      <w:r>
        <w:rPr>
          <w:rFonts w:ascii="Arial" w:cs="Arial" w:eastAsia="Arial" w:hAnsi="Arial"/>
          <w:sz w:val="16"/>
          <w:szCs w:val="16"/>
          <w:color w:val="41516E"/>
        </w:rPr>
        <w:t>holding Boston Beer stock in a margin account or entering into any transaction involving the pledge or other use of Boston Beer stock as collateral to secure indebtedness or other obligations. All other coworkers are discouraged but not prohibited by this policy from entering into hedging transactions and engaging in short sales related to Boston Beer stock. The Company knows of no violations of this policy since its adoption.</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Stock Ownership and Retention Guidelines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To foster a culture of ownership and further align the long-term interests of the Directors with those of stockholders, in 2013, the Board of Directors, upon the recommendation of both the Compensation Committee and the Nominating/Governance Committee, adopted Director Stock Ownership and Retention Guidelines. The Board amended the Guidelines on February 9, 2023, following a recommendation by the Compensation Committee. As amended, the Guidelines:</w:t>
      </w:r>
    </w:p>
    <w:p>
      <w:pPr>
        <w:spacing w:after="0" w:line="151" w:lineRule="exact"/>
        <w:rPr>
          <w:sz w:val="20"/>
          <w:szCs w:val="20"/>
          <w:color w:val="auto"/>
        </w:rPr>
      </w:pPr>
    </w:p>
    <w:p>
      <w:pPr>
        <w:ind w:left="180" w:hanging="172"/>
        <w:spacing w:after="0" w:line="286" w:lineRule="auto"/>
        <w:tabs>
          <w:tab w:leader="none" w:pos="180" w:val="left"/>
        </w:tabs>
        <w:numPr>
          <w:ilvl w:val="0"/>
          <w:numId w:val="17"/>
        </w:numPr>
        <w:rPr>
          <w:rFonts w:ascii="Arial" w:cs="Arial" w:eastAsia="Arial" w:hAnsi="Arial"/>
          <w:sz w:val="16"/>
          <w:szCs w:val="16"/>
          <w:color w:val="41516E"/>
        </w:rPr>
      </w:pPr>
      <w:r>
        <w:rPr>
          <w:rFonts w:ascii="Arial" w:cs="Arial" w:eastAsia="Arial" w:hAnsi="Arial"/>
          <w:sz w:val="16"/>
          <w:szCs w:val="16"/>
          <w:color w:val="41516E"/>
        </w:rPr>
        <w:t>define “shares” to mean beneficially owned shares of the Company, including both Class A and Class B shares, whether directly or indirectly held, and unvested RSUs, but to not include indirectly held shares for which a director disclaims beneficial ownership or shares subject to unexercised options;</w:t>
      </w:r>
    </w:p>
    <w:p>
      <w:pPr>
        <w:spacing w:after="0" w:line="20"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17"/>
        </w:numPr>
        <w:rPr>
          <w:rFonts w:ascii="Arial" w:cs="Arial" w:eastAsia="Arial" w:hAnsi="Arial"/>
          <w:sz w:val="16"/>
          <w:szCs w:val="16"/>
          <w:color w:val="41516E"/>
        </w:rPr>
      </w:pPr>
      <w:r>
        <w:rPr>
          <w:rFonts w:ascii="Arial" w:cs="Arial" w:eastAsia="Arial" w:hAnsi="Arial"/>
          <w:sz w:val="16"/>
          <w:szCs w:val="16"/>
          <w:color w:val="41516E"/>
        </w:rPr>
        <w:t>define “Target Ownership” as shares having an aggregate value equal to four (4) times: (1) the annual base salary of an employee Director; or (2) the annual base cash Director Fee of a Non-Employee Director; and</w:t>
      </w:r>
    </w:p>
    <w:p>
      <w:pPr>
        <w:spacing w:after="0" w:line="20"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17"/>
        </w:numPr>
        <w:rPr>
          <w:rFonts w:ascii="Arial" w:cs="Arial" w:eastAsia="Arial" w:hAnsi="Arial"/>
          <w:sz w:val="16"/>
          <w:szCs w:val="16"/>
          <w:color w:val="41516E"/>
        </w:rPr>
      </w:pPr>
      <w:r>
        <w:rPr>
          <w:rFonts w:ascii="Arial" w:cs="Arial" w:eastAsia="Arial" w:hAnsi="Arial"/>
          <w:sz w:val="16"/>
          <w:szCs w:val="16"/>
          <w:color w:val="41516E"/>
        </w:rPr>
        <w:t>state that Directors should endeavor to hold shares valued at or above their respective Target Ownership threshold, and until Target Ownership has been achieved, Directors are prohibited from selling shares, with certain limited exceptions.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The Company reviewed the progress made on the equity ownership guidelines in February 2024 and determined that five Directors had achieved their respective Target Ownership, while four Directors had yet to achieve their respective Target Ownership.</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Tax Deductibility under Section 162(m)</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In evaluating compensation programs applicable to our Named Executive Officers (including the Company’s annual and long-term incentive plans), the Compensation Committee considers the potential impact on the Company of Section 162(m) of the Internal Revenue Code, which places a limit of $1 million per year on the amount of compensation paid to certain of our executive officers that is deductible by the Company for income tax purposes. The Compensation Committee will continue to maintain maximum flexibility in the design of the Company’s compensation programs and continues to reserve the discretion to exceed the limitation on deductibility under Section 162(m) to ensure that our NEOs are compensated in a manner that we believe to be consistent with our best interests and those of our stockholders.</w:t>
      </w:r>
    </w:p>
    <w:p>
      <w:pPr>
        <w:spacing w:after="0" w:line="135"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-76835</wp:posOffset>
            </wp:positionV>
            <wp:extent cx="12084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-76835</wp:posOffset>
            </wp:positionV>
            <wp:extent cx="14147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Fiscal Year 2023 Named Executive Officer Compensation</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Compensation of David A. Burwick, President &amp; Chief Executive Officer</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41516E"/>
        </w:rPr>
        <w:t>Mr. Burwick’s compensation in 2023 included a base salary, a performance-based cash bonus, and two annual equity grants awarded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1516E"/>
        </w:rPr>
        <w:t>Company’s long-term equity program. The mix of his total compensation for 2023 is set forth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240" w:type="dxa"/>
            <w:vAlign w:val="bottom"/>
          </w:tcPr>
          <w:p>
            <w:pPr>
              <w:jc w:val="right"/>
              <w:ind w:right="3199"/>
              <w:spacing w:after="0"/>
              <w:rPr>
                <w:sz w:val="20"/>
                <w:szCs w:val="20"/>
                <w:color w:val="auto"/>
              </w:rPr>
            </w:pPr>
            <w:r>
              <w:rPr>
                <w:rFonts w:ascii="Arial" w:cs="Arial" w:eastAsia="Arial" w:hAnsi="Arial"/>
                <w:sz w:val="16"/>
                <w:szCs w:val="16"/>
                <w:b w:val="1"/>
                <w:bCs w:val="1"/>
                <w:color w:val="41516E"/>
              </w:rPr>
              <w:t>President &amp; CEO David A. Burwick</w:t>
            </w:r>
          </w:p>
        </w:tc>
        <w:tc>
          <w:tcPr>
            <w:tcW w:w="1020" w:type="dxa"/>
            <w:vAlign w:val="bottom"/>
          </w:tcPr>
          <w:p>
            <w:pPr>
              <w:spacing w:after="0"/>
              <w:rPr>
                <w:sz w:val="16"/>
                <w:szCs w:val="16"/>
                <w:color w:val="auto"/>
              </w:rPr>
            </w:pPr>
          </w:p>
        </w:tc>
      </w:tr>
      <w:tr>
        <w:trPr>
          <w:trHeight w:val="203"/>
        </w:trPr>
        <w:tc>
          <w:tcPr>
            <w:tcW w:w="60" w:type="dxa"/>
            <w:vAlign w:val="bottom"/>
            <w:tcBorders>
              <w:bottom w:val="single" w:sz="8" w:color="41516E"/>
            </w:tcBorders>
          </w:tcPr>
          <w:p>
            <w:pPr>
              <w:spacing w:after="0"/>
              <w:rPr>
                <w:sz w:val="17"/>
                <w:szCs w:val="17"/>
                <w:color w:val="auto"/>
              </w:rPr>
            </w:pPr>
          </w:p>
        </w:tc>
        <w:tc>
          <w:tcPr>
            <w:tcW w:w="1060" w:type="dxa"/>
            <w:vAlign w:val="bottom"/>
            <w:tcBorders>
              <w:bottom w:val="single" w:sz="8" w:color="41516E"/>
            </w:tcBorders>
          </w:tcPr>
          <w:p>
            <w:pPr>
              <w:spacing w:after="0"/>
              <w:rPr>
                <w:sz w:val="17"/>
                <w:szCs w:val="17"/>
                <w:color w:val="auto"/>
              </w:rPr>
            </w:pPr>
          </w:p>
        </w:tc>
        <w:tc>
          <w:tcPr>
            <w:tcW w:w="540" w:type="dxa"/>
            <w:vAlign w:val="bottom"/>
            <w:tcBorders>
              <w:bottom w:val="single" w:sz="8" w:color="41516E"/>
            </w:tcBorders>
          </w:tcPr>
          <w:p>
            <w:pPr>
              <w:spacing w:after="0"/>
              <w:rPr>
                <w:sz w:val="17"/>
                <w:szCs w:val="17"/>
                <w:color w:val="auto"/>
              </w:rPr>
            </w:pPr>
          </w:p>
        </w:tc>
        <w:tc>
          <w:tcPr>
            <w:tcW w:w="2320" w:type="dxa"/>
            <w:vAlign w:val="bottom"/>
            <w:tcBorders>
              <w:bottom w:val="single" w:sz="8" w:color="41516E"/>
            </w:tcBorders>
          </w:tcPr>
          <w:p>
            <w:pPr>
              <w:spacing w:after="0"/>
              <w:rPr>
                <w:sz w:val="17"/>
                <w:szCs w:val="17"/>
                <w:color w:val="auto"/>
              </w:rPr>
            </w:pPr>
          </w:p>
        </w:tc>
        <w:tc>
          <w:tcPr>
            <w:tcW w:w="6240" w:type="dxa"/>
            <w:vAlign w:val="bottom"/>
            <w:tcBorders>
              <w:bottom w:val="single" w:sz="8" w:color="41516E"/>
            </w:tcBorders>
          </w:tcPr>
          <w:p>
            <w:pPr>
              <w:jc w:val="right"/>
              <w:ind w:right="3379"/>
              <w:spacing w:after="0"/>
              <w:rPr>
                <w:sz w:val="20"/>
                <w:szCs w:val="20"/>
                <w:color w:val="auto"/>
              </w:rPr>
            </w:pPr>
            <w:r>
              <w:rPr>
                <w:rFonts w:ascii="Arial" w:cs="Arial" w:eastAsia="Arial" w:hAnsi="Arial"/>
                <w:sz w:val="16"/>
                <w:szCs w:val="16"/>
                <w:b w:val="1"/>
                <w:bCs w:val="1"/>
                <w:color w:val="41516E"/>
              </w:rPr>
              <w:t>2023 Total Compensation Mix</w:t>
            </w:r>
          </w:p>
        </w:tc>
        <w:tc>
          <w:tcPr>
            <w:tcW w:w="1020" w:type="dxa"/>
            <w:vAlign w:val="bottom"/>
            <w:tcBorders>
              <w:bottom w:val="single" w:sz="8" w:color="41516E"/>
            </w:tcBorders>
          </w:tcPr>
          <w:p>
            <w:pPr>
              <w:spacing w:after="0"/>
              <w:rPr>
                <w:sz w:val="17"/>
                <w:szCs w:val="17"/>
                <w:color w:val="auto"/>
              </w:rPr>
            </w:pPr>
          </w:p>
        </w:tc>
      </w:tr>
      <w:tr>
        <w:trPr>
          <w:trHeight w:val="155"/>
        </w:trPr>
        <w:tc>
          <w:tcPr>
            <w:tcW w:w="60" w:type="dxa"/>
            <w:vAlign w:val="bottom"/>
          </w:tcPr>
          <w:p>
            <w:pPr>
              <w:spacing w:after="0"/>
              <w:rPr>
                <w:sz w:val="13"/>
                <w:szCs w:val="13"/>
                <w:color w:val="auto"/>
              </w:rPr>
            </w:pPr>
          </w:p>
        </w:tc>
        <w:tc>
          <w:tcPr>
            <w:tcW w:w="3920" w:type="dxa"/>
            <w:vAlign w:val="bottom"/>
            <w:gridSpan w:val="3"/>
          </w:tcPr>
          <w:p>
            <w:pPr>
              <w:spacing w:after="0" w:line="155" w:lineRule="exact"/>
              <w:rPr>
                <w:sz w:val="20"/>
                <w:szCs w:val="20"/>
                <w:color w:val="auto"/>
              </w:rPr>
            </w:pPr>
            <w:r>
              <w:rPr>
                <w:rFonts w:ascii="Arial" w:cs="Arial" w:eastAsia="Arial" w:hAnsi="Arial"/>
                <w:sz w:val="16"/>
                <w:szCs w:val="16"/>
                <w:i w:val="1"/>
                <w:iCs w:val="1"/>
                <w:color w:val="41516E"/>
              </w:rPr>
              <w:t>Annual Compensation</w:t>
            </w:r>
          </w:p>
        </w:tc>
        <w:tc>
          <w:tcPr>
            <w:tcW w:w="6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60" w:type="dxa"/>
            <w:vAlign w:val="bottom"/>
          </w:tcPr>
          <w:p>
            <w:pPr>
              <w:spacing w:after="0" w:line="20" w:lineRule="exact"/>
              <w:rPr>
                <w:sz w:val="1"/>
                <w:szCs w:val="1"/>
                <w:color w:val="auto"/>
              </w:rPr>
            </w:pPr>
          </w:p>
        </w:tc>
        <w:tc>
          <w:tcPr>
            <w:tcW w:w="1060" w:type="dxa"/>
            <w:vAlign w:val="bottom"/>
            <w:tcBorders>
              <w:top w:val="single" w:sz="8" w:color="41516E"/>
            </w:tcBorders>
          </w:tcPr>
          <w:p>
            <w:pPr>
              <w:spacing w:after="0" w:line="20" w:lineRule="exact"/>
              <w:rPr>
                <w:sz w:val="1"/>
                <w:szCs w:val="1"/>
                <w:color w:val="auto"/>
              </w:rPr>
            </w:pPr>
          </w:p>
        </w:tc>
        <w:tc>
          <w:tcPr>
            <w:tcW w:w="540" w:type="dxa"/>
            <w:vAlign w:val="bottom"/>
            <w:tcBorders>
              <w:top w:val="single" w:sz="8" w:color="41516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60" w:type="dxa"/>
            <w:vAlign w:val="bottom"/>
            <w:shd w:val="clear" w:color="auto" w:fill="EFF0F1"/>
          </w:tcPr>
          <w:p>
            <w:pPr>
              <w:spacing w:after="0"/>
              <w:rPr>
                <w:sz w:val="16"/>
                <w:szCs w:val="16"/>
                <w:color w:val="auto"/>
              </w:rPr>
            </w:pPr>
          </w:p>
        </w:tc>
        <w:tc>
          <w:tcPr>
            <w:tcW w:w="3920" w:type="dxa"/>
            <w:vAlign w:val="bottom"/>
            <w:gridSpan w:val="3"/>
            <w:shd w:val="clear" w:color="auto" w:fill="EFF0F1"/>
          </w:tcPr>
          <w:p>
            <w:pPr>
              <w:spacing w:after="0"/>
              <w:rPr>
                <w:sz w:val="20"/>
                <w:szCs w:val="20"/>
                <w:color w:val="auto"/>
              </w:rPr>
            </w:pPr>
            <w:r>
              <w:rPr>
                <w:rFonts w:ascii="Arial" w:cs="Arial" w:eastAsia="Arial" w:hAnsi="Arial"/>
                <w:sz w:val="16"/>
                <w:szCs w:val="16"/>
                <w:color w:val="41516E"/>
              </w:rPr>
              <w:t>Base Salary Received</w:t>
            </w:r>
          </w:p>
        </w:tc>
        <w:tc>
          <w:tcPr>
            <w:tcW w:w="6240" w:type="dxa"/>
            <w:vAlign w:val="bottom"/>
            <w:shd w:val="clear" w:color="auto" w:fill="EFF0F1"/>
          </w:tcPr>
          <w:p>
            <w:pPr>
              <w:jc w:val="right"/>
              <w:ind w:right="139"/>
              <w:spacing w:after="0"/>
              <w:rPr>
                <w:sz w:val="20"/>
                <w:szCs w:val="20"/>
                <w:color w:val="auto"/>
              </w:rPr>
            </w:pPr>
            <w:r>
              <w:rPr>
                <w:rFonts w:ascii="Arial" w:cs="Arial" w:eastAsia="Arial" w:hAnsi="Arial"/>
                <w:sz w:val="16"/>
                <w:szCs w:val="16"/>
                <w:color w:val="41516E"/>
              </w:rPr>
              <w:t>$</w:t>
            </w:r>
          </w:p>
        </w:tc>
        <w:tc>
          <w:tcPr>
            <w:tcW w:w="102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860,500</w:t>
            </w:r>
          </w:p>
        </w:tc>
      </w:tr>
      <w:tr>
        <w:trPr>
          <w:trHeight w:val="189"/>
        </w:trPr>
        <w:tc>
          <w:tcPr>
            <w:tcW w:w="60" w:type="dxa"/>
            <w:vAlign w:val="bottom"/>
          </w:tcPr>
          <w:p>
            <w:pPr>
              <w:spacing w:after="0"/>
              <w:rPr>
                <w:sz w:val="16"/>
                <w:szCs w:val="16"/>
                <w:color w:val="auto"/>
              </w:rPr>
            </w:pPr>
          </w:p>
        </w:tc>
        <w:tc>
          <w:tcPr>
            <w:tcW w:w="3920" w:type="dxa"/>
            <w:vAlign w:val="bottom"/>
            <w:gridSpan w:val="3"/>
          </w:tcPr>
          <w:p>
            <w:pPr>
              <w:spacing w:after="0"/>
              <w:rPr>
                <w:sz w:val="20"/>
                <w:szCs w:val="20"/>
                <w:color w:val="auto"/>
              </w:rPr>
            </w:pPr>
            <w:r>
              <w:rPr>
                <w:rFonts w:ascii="Arial" w:cs="Arial" w:eastAsia="Arial" w:hAnsi="Arial"/>
                <w:sz w:val="16"/>
                <w:szCs w:val="16"/>
                <w:color w:val="41516E"/>
              </w:rPr>
              <w:t>Performance Cash Bonus</w:t>
            </w:r>
          </w:p>
        </w:tc>
        <w:tc>
          <w:tcPr>
            <w:tcW w:w="6240" w:type="dxa"/>
            <w:vAlign w:val="bottom"/>
          </w:tcPr>
          <w:p>
            <w:pPr>
              <w:jc w:val="right"/>
              <w:ind w:right="139"/>
              <w:spacing w:after="0"/>
              <w:rPr>
                <w:sz w:val="20"/>
                <w:szCs w:val="20"/>
                <w:color w:val="auto"/>
              </w:rPr>
            </w:pPr>
            <w:r>
              <w:rPr>
                <w:rFonts w:ascii="Arial" w:cs="Arial" w:eastAsia="Arial" w:hAnsi="Arial"/>
                <w:sz w:val="16"/>
                <w:szCs w:val="16"/>
                <w:color w:val="41516E"/>
              </w:rPr>
              <w:t>$</w:t>
            </w:r>
          </w:p>
        </w:tc>
        <w:tc>
          <w:tcPr>
            <w:tcW w:w="1020" w:type="dxa"/>
            <w:vAlign w:val="bottom"/>
          </w:tcPr>
          <w:p>
            <w:pPr>
              <w:jc w:val="right"/>
              <w:spacing w:after="0"/>
              <w:rPr>
                <w:sz w:val="20"/>
                <w:szCs w:val="20"/>
                <w:color w:val="auto"/>
              </w:rPr>
            </w:pPr>
            <w:r>
              <w:rPr>
                <w:rFonts w:ascii="Arial" w:cs="Arial" w:eastAsia="Arial" w:hAnsi="Arial"/>
                <w:sz w:val="16"/>
                <w:szCs w:val="16"/>
                <w:color w:val="41516E"/>
              </w:rPr>
              <w:t>1,032,605</w:t>
            </w:r>
          </w:p>
        </w:tc>
      </w:tr>
      <w:tr>
        <w:trPr>
          <w:trHeight w:val="189"/>
        </w:trPr>
        <w:tc>
          <w:tcPr>
            <w:tcW w:w="60" w:type="dxa"/>
            <w:vAlign w:val="bottom"/>
            <w:shd w:val="clear" w:color="auto" w:fill="EFF0F1"/>
          </w:tcPr>
          <w:p>
            <w:pPr>
              <w:spacing w:after="0"/>
              <w:rPr>
                <w:sz w:val="16"/>
                <w:szCs w:val="16"/>
                <w:color w:val="auto"/>
              </w:rPr>
            </w:pPr>
          </w:p>
        </w:tc>
        <w:tc>
          <w:tcPr>
            <w:tcW w:w="1060" w:type="dxa"/>
            <w:vAlign w:val="bottom"/>
            <w:shd w:val="clear" w:color="auto" w:fill="EFF0F1"/>
          </w:tcPr>
          <w:p>
            <w:pPr>
              <w:spacing w:after="0"/>
              <w:rPr>
                <w:sz w:val="20"/>
                <w:szCs w:val="20"/>
                <w:color w:val="auto"/>
              </w:rPr>
            </w:pPr>
            <w:r>
              <w:rPr>
                <w:rFonts w:ascii="Arial" w:cs="Arial" w:eastAsia="Arial" w:hAnsi="Arial"/>
                <w:sz w:val="16"/>
                <w:szCs w:val="16"/>
                <w:color w:val="41516E"/>
              </w:rPr>
              <w:t>March 1, 2023</w:t>
            </w:r>
          </w:p>
        </w:tc>
        <w:tc>
          <w:tcPr>
            <w:tcW w:w="2860" w:type="dxa"/>
            <w:vAlign w:val="bottom"/>
            <w:gridSpan w:val="2"/>
            <w:shd w:val="clear" w:color="auto" w:fill="EFF0F1"/>
          </w:tcPr>
          <w:p>
            <w:pPr>
              <w:ind w:left="20"/>
              <w:spacing w:after="0"/>
              <w:rPr>
                <w:sz w:val="20"/>
                <w:szCs w:val="20"/>
                <w:color w:val="auto"/>
              </w:rPr>
            </w:pPr>
            <w:r>
              <w:rPr>
                <w:rFonts w:ascii="Arial" w:cs="Arial" w:eastAsia="Arial" w:hAnsi="Arial"/>
                <w:sz w:val="16"/>
                <w:szCs w:val="16"/>
                <w:color w:val="41516E"/>
              </w:rPr>
              <w:t>Annual Stock Option Award</w:t>
            </w:r>
          </w:p>
        </w:tc>
        <w:tc>
          <w:tcPr>
            <w:tcW w:w="6240" w:type="dxa"/>
            <w:vAlign w:val="bottom"/>
            <w:shd w:val="clear" w:color="auto" w:fill="EFF0F1"/>
          </w:tcPr>
          <w:p>
            <w:pPr>
              <w:jc w:val="right"/>
              <w:ind w:right="139"/>
              <w:spacing w:after="0"/>
              <w:rPr>
                <w:sz w:val="20"/>
                <w:szCs w:val="20"/>
                <w:color w:val="auto"/>
              </w:rPr>
            </w:pPr>
            <w:r>
              <w:rPr>
                <w:rFonts w:ascii="Arial" w:cs="Arial" w:eastAsia="Arial" w:hAnsi="Arial"/>
                <w:sz w:val="16"/>
                <w:szCs w:val="16"/>
                <w:color w:val="41516E"/>
              </w:rPr>
              <w:t>$</w:t>
            </w:r>
          </w:p>
        </w:tc>
        <w:tc>
          <w:tcPr>
            <w:tcW w:w="102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2,000,007</w:t>
            </w:r>
          </w:p>
        </w:tc>
      </w:tr>
      <w:tr>
        <w:trPr>
          <w:trHeight w:val="189"/>
        </w:trPr>
        <w:tc>
          <w:tcPr>
            <w:tcW w:w="6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color w:val="41516E"/>
              </w:rPr>
              <w:t>March 1, 2023</w:t>
            </w:r>
          </w:p>
        </w:tc>
        <w:tc>
          <w:tcPr>
            <w:tcW w:w="2860" w:type="dxa"/>
            <w:vAlign w:val="bottom"/>
            <w:gridSpan w:val="2"/>
          </w:tcPr>
          <w:p>
            <w:pPr>
              <w:ind w:left="20"/>
              <w:spacing w:after="0"/>
              <w:rPr>
                <w:sz w:val="20"/>
                <w:szCs w:val="20"/>
                <w:color w:val="auto"/>
              </w:rPr>
            </w:pPr>
            <w:r>
              <w:rPr>
                <w:rFonts w:ascii="Arial" w:cs="Arial" w:eastAsia="Arial" w:hAnsi="Arial"/>
                <w:sz w:val="16"/>
                <w:szCs w:val="16"/>
                <w:color w:val="41516E"/>
              </w:rPr>
              <w:t>Annual Restricted Stock Unit Award</w:t>
            </w:r>
          </w:p>
        </w:tc>
        <w:tc>
          <w:tcPr>
            <w:tcW w:w="6240" w:type="dxa"/>
            <w:vAlign w:val="bottom"/>
          </w:tcPr>
          <w:p>
            <w:pPr>
              <w:jc w:val="right"/>
              <w:ind w:right="139"/>
              <w:spacing w:after="0"/>
              <w:rPr>
                <w:sz w:val="20"/>
                <w:szCs w:val="20"/>
                <w:color w:val="auto"/>
              </w:rPr>
            </w:pPr>
            <w:r>
              <w:rPr>
                <w:rFonts w:ascii="Arial" w:cs="Arial" w:eastAsia="Arial" w:hAnsi="Arial"/>
                <w:sz w:val="16"/>
                <w:szCs w:val="16"/>
                <w:color w:val="41516E"/>
              </w:rPr>
              <w:t>$</w:t>
            </w:r>
          </w:p>
        </w:tc>
        <w:tc>
          <w:tcPr>
            <w:tcW w:w="1020" w:type="dxa"/>
            <w:vAlign w:val="bottom"/>
          </w:tcPr>
          <w:p>
            <w:pPr>
              <w:jc w:val="right"/>
              <w:spacing w:after="0"/>
              <w:rPr>
                <w:sz w:val="20"/>
                <w:szCs w:val="20"/>
                <w:color w:val="auto"/>
              </w:rPr>
            </w:pPr>
            <w:r>
              <w:rPr>
                <w:rFonts w:ascii="Arial" w:cs="Arial" w:eastAsia="Arial" w:hAnsi="Arial"/>
                <w:sz w:val="16"/>
                <w:szCs w:val="16"/>
                <w:color w:val="41516E"/>
              </w:rPr>
              <w:t>2,000,113</w:t>
            </w:r>
          </w:p>
        </w:tc>
      </w:tr>
      <w:tr>
        <w:trPr>
          <w:trHeight w:val="203"/>
        </w:trPr>
        <w:tc>
          <w:tcPr>
            <w:tcW w:w="60" w:type="dxa"/>
            <w:vAlign w:val="bottom"/>
            <w:tcBorders>
              <w:bottom w:val="single" w:sz="8" w:color="41516E"/>
            </w:tcBorders>
            <w:shd w:val="clear" w:color="auto" w:fill="EFF0F1"/>
          </w:tcPr>
          <w:p>
            <w:pPr>
              <w:spacing w:after="0"/>
              <w:rPr>
                <w:sz w:val="17"/>
                <w:szCs w:val="17"/>
                <w:color w:val="auto"/>
              </w:rPr>
            </w:pPr>
          </w:p>
        </w:tc>
        <w:tc>
          <w:tcPr>
            <w:tcW w:w="3920" w:type="dxa"/>
            <w:vAlign w:val="bottom"/>
            <w:tcBorders>
              <w:bottom w:val="single" w:sz="8" w:color="41516E"/>
            </w:tcBorders>
            <w:gridSpan w:val="3"/>
            <w:shd w:val="clear" w:color="auto" w:fill="EFF0F1"/>
          </w:tcPr>
          <w:p>
            <w:pPr>
              <w:spacing w:after="0"/>
              <w:rPr>
                <w:sz w:val="20"/>
                <w:szCs w:val="20"/>
                <w:color w:val="auto"/>
              </w:rPr>
            </w:pPr>
            <w:r>
              <w:rPr>
                <w:rFonts w:ascii="Arial" w:cs="Arial" w:eastAsia="Arial" w:hAnsi="Arial"/>
                <w:sz w:val="16"/>
                <w:szCs w:val="16"/>
                <w:color w:val="41516E"/>
              </w:rPr>
              <w:t>Other Compensation</w:t>
            </w:r>
          </w:p>
        </w:tc>
        <w:tc>
          <w:tcPr>
            <w:tcW w:w="6240" w:type="dxa"/>
            <w:vAlign w:val="bottom"/>
            <w:tcBorders>
              <w:bottom w:val="single" w:sz="8" w:color="41516E"/>
            </w:tcBorders>
            <w:shd w:val="clear" w:color="auto" w:fill="EFF0F1"/>
          </w:tcPr>
          <w:p>
            <w:pPr>
              <w:jc w:val="right"/>
              <w:ind w:right="139"/>
              <w:spacing w:after="0"/>
              <w:rPr>
                <w:sz w:val="20"/>
                <w:szCs w:val="20"/>
                <w:color w:val="auto"/>
              </w:rPr>
            </w:pPr>
            <w:r>
              <w:rPr>
                <w:rFonts w:ascii="Arial" w:cs="Arial" w:eastAsia="Arial" w:hAnsi="Arial"/>
                <w:sz w:val="16"/>
                <w:szCs w:val="16"/>
                <w:color w:val="41516E"/>
              </w:rPr>
              <w:t>$</w:t>
            </w:r>
          </w:p>
        </w:tc>
        <w:tc>
          <w:tcPr>
            <w:tcW w:w="102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6"/>
                <w:szCs w:val="16"/>
                <w:color w:val="41516E"/>
              </w:rPr>
              <w:t>14,117</w:t>
            </w:r>
          </w:p>
        </w:tc>
      </w:tr>
      <w:tr>
        <w:trPr>
          <w:trHeight w:val="196"/>
        </w:trPr>
        <w:tc>
          <w:tcPr>
            <w:tcW w:w="60" w:type="dxa"/>
            <w:vAlign w:val="bottom"/>
            <w:tcBorders>
              <w:bottom w:val="single" w:sz="8" w:color="41516E"/>
            </w:tcBorders>
          </w:tcPr>
          <w:p>
            <w:pPr>
              <w:spacing w:after="0"/>
              <w:rPr>
                <w:sz w:val="17"/>
                <w:szCs w:val="17"/>
                <w:color w:val="auto"/>
              </w:rPr>
            </w:pPr>
          </w:p>
        </w:tc>
        <w:tc>
          <w:tcPr>
            <w:tcW w:w="3920" w:type="dxa"/>
            <w:vAlign w:val="bottom"/>
            <w:tcBorders>
              <w:bottom w:val="single" w:sz="8" w:color="41516E"/>
            </w:tcBorders>
            <w:gridSpan w:val="3"/>
          </w:tcPr>
          <w:p>
            <w:pPr>
              <w:spacing w:after="0"/>
              <w:rPr>
                <w:sz w:val="20"/>
                <w:szCs w:val="20"/>
                <w:color w:val="auto"/>
              </w:rPr>
            </w:pPr>
            <w:r>
              <w:rPr>
                <w:rFonts w:ascii="Arial" w:cs="Arial" w:eastAsia="Arial" w:hAnsi="Arial"/>
                <w:sz w:val="16"/>
                <w:szCs w:val="16"/>
                <w:b w:val="1"/>
                <w:bCs w:val="1"/>
                <w:color w:val="41516E"/>
              </w:rPr>
              <w:t>2023 TOTAL COMPENSATION</w:t>
            </w:r>
          </w:p>
        </w:tc>
        <w:tc>
          <w:tcPr>
            <w:tcW w:w="6240" w:type="dxa"/>
            <w:vAlign w:val="bottom"/>
            <w:tcBorders>
              <w:bottom w:val="single" w:sz="8" w:color="41516E"/>
            </w:tcBorders>
          </w:tcPr>
          <w:p>
            <w:pPr>
              <w:jc w:val="right"/>
              <w:ind w:right="139"/>
              <w:spacing w:after="0"/>
              <w:rPr>
                <w:sz w:val="20"/>
                <w:szCs w:val="20"/>
                <w:color w:val="auto"/>
              </w:rPr>
            </w:pPr>
            <w:r>
              <w:rPr>
                <w:rFonts w:ascii="Arial" w:cs="Arial" w:eastAsia="Arial" w:hAnsi="Arial"/>
                <w:sz w:val="16"/>
                <w:szCs w:val="16"/>
                <w:b w:val="1"/>
                <w:bCs w:val="1"/>
                <w:color w:val="41516E"/>
              </w:rPr>
              <w:t>$</w:t>
            </w:r>
          </w:p>
        </w:tc>
        <w:tc>
          <w:tcPr>
            <w:tcW w:w="1020" w:type="dxa"/>
            <w:vAlign w:val="bottom"/>
            <w:tcBorders>
              <w:bottom w:val="single" w:sz="8" w:color="41516E"/>
            </w:tcBorders>
          </w:tcPr>
          <w:p>
            <w:pPr>
              <w:jc w:val="right"/>
              <w:spacing w:after="0"/>
              <w:rPr>
                <w:sz w:val="20"/>
                <w:szCs w:val="20"/>
                <w:color w:val="auto"/>
              </w:rPr>
            </w:pPr>
            <w:r>
              <w:rPr>
                <w:rFonts w:ascii="Arial" w:cs="Arial" w:eastAsia="Arial" w:hAnsi="Arial"/>
                <w:sz w:val="16"/>
                <w:szCs w:val="16"/>
                <w:b w:val="1"/>
                <w:bCs w:val="1"/>
                <w:color w:val="41516E"/>
              </w:rPr>
              <w:t>5,907,342</w:t>
            </w:r>
          </w:p>
        </w:tc>
      </w:tr>
    </w:tbl>
    <w:p>
      <w:pPr>
        <w:spacing w:after="0" w:line="175" w:lineRule="exact"/>
        <w:rPr>
          <w:sz w:val="20"/>
          <w:szCs w:val="20"/>
          <w:color w:val="auto"/>
        </w:rPr>
      </w:pPr>
    </w:p>
    <w:p>
      <w:pPr>
        <w:ind w:left="180" w:hanging="172"/>
        <w:spacing w:after="0" w:line="286" w:lineRule="auto"/>
        <w:tabs>
          <w:tab w:leader="none" w:pos="180" w:val="left"/>
        </w:tabs>
        <w:numPr>
          <w:ilvl w:val="0"/>
          <w:numId w:val="18"/>
        </w:numPr>
        <w:rPr>
          <w:rFonts w:ascii="Arial" w:cs="Arial" w:eastAsia="Arial" w:hAnsi="Arial"/>
          <w:sz w:val="16"/>
          <w:szCs w:val="16"/>
          <w:color w:val="41516E"/>
        </w:rPr>
      </w:pPr>
      <w:r>
        <w:rPr>
          <w:rFonts w:ascii="Arial" w:cs="Arial" w:eastAsia="Arial" w:hAnsi="Arial"/>
          <w:sz w:val="16"/>
          <w:szCs w:val="16"/>
          <w:b w:val="1"/>
          <w:bCs w:val="1"/>
          <w:color w:val="41516E"/>
        </w:rPr>
        <w:t xml:space="preserve">Base Salary: </w:t>
      </w:r>
      <w:r>
        <w:rPr>
          <w:rFonts w:ascii="Arial" w:cs="Arial" w:eastAsia="Arial" w:hAnsi="Arial"/>
          <w:sz w:val="16"/>
          <w:szCs w:val="16"/>
          <w:color w:val="41516E"/>
        </w:rPr>
        <w:t>Mr. Burwick’s 2023 annual base salary represented a 3% increase from his 2022 base salary. His 2023 base salary was approved by the</w:t>
      </w:r>
      <w:r>
        <w:rPr>
          <w:rFonts w:ascii="Arial" w:cs="Arial" w:eastAsia="Arial" w:hAnsi="Arial"/>
          <w:sz w:val="16"/>
          <w:szCs w:val="16"/>
          <w:b w:val="1"/>
          <w:bCs w:val="1"/>
          <w:color w:val="41516E"/>
        </w:rPr>
        <w:t xml:space="preserve"> </w:t>
      </w:r>
      <w:r>
        <w:rPr>
          <w:rFonts w:ascii="Arial" w:cs="Arial" w:eastAsia="Arial" w:hAnsi="Arial"/>
          <w:sz w:val="16"/>
          <w:szCs w:val="16"/>
          <w:color w:val="41516E"/>
        </w:rPr>
        <w:t>Compensation Committee and the Board of Directors in February 2023.</w:t>
      </w:r>
    </w:p>
    <w:p>
      <w:pPr>
        <w:spacing w:after="0" w:line="20" w:lineRule="exact"/>
        <w:rPr>
          <w:rFonts w:ascii="Arial" w:cs="Arial" w:eastAsia="Arial" w:hAnsi="Arial"/>
          <w:sz w:val="16"/>
          <w:szCs w:val="16"/>
          <w:color w:val="41516E"/>
        </w:rPr>
      </w:pPr>
    </w:p>
    <w:p>
      <w:pPr>
        <w:jc w:val="both"/>
        <w:ind w:left="180" w:hanging="172"/>
        <w:spacing w:after="0" w:line="256" w:lineRule="auto"/>
        <w:tabs>
          <w:tab w:leader="none" w:pos="180" w:val="left"/>
        </w:tabs>
        <w:numPr>
          <w:ilvl w:val="0"/>
          <w:numId w:val="18"/>
        </w:numPr>
        <w:rPr>
          <w:rFonts w:ascii="Arial" w:cs="Arial" w:eastAsia="Arial" w:hAnsi="Arial"/>
          <w:sz w:val="16"/>
          <w:szCs w:val="16"/>
          <w:color w:val="41516E"/>
        </w:rPr>
      </w:pPr>
      <w:r>
        <w:rPr>
          <w:rFonts w:ascii="Arial" w:cs="Arial" w:eastAsia="Arial" w:hAnsi="Arial"/>
          <w:sz w:val="16"/>
          <w:szCs w:val="16"/>
          <w:b w:val="1"/>
          <w:bCs w:val="1"/>
          <w:color w:val="41516E"/>
        </w:rPr>
        <w:t xml:space="preserve">Performance Cash Bonus: </w:t>
      </w:r>
      <w:r>
        <w:rPr>
          <w:rFonts w:ascii="Arial" w:cs="Arial" w:eastAsia="Arial" w:hAnsi="Arial"/>
          <w:sz w:val="16"/>
          <w:szCs w:val="16"/>
          <w:color w:val="41516E"/>
        </w:rPr>
        <w:t>As disclosed in a Form 8-K filed by the Company on February 10, 2023, the Compensation Committee approved a target</w:t>
      </w:r>
      <w:r>
        <w:rPr>
          <w:rFonts w:ascii="Arial" w:cs="Arial" w:eastAsia="Arial" w:hAnsi="Arial"/>
          <w:sz w:val="16"/>
          <w:szCs w:val="16"/>
          <w:b w:val="1"/>
          <w:bCs w:val="1"/>
          <w:color w:val="41516E"/>
        </w:rPr>
        <w:t xml:space="preserve"> </w:t>
      </w:r>
      <w:r>
        <w:rPr>
          <w:rFonts w:ascii="Arial" w:cs="Arial" w:eastAsia="Arial" w:hAnsi="Arial"/>
          <w:sz w:val="16"/>
          <w:szCs w:val="16"/>
          <w:color w:val="41516E"/>
        </w:rPr>
        <w:t>cash bonus for Mr. Burwick of 120% of his 2023 base salary, which represented a 20% increase from Mr. Burwick’s 2022 target cash bonus percentage. The Compensation Committee reviewed Fiscal Year 2023 Company performance against the 2023 cash bonus scale in February 2024, determined that the Company achieved 95% on the scale, and determined to fund the bonus pool at 100%. The Committee accordingly approved a bonus to Mr. Burwick in the amount of $1,032,605, which was paid in March 2024.</w:t>
      </w:r>
    </w:p>
    <w:p>
      <w:pPr>
        <w:spacing w:after="0" w:line="44" w:lineRule="exact"/>
        <w:rPr>
          <w:rFonts w:ascii="Arial" w:cs="Arial" w:eastAsia="Arial" w:hAnsi="Arial"/>
          <w:sz w:val="16"/>
          <w:szCs w:val="16"/>
          <w:color w:val="41516E"/>
        </w:rPr>
      </w:pPr>
    </w:p>
    <w:p>
      <w:pPr>
        <w:jc w:val="both"/>
        <w:ind w:left="180" w:hanging="172"/>
        <w:spacing w:after="0" w:line="255" w:lineRule="auto"/>
        <w:tabs>
          <w:tab w:leader="none" w:pos="180" w:val="left"/>
        </w:tabs>
        <w:numPr>
          <w:ilvl w:val="0"/>
          <w:numId w:val="18"/>
        </w:numPr>
        <w:rPr>
          <w:rFonts w:ascii="Arial" w:cs="Arial" w:eastAsia="Arial" w:hAnsi="Arial"/>
          <w:sz w:val="16"/>
          <w:szCs w:val="16"/>
          <w:color w:val="41516E"/>
        </w:rPr>
      </w:pPr>
      <w:r>
        <w:rPr>
          <w:rFonts w:ascii="Arial" w:cs="Arial" w:eastAsia="Arial" w:hAnsi="Arial"/>
          <w:sz w:val="16"/>
          <w:szCs w:val="16"/>
          <w:b w:val="1"/>
          <w:bCs w:val="1"/>
          <w:color w:val="41516E"/>
        </w:rPr>
        <w:t xml:space="preserve">Performance-Based Stock Option Award: </w:t>
      </w:r>
      <w:r>
        <w:rPr>
          <w:rFonts w:ascii="Arial" w:cs="Arial" w:eastAsia="Arial" w:hAnsi="Arial"/>
          <w:sz w:val="16"/>
          <w:szCs w:val="16"/>
          <w:color w:val="41516E"/>
        </w:rPr>
        <w:t>On March 1, 2023, the Company granted Mr. Burwick a performance-based stock option award for a total of</w:t>
      </w:r>
      <w:r>
        <w:rPr>
          <w:rFonts w:ascii="Arial" w:cs="Arial" w:eastAsia="Arial" w:hAnsi="Arial"/>
          <w:sz w:val="16"/>
          <w:szCs w:val="16"/>
          <w:b w:val="1"/>
          <w:bCs w:val="1"/>
          <w:color w:val="41516E"/>
        </w:rPr>
        <w:t xml:space="preserve"> </w:t>
      </w:r>
      <w:r>
        <w:rPr>
          <w:rFonts w:ascii="Arial" w:cs="Arial" w:eastAsia="Arial" w:hAnsi="Arial"/>
          <w:sz w:val="16"/>
          <w:szCs w:val="16"/>
          <w:color w:val="41516E"/>
        </w:rPr>
        <w:t>12,430 shares, valued at $2,000,007 on the grant date. As described in more detail under the heading “Stock Option Awards,” the option shares have an exercise price of $323.80, are contingent upon net revenue growth in Fiscal Year 2024 over Fiscal Year 2022, have a three-year vesting schedule from March 2025 to March 2027 should the performance criteria be achieved, and are contingent on continued employment (as an employee or consultant) on the applicable vesting dates. The stock option award structure is identical in nature to the stock option awards granted to the other NEOs on March 1, 2023.</w:t>
      </w:r>
    </w:p>
    <w:p>
      <w:pPr>
        <w:spacing w:after="0" w:line="237" w:lineRule="exact"/>
        <w:rPr>
          <w:rFonts w:ascii="Arial" w:cs="Arial" w:eastAsia="Arial" w:hAnsi="Arial"/>
          <w:sz w:val="16"/>
          <w:szCs w:val="16"/>
          <w:color w:val="41516E"/>
        </w:rPr>
      </w:pPr>
    </w:p>
    <w:p>
      <w:pPr>
        <w:jc w:val="both"/>
        <w:ind w:left="180" w:hanging="172"/>
        <w:spacing w:after="0" w:line="259" w:lineRule="auto"/>
        <w:tabs>
          <w:tab w:leader="none" w:pos="180" w:val="left"/>
        </w:tabs>
        <w:numPr>
          <w:ilvl w:val="0"/>
          <w:numId w:val="18"/>
        </w:numPr>
        <w:rPr>
          <w:rFonts w:ascii="Arial" w:cs="Arial" w:eastAsia="Arial" w:hAnsi="Arial"/>
          <w:sz w:val="16"/>
          <w:szCs w:val="16"/>
          <w:color w:val="41516E"/>
        </w:rPr>
      </w:pPr>
      <w:r>
        <w:rPr>
          <w:rFonts w:ascii="Arial" w:cs="Arial" w:eastAsia="Arial" w:hAnsi="Arial"/>
          <w:sz w:val="16"/>
          <w:szCs w:val="16"/>
          <w:b w:val="1"/>
          <w:bCs w:val="1"/>
          <w:color w:val="41516E"/>
        </w:rPr>
        <w:t xml:space="preserve">Restricted Stock Units: </w:t>
      </w:r>
      <w:r>
        <w:rPr>
          <w:rFonts w:ascii="Arial" w:cs="Arial" w:eastAsia="Arial" w:hAnsi="Arial"/>
          <w:sz w:val="16"/>
          <w:szCs w:val="16"/>
          <w:color w:val="41516E"/>
        </w:rPr>
        <w:t>On March 1, 2023, the Company granted Mr. Burwick an award of 6,177 RSUs valued at $2,000,113 on the grant date. As</w:t>
      </w:r>
      <w:r>
        <w:rPr>
          <w:rFonts w:ascii="Arial" w:cs="Arial" w:eastAsia="Arial" w:hAnsi="Arial"/>
          <w:sz w:val="16"/>
          <w:szCs w:val="16"/>
          <w:b w:val="1"/>
          <w:bCs w:val="1"/>
          <w:color w:val="41516E"/>
        </w:rPr>
        <w:t xml:space="preserve"> </w:t>
      </w:r>
      <w:r>
        <w:rPr>
          <w:rFonts w:ascii="Arial" w:cs="Arial" w:eastAsia="Arial" w:hAnsi="Arial"/>
          <w:sz w:val="16"/>
          <w:szCs w:val="16"/>
          <w:color w:val="41516E"/>
        </w:rPr>
        <w:t>described in more detail under the heading “Restricted Stock Units,” the RSUs vest over a four-year period and are contingent upon continued employment (as an employee or consultant) on the applicable vesting dates. The RSU award structure is identical in nature to the annual RSUs granted to the other NEOs on March 1, 2023.</w:t>
      </w:r>
    </w:p>
    <w:p>
      <w:pPr>
        <w:spacing w:after="0" w:line="42"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18"/>
        </w:numPr>
        <w:rPr>
          <w:rFonts w:ascii="Arial" w:cs="Arial" w:eastAsia="Arial" w:hAnsi="Arial"/>
          <w:sz w:val="16"/>
          <w:szCs w:val="16"/>
          <w:color w:val="41516E"/>
        </w:rPr>
      </w:pPr>
      <w:r>
        <w:rPr>
          <w:rFonts w:ascii="Arial" w:cs="Arial" w:eastAsia="Arial" w:hAnsi="Arial"/>
          <w:sz w:val="16"/>
          <w:szCs w:val="16"/>
          <w:b w:val="1"/>
          <w:bCs w:val="1"/>
          <w:color w:val="41516E"/>
        </w:rPr>
        <w:t xml:space="preserve">Other Compensation: </w:t>
      </w:r>
      <w:r>
        <w:rPr>
          <w:rFonts w:ascii="Arial" w:cs="Arial" w:eastAsia="Arial" w:hAnsi="Arial"/>
          <w:sz w:val="16"/>
          <w:szCs w:val="16"/>
          <w:color w:val="41516E"/>
        </w:rPr>
        <w:t>“Other Compensation” includes $13,200 in matching contributions to the Company’s 401(k) plan and $917 in Company</w:t>
      </w:r>
      <w:r>
        <w:rPr>
          <w:rFonts w:ascii="Arial" w:cs="Arial" w:eastAsia="Arial" w:hAnsi="Arial"/>
          <w:sz w:val="16"/>
          <w:szCs w:val="16"/>
          <w:b w:val="1"/>
          <w:bCs w:val="1"/>
          <w:color w:val="41516E"/>
        </w:rPr>
        <w:t xml:space="preserve"> </w:t>
      </w:r>
      <w:r>
        <w:rPr>
          <w:rFonts w:ascii="Arial" w:cs="Arial" w:eastAsia="Arial" w:hAnsi="Arial"/>
          <w:sz w:val="16"/>
          <w:szCs w:val="16"/>
          <w:color w:val="41516E"/>
        </w:rPr>
        <w:t>contributions to annual group life insurance, accidental death and dismemberment insurance, and short-term and long-term disability. Mr. Burwick was eligible for the same level and offering of those benefits as other Company coworkers.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Each of the categories of Mr. Burwick’s compensation mix were approved by the Compensation Committee and the full Board of Directors. His compensation structure in 2023 was also consistent with the compensation structure of our other Named Executive Officers. The Compensation Committee also believes that Mr. Burwick’s compensation package is structured in a way that provides him with appropriate incentives and rewards for superior performance and increasing stockholder value.</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Mr. Burwick’s compensation was a topic of discussion with stockholders following our 2023 non-binding Say-on-Pay resolution, which received a favorable vote of 91.7% of the votes cast. Our stockholder outreach and engagement efforts prior to and following that result are discussed in detail under the heading “Stockholder Engagement” above.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The Summary Compensation Table included in this Proxy Statement sets forth all compensation received by Mr. Burwick for Fiscal Year 2023. There is no Company-sponsored retirement program for Mr. Burwick other than the Company’s 401(k) plan, and he receives no benefits or perquisites from Boston Beer other than the benefits generally available to our coworkers. Mr. Burwick does not have a severance or change in control arrangement, other than the Change in Control provisions in his LTE Awards, which are described in detail under the heading “Employment Contracts, Termination of Employment, and Change in 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106045</wp:posOffset>
            </wp:positionV>
            <wp:extent cx="857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37</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Compensation of Named Executive Officers Other than the CEO</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As described in more detail under the heading “Components of Executive Compensation and Determination of Compensation Mix”, the primary components of the compensation of our Named Executive Officers in 2023, other than Mr. Burwick, were as follows.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41516E"/>
        </w:rPr>
        <w:t xml:space="preserve">Base Salary: </w:t>
      </w:r>
      <w:r>
        <w:rPr>
          <w:rFonts w:ascii="Arial" w:cs="Arial" w:eastAsia="Arial" w:hAnsi="Arial"/>
          <w:sz w:val="16"/>
          <w:szCs w:val="16"/>
          <w:color w:val="41516E"/>
        </w:rPr>
        <w:t>The following table shows the 2023 base salary, the corresponding percentage increase above the 2022 base salary level, and the actual</w:t>
      </w:r>
      <w:r>
        <w:rPr>
          <w:rFonts w:ascii="Arial" w:cs="Arial" w:eastAsia="Arial" w:hAnsi="Arial"/>
          <w:sz w:val="16"/>
          <w:szCs w:val="16"/>
          <w:b w:val="1"/>
          <w:bCs w:val="1"/>
          <w:color w:val="41516E"/>
        </w:rPr>
        <w:t xml:space="preserve"> </w:t>
      </w:r>
      <w:r>
        <w:rPr>
          <w:rFonts w:ascii="Arial" w:cs="Arial" w:eastAsia="Arial" w:hAnsi="Arial"/>
          <w:sz w:val="16"/>
          <w:szCs w:val="16"/>
          <w:color w:val="41516E"/>
        </w:rPr>
        <w:t>salary earned in 2023 of our other Named Executive Officers.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9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41516E"/>
              </w:rPr>
              <w:t>Base Salary for</w:t>
            </w:r>
          </w:p>
        </w:tc>
        <w:tc>
          <w:tcPr>
            <w:tcW w:w="1940" w:type="dxa"/>
            <w:vAlign w:val="bottom"/>
          </w:tcPr>
          <w:p>
            <w:pPr>
              <w:ind w:left="180"/>
              <w:spacing w:after="0"/>
              <w:rPr>
                <w:sz w:val="20"/>
                <w:szCs w:val="20"/>
                <w:color w:val="auto"/>
              </w:rPr>
            </w:pPr>
            <w:r>
              <w:rPr>
                <w:rFonts w:ascii="Arial" w:cs="Arial" w:eastAsia="Arial" w:hAnsi="Arial"/>
                <w:sz w:val="16"/>
                <w:szCs w:val="16"/>
                <w:b w:val="1"/>
                <w:bCs w:val="1"/>
                <w:color w:val="41516E"/>
              </w:rPr>
              <w:t>Increase from 2022</w:t>
            </w:r>
          </w:p>
        </w:tc>
        <w:tc>
          <w:tcPr>
            <w:tcW w:w="13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1516E"/>
              </w:rPr>
              <w:t>Actual Salary</w:t>
            </w:r>
          </w:p>
        </w:tc>
      </w:tr>
      <w:tr>
        <w:trPr>
          <w:trHeight w:val="203"/>
        </w:trPr>
        <w:tc>
          <w:tcPr>
            <w:tcW w:w="196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Name</w:t>
            </w:r>
          </w:p>
        </w:tc>
        <w:tc>
          <w:tcPr>
            <w:tcW w:w="4020" w:type="dxa"/>
            <w:vAlign w:val="bottom"/>
            <w:tcBorders>
              <w:bottom w:val="single" w:sz="8" w:color="41516E"/>
            </w:tcBorders>
          </w:tcPr>
          <w:p>
            <w:pPr>
              <w:ind w:left="500"/>
              <w:spacing w:after="0"/>
              <w:rPr>
                <w:sz w:val="20"/>
                <w:szCs w:val="20"/>
                <w:color w:val="auto"/>
              </w:rPr>
            </w:pPr>
            <w:r>
              <w:rPr>
                <w:rFonts w:ascii="Arial" w:cs="Arial" w:eastAsia="Arial" w:hAnsi="Arial"/>
                <w:sz w:val="16"/>
                <w:szCs w:val="16"/>
                <w:b w:val="1"/>
                <w:bCs w:val="1"/>
                <w:color w:val="41516E"/>
              </w:rPr>
              <w:t>Title</w:t>
            </w:r>
          </w:p>
        </w:tc>
        <w:tc>
          <w:tcPr>
            <w:tcW w:w="920" w:type="dxa"/>
            <w:vAlign w:val="bottom"/>
            <w:tcBorders>
              <w:bottom w:val="single" w:sz="8" w:color="41516E"/>
            </w:tcBorders>
          </w:tcPr>
          <w:p>
            <w:pPr>
              <w:spacing w:after="0"/>
              <w:rPr>
                <w:sz w:val="17"/>
                <w:szCs w:val="17"/>
                <w:color w:val="auto"/>
              </w:rPr>
            </w:pPr>
          </w:p>
        </w:tc>
        <w:tc>
          <w:tcPr>
            <w:tcW w:w="1020" w:type="dxa"/>
            <w:vAlign w:val="bottom"/>
            <w:tcBorders>
              <w:bottom w:val="single" w:sz="8" w:color="41516E"/>
            </w:tcBorders>
          </w:tcPr>
          <w:p>
            <w:pPr>
              <w:jc w:val="right"/>
              <w:ind w:right="119"/>
              <w:spacing w:after="0"/>
              <w:rPr>
                <w:sz w:val="20"/>
                <w:szCs w:val="20"/>
                <w:color w:val="auto"/>
              </w:rPr>
            </w:pPr>
            <w:r>
              <w:rPr>
                <w:rFonts w:ascii="Arial" w:cs="Arial" w:eastAsia="Arial" w:hAnsi="Arial"/>
                <w:sz w:val="16"/>
                <w:szCs w:val="16"/>
                <w:b w:val="1"/>
                <w:bCs w:val="1"/>
                <w:color w:val="41516E"/>
              </w:rPr>
              <w:t>2023</w:t>
            </w:r>
          </w:p>
        </w:tc>
        <w:tc>
          <w:tcPr>
            <w:tcW w:w="1940" w:type="dxa"/>
            <w:vAlign w:val="bottom"/>
            <w:tcBorders>
              <w:bottom w:val="single" w:sz="8" w:color="41516E"/>
            </w:tcBorders>
          </w:tcPr>
          <w:p>
            <w:pPr>
              <w:ind w:left="720"/>
              <w:spacing w:after="0"/>
              <w:rPr>
                <w:sz w:val="20"/>
                <w:szCs w:val="20"/>
                <w:color w:val="auto"/>
              </w:rPr>
            </w:pPr>
            <w:r>
              <w:rPr>
                <w:rFonts w:ascii="Arial" w:cs="Arial" w:eastAsia="Arial" w:hAnsi="Arial"/>
                <w:sz w:val="16"/>
                <w:szCs w:val="16"/>
                <w:b w:val="1"/>
                <w:bCs w:val="1"/>
                <w:color w:val="41516E"/>
              </w:rPr>
              <w:t>Base Salary</w:t>
            </w:r>
          </w:p>
        </w:tc>
        <w:tc>
          <w:tcPr>
            <w:tcW w:w="1380" w:type="dxa"/>
            <w:vAlign w:val="bottom"/>
            <w:tcBorders>
              <w:bottom w:val="single" w:sz="8" w:color="41516E"/>
            </w:tcBorders>
            <w:gridSpan w:val="2"/>
          </w:tcPr>
          <w:p>
            <w:pPr>
              <w:jc w:val="right"/>
              <w:ind w:right="19"/>
              <w:spacing w:after="0"/>
              <w:rPr>
                <w:sz w:val="20"/>
                <w:szCs w:val="20"/>
                <w:color w:val="auto"/>
              </w:rPr>
            </w:pPr>
            <w:r>
              <w:rPr>
                <w:rFonts w:ascii="Arial" w:cs="Arial" w:eastAsia="Arial" w:hAnsi="Arial"/>
                <w:sz w:val="16"/>
                <w:szCs w:val="16"/>
                <w:b w:val="1"/>
                <w:bCs w:val="1"/>
                <w:color w:val="41516E"/>
              </w:rPr>
              <w:t>Earned in 2023</w:t>
            </w:r>
          </w:p>
        </w:tc>
      </w:tr>
      <w:tr>
        <w:trPr>
          <w:trHeight w:val="183"/>
        </w:trPr>
        <w:tc>
          <w:tcPr>
            <w:tcW w:w="1960" w:type="dxa"/>
            <w:vAlign w:val="bottom"/>
          </w:tcPr>
          <w:p>
            <w:pPr>
              <w:ind w:left="60"/>
              <w:spacing w:after="0" w:line="183" w:lineRule="exact"/>
              <w:rPr>
                <w:sz w:val="20"/>
                <w:szCs w:val="20"/>
                <w:color w:val="auto"/>
              </w:rPr>
            </w:pPr>
            <w:r>
              <w:rPr>
                <w:rFonts w:ascii="Arial" w:cs="Arial" w:eastAsia="Arial" w:hAnsi="Arial"/>
                <w:sz w:val="16"/>
                <w:szCs w:val="16"/>
                <w:color w:val="41516E"/>
              </w:rPr>
              <w:t>Diego Reynoso</w:t>
            </w:r>
          </w:p>
        </w:tc>
        <w:tc>
          <w:tcPr>
            <w:tcW w:w="4020" w:type="dxa"/>
            <w:vAlign w:val="bottom"/>
          </w:tcPr>
          <w:p>
            <w:pPr>
              <w:ind w:left="500"/>
              <w:spacing w:after="0" w:line="183" w:lineRule="exact"/>
              <w:rPr>
                <w:sz w:val="20"/>
                <w:szCs w:val="20"/>
                <w:color w:val="auto"/>
              </w:rPr>
            </w:pPr>
            <w:r>
              <w:rPr>
                <w:rFonts w:ascii="Arial" w:cs="Arial" w:eastAsia="Arial" w:hAnsi="Arial"/>
                <w:sz w:val="16"/>
                <w:szCs w:val="16"/>
                <w:color w:val="41516E"/>
              </w:rPr>
              <w:t>Treasurer and CFO</w:t>
            </w:r>
          </w:p>
        </w:tc>
        <w:tc>
          <w:tcPr>
            <w:tcW w:w="920" w:type="dxa"/>
            <w:vAlign w:val="bottom"/>
          </w:tcPr>
          <w:p>
            <w:pPr>
              <w:jc w:val="right"/>
              <w:ind w:right="139"/>
              <w:spacing w:after="0" w:line="183" w:lineRule="exact"/>
              <w:rPr>
                <w:sz w:val="20"/>
                <w:szCs w:val="20"/>
                <w:color w:val="auto"/>
              </w:rPr>
            </w:pPr>
            <w:r>
              <w:rPr>
                <w:rFonts w:ascii="Arial" w:cs="Arial" w:eastAsia="Arial" w:hAnsi="Arial"/>
                <w:sz w:val="16"/>
                <w:szCs w:val="16"/>
                <w:color w:val="41516E"/>
              </w:rPr>
              <w:t>$</w:t>
            </w:r>
          </w:p>
        </w:tc>
        <w:tc>
          <w:tcPr>
            <w:tcW w:w="1020" w:type="dxa"/>
            <w:vAlign w:val="bottom"/>
          </w:tcPr>
          <w:p>
            <w:pPr>
              <w:jc w:val="right"/>
              <w:ind w:right="119"/>
              <w:spacing w:after="0" w:line="183" w:lineRule="exact"/>
              <w:rPr>
                <w:sz w:val="20"/>
                <w:szCs w:val="20"/>
                <w:color w:val="auto"/>
              </w:rPr>
            </w:pPr>
            <w:r>
              <w:rPr>
                <w:rFonts w:ascii="Arial" w:cs="Arial" w:eastAsia="Arial" w:hAnsi="Arial"/>
                <w:sz w:val="16"/>
                <w:szCs w:val="16"/>
                <w:color w:val="41516E"/>
              </w:rPr>
              <w:t>600,000</w:t>
            </w:r>
          </w:p>
        </w:tc>
        <w:tc>
          <w:tcPr>
            <w:tcW w:w="1940" w:type="dxa"/>
            <w:vAlign w:val="bottom"/>
          </w:tcPr>
          <w:p>
            <w:pPr>
              <w:jc w:val="center"/>
              <w:ind w:left="1179"/>
              <w:spacing w:after="0" w:line="183" w:lineRule="exact"/>
              <w:rPr>
                <w:sz w:val="20"/>
                <w:szCs w:val="20"/>
                <w:color w:val="auto"/>
              </w:rPr>
            </w:pPr>
            <w:r>
              <w:rPr>
                <w:rFonts w:ascii="Arial" w:cs="Arial" w:eastAsia="Arial" w:hAnsi="Arial"/>
                <w:sz w:val="16"/>
                <w:szCs w:val="16"/>
                <w:color w:val="41516E"/>
                <w:w w:val="99"/>
              </w:rPr>
              <w:t>x</w:t>
            </w:r>
          </w:p>
        </w:tc>
        <w:tc>
          <w:tcPr>
            <w:tcW w:w="480" w:type="dxa"/>
            <w:vAlign w:val="bottom"/>
          </w:tcPr>
          <w:p>
            <w:pPr>
              <w:jc w:val="right"/>
              <w:ind w:right="119"/>
              <w:spacing w:after="0" w:line="183" w:lineRule="exact"/>
              <w:rPr>
                <w:sz w:val="20"/>
                <w:szCs w:val="20"/>
                <w:color w:val="auto"/>
              </w:rPr>
            </w:pPr>
            <w:r>
              <w:rPr>
                <w:rFonts w:ascii="Arial" w:cs="Arial" w:eastAsia="Arial" w:hAnsi="Arial"/>
                <w:sz w:val="16"/>
                <w:szCs w:val="16"/>
                <w:color w:val="41516E"/>
              </w:rPr>
              <w:t>$</w:t>
            </w:r>
          </w:p>
        </w:tc>
        <w:tc>
          <w:tcPr>
            <w:tcW w:w="900" w:type="dxa"/>
            <w:vAlign w:val="bottom"/>
          </w:tcPr>
          <w:p>
            <w:pPr>
              <w:jc w:val="right"/>
              <w:ind w:right="19"/>
              <w:spacing w:after="0" w:line="183" w:lineRule="exact"/>
              <w:rPr>
                <w:sz w:val="20"/>
                <w:szCs w:val="20"/>
                <w:color w:val="auto"/>
              </w:rPr>
            </w:pPr>
            <w:r>
              <w:rPr>
                <w:rFonts w:ascii="Arial" w:cs="Arial" w:eastAsia="Arial" w:hAnsi="Arial"/>
                <w:sz w:val="16"/>
                <w:szCs w:val="16"/>
                <w:color w:val="41516E"/>
              </w:rPr>
              <w:t>184,615</w:t>
            </w:r>
          </w:p>
        </w:tc>
      </w:tr>
      <w:tr>
        <w:trPr>
          <w:trHeight w:val="189"/>
        </w:trPr>
        <w:tc>
          <w:tcPr>
            <w:tcW w:w="196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Frank H. Smalla</w:t>
            </w:r>
          </w:p>
        </w:tc>
        <w:tc>
          <w:tcPr>
            <w:tcW w:w="4020" w:type="dxa"/>
            <w:vAlign w:val="bottom"/>
            <w:shd w:val="clear" w:color="auto" w:fill="EFF0F1"/>
          </w:tcPr>
          <w:p>
            <w:pPr>
              <w:ind w:left="500"/>
              <w:spacing w:after="0"/>
              <w:rPr>
                <w:sz w:val="20"/>
                <w:szCs w:val="20"/>
                <w:color w:val="auto"/>
              </w:rPr>
            </w:pPr>
            <w:r>
              <w:rPr>
                <w:rFonts w:ascii="Arial" w:cs="Arial" w:eastAsia="Arial" w:hAnsi="Arial"/>
                <w:sz w:val="16"/>
                <w:szCs w:val="16"/>
                <w:color w:val="41516E"/>
              </w:rPr>
              <w:t>Former Treasurer and CFO</w:t>
            </w:r>
          </w:p>
        </w:tc>
        <w:tc>
          <w:tcPr>
            <w:tcW w:w="920" w:type="dxa"/>
            <w:vAlign w:val="bottom"/>
            <w:shd w:val="clear" w:color="auto" w:fill="EFF0F1"/>
          </w:tcPr>
          <w:p>
            <w:pPr>
              <w:jc w:val="right"/>
              <w:ind w:right="139"/>
              <w:spacing w:after="0"/>
              <w:rPr>
                <w:sz w:val="20"/>
                <w:szCs w:val="20"/>
                <w:color w:val="auto"/>
              </w:rPr>
            </w:pPr>
            <w:r>
              <w:rPr>
                <w:rFonts w:ascii="Arial" w:cs="Arial" w:eastAsia="Arial" w:hAnsi="Arial"/>
                <w:sz w:val="16"/>
                <w:szCs w:val="16"/>
                <w:color w:val="41516E"/>
              </w:rPr>
              <w:t>$</w:t>
            </w:r>
          </w:p>
        </w:tc>
        <w:tc>
          <w:tcPr>
            <w:tcW w:w="102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608,650</w:t>
            </w:r>
          </w:p>
        </w:tc>
        <w:tc>
          <w:tcPr>
            <w:tcW w:w="1940" w:type="dxa"/>
            <w:vAlign w:val="bottom"/>
            <w:shd w:val="clear" w:color="auto" w:fill="EFF0F1"/>
          </w:tcPr>
          <w:p>
            <w:pPr>
              <w:jc w:val="center"/>
              <w:ind w:left="1199"/>
              <w:spacing w:after="0"/>
              <w:rPr>
                <w:sz w:val="20"/>
                <w:szCs w:val="20"/>
                <w:color w:val="auto"/>
              </w:rPr>
            </w:pPr>
            <w:r>
              <w:rPr>
                <w:rFonts w:ascii="Arial" w:cs="Arial" w:eastAsia="Arial" w:hAnsi="Arial"/>
                <w:sz w:val="16"/>
                <w:szCs w:val="16"/>
                <w:color w:val="41516E"/>
              </w:rPr>
              <w:t>2.0%</w:t>
            </w:r>
          </w:p>
        </w:tc>
        <w:tc>
          <w:tcPr>
            <w:tcW w:w="48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90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184,969</w:t>
            </w:r>
          </w:p>
        </w:tc>
      </w:tr>
      <w:tr>
        <w:trPr>
          <w:trHeight w:val="189"/>
        </w:trPr>
        <w:tc>
          <w:tcPr>
            <w:tcW w:w="1960" w:type="dxa"/>
            <w:vAlign w:val="bottom"/>
          </w:tcPr>
          <w:p>
            <w:pPr>
              <w:ind w:left="60"/>
              <w:spacing w:after="0"/>
              <w:rPr>
                <w:sz w:val="20"/>
                <w:szCs w:val="20"/>
                <w:color w:val="auto"/>
              </w:rPr>
            </w:pPr>
            <w:r>
              <w:rPr>
                <w:rFonts w:ascii="Arial" w:cs="Arial" w:eastAsia="Arial" w:hAnsi="Arial"/>
                <w:sz w:val="16"/>
                <w:szCs w:val="16"/>
                <w:color w:val="41516E"/>
              </w:rPr>
              <w:t>Matthew D. Murphy</w:t>
            </w:r>
          </w:p>
        </w:tc>
        <w:tc>
          <w:tcPr>
            <w:tcW w:w="4020" w:type="dxa"/>
            <w:vAlign w:val="bottom"/>
          </w:tcPr>
          <w:p>
            <w:pPr>
              <w:ind w:left="500"/>
              <w:spacing w:after="0"/>
              <w:rPr>
                <w:sz w:val="20"/>
                <w:szCs w:val="20"/>
                <w:color w:val="auto"/>
              </w:rPr>
            </w:pPr>
            <w:r>
              <w:rPr>
                <w:rFonts w:ascii="Arial" w:cs="Arial" w:eastAsia="Arial" w:hAnsi="Arial"/>
                <w:sz w:val="16"/>
                <w:szCs w:val="16"/>
                <w:color w:val="41516E"/>
              </w:rPr>
              <w:t>Chief Accounting Officer &amp; VP of Finance</w:t>
            </w:r>
          </w:p>
        </w:tc>
        <w:tc>
          <w:tcPr>
            <w:tcW w:w="920" w:type="dxa"/>
            <w:vAlign w:val="bottom"/>
          </w:tcPr>
          <w:p>
            <w:pPr>
              <w:jc w:val="right"/>
              <w:ind w:right="139"/>
              <w:spacing w:after="0"/>
              <w:rPr>
                <w:sz w:val="20"/>
                <w:szCs w:val="20"/>
                <w:color w:val="auto"/>
              </w:rPr>
            </w:pPr>
            <w:r>
              <w:rPr>
                <w:rFonts w:ascii="Arial" w:cs="Arial" w:eastAsia="Arial" w:hAnsi="Arial"/>
                <w:sz w:val="16"/>
                <w:szCs w:val="16"/>
                <w:color w:val="41516E"/>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41516E"/>
              </w:rPr>
              <w:t>379,887</w:t>
            </w:r>
          </w:p>
        </w:tc>
        <w:tc>
          <w:tcPr>
            <w:tcW w:w="1940" w:type="dxa"/>
            <w:vAlign w:val="bottom"/>
          </w:tcPr>
          <w:p>
            <w:pPr>
              <w:jc w:val="center"/>
              <w:ind w:left="1199"/>
              <w:spacing w:after="0"/>
              <w:rPr>
                <w:sz w:val="20"/>
                <w:szCs w:val="20"/>
                <w:color w:val="auto"/>
              </w:rPr>
            </w:pPr>
            <w:r>
              <w:rPr>
                <w:rFonts w:ascii="Arial" w:cs="Arial" w:eastAsia="Arial" w:hAnsi="Arial"/>
                <w:sz w:val="16"/>
                <w:szCs w:val="16"/>
                <w:color w:val="41516E"/>
              </w:rPr>
              <w:t>3.0%</w:t>
            </w:r>
          </w:p>
        </w:tc>
        <w:tc>
          <w:tcPr>
            <w:tcW w:w="480" w:type="dxa"/>
            <w:vAlign w:val="bottom"/>
          </w:tcPr>
          <w:p>
            <w:pPr>
              <w:jc w:val="right"/>
              <w:ind w:right="119"/>
              <w:spacing w:after="0"/>
              <w:rPr>
                <w:sz w:val="20"/>
                <w:szCs w:val="20"/>
                <w:color w:val="auto"/>
              </w:rPr>
            </w:pPr>
            <w:r>
              <w:rPr>
                <w:rFonts w:ascii="Arial" w:cs="Arial" w:eastAsia="Arial" w:hAnsi="Arial"/>
                <w:sz w:val="16"/>
                <w:szCs w:val="16"/>
                <w:color w:val="41516E"/>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41516E"/>
              </w:rPr>
              <w:t>379,698</w:t>
            </w:r>
          </w:p>
        </w:tc>
      </w:tr>
      <w:tr>
        <w:trPr>
          <w:trHeight w:val="189"/>
        </w:trPr>
        <w:tc>
          <w:tcPr>
            <w:tcW w:w="196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Philip A. Hodges</w:t>
            </w:r>
          </w:p>
        </w:tc>
        <w:tc>
          <w:tcPr>
            <w:tcW w:w="4020" w:type="dxa"/>
            <w:vAlign w:val="bottom"/>
            <w:shd w:val="clear" w:color="auto" w:fill="EFF0F1"/>
          </w:tcPr>
          <w:p>
            <w:pPr>
              <w:ind w:left="500"/>
              <w:spacing w:after="0"/>
              <w:rPr>
                <w:sz w:val="20"/>
                <w:szCs w:val="20"/>
                <w:color w:val="auto"/>
              </w:rPr>
            </w:pPr>
            <w:r>
              <w:rPr>
                <w:rFonts w:ascii="Arial" w:cs="Arial" w:eastAsia="Arial" w:hAnsi="Arial"/>
                <w:sz w:val="16"/>
                <w:szCs w:val="16"/>
                <w:color w:val="41516E"/>
              </w:rPr>
              <w:t>Chief Supply Chain Officer</w:t>
            </w:r>
          </w:p>
        </w:tc>
        <w:tc>
          <w:tcPr>
            <w:tcW w:w="920" w:type="dxa"/>
            <w:vAlign w:val="bottom"/>
            <w:shd w:val="clear" w:color="auto" w:fill="EFF0F1"/>
          </w:tcPr>
          <w:p>
            <w:pPr>
              <w:jc w:val="right"/>
              <w:ind w:right="139"/>
              <w:spacing w:after="0"/>
              <w:rPr>
                <w:sz w:val="20"/>
                <w:szCs w:val="20"/>
                <w:color w:val="auto"/>
              </w:rPr>
            </w:pPr>
            <w:r>
              <w:rPr>
                <w:rFonts w:ascii="Arial" w:cs="Arial" w:eastAsia="Arial" w:hAnsi="Arial"/>
                <w:sz w:val="16"/>
                <w:szCs w:val="16"/>
                <w:color w:val="41516E"/>
              </w:rPr>
              <w:t>$</w:t>
            </w:r>
          </w:p>
        </w:tc>
        <w:tc>
          <w:tcPr>
            <w:tcW w:w="102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615,000</w:t>
            </w:r>
          </w:p>
        </w:tc>
        <w:tc>
          <w:tcPr>
            <w:tcW w:w="1940" w:type="dxa"/>
            <w:vAlign w:val="bottom"/>
            <w:shd w:val="clear" w:color="auto" w:fill="EFF0F1"/>
          </w:tcPr>
          <w:p>
            <w:pPr>
              <w:jc w:val="center"/>
              <w:ind w:left="1179"/>
              <w:spacing w:after="0"/>
              <w:rPr>
                <w:sz w:val="20"/>
                <w:szCs w:val="20"/>
                <w:color w:val="auto"/>
              </w:rPr>
            </w:pPr>
            <w:r>
              <w:rPr>
                <w:rFonts w:ascii="Arial" w:cs="Arial" w:eastAsia="Arial" w:hAnsi="Arial"/>
                <w:sz w:val="16"/>
                <w:szCs w:val="16"/>
                <w:color w:val="41516E"/>
                <w:w w:val="99"/>
              </w:rPr>
              <w:t>x</w:t>
            </w:r>
          </w:p>
        </w:tc>
        <w:tc>
          <w:tcPr>
            <w:tcW w:w="48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90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376,096</w:t>
            </w:r>
          </w:p>
        </w:tc>
      </w:tr>
      <w:tr>
        <w:trPr>
          <w:trHeight w:val="189"/>
        </w:trPr>
        <w:tc>
          <w:tcPr>
            <w:tcW w:w="1960" w:type="dxa"/>
            <w:vAlign w:val="bottom"/>
          </w:tcPr>
          <w:p>
            <w:pPr>
              <w:ind w:left="60"/>
              <w:spacing w:after="0"/>
              <w:rPr>
                <w:sz w:val="20"/>
                <w:szCs w:val="20"/>
                <w:color w:val="auto"/>
              </w:rPr>
            </w:pPr>
            <w:r>
              <w:rPr>
                <w:rFonts w:ascii="Arial" w:cs="Arial" w:eastAsia="Arial" w:hAnsi="Arial"/>
                <w:sz w:val="16"/>
                <w:szCs w:val="16"/>
                <w:color w:val="41516E"/>
              </w:rPr>
              <w:t>John C. Geist</w:t>
            </w:r>
          </w:p>
        </w:tc>
        <w:tc>
          <w:tcPr>
            <w:tcW w:w="4020" w:type="dxa"/>
            <w:vAlign w:val="bottom"/>
          </w:tcPr>
          <w:p>
            <w:pPr>
              <w:ind w:left="500"/>
              <w:spacing w:after="0"/>
              <w:rPr>
                <w:sz w:val="20"/>
                <w:szCs w:val="20"/>
                <w:color w:val="auto"/>
              </w:rPr>
            </w:pPr>
            <w:r>
              <w:rPr>
                <w:rFonts w:ascii="Arial" w:cs="Arial" w:eastAsia="Arial" w:hAnsi="Arial"/>
                <w:sz w:val="16"/>
                <w:szCs w:val="16"/>
                <w:color w:val="41516E"/>
              </w:rPr>
              <w:t>Chief Sales Officer</w:t>
            </w:r>
          </w:p>
        </w:tc>
        <w:tc>
          <w:tcPr>
            <w:tcW w:w="920" w:type="dxa"/>
            <w:vAlign w:val="bottom"/>
          </w:tcPr>
          <w:p>
            <w:pPr>
              <w:jc w:val="right"/>
              <w:ind w:right="139"/>
              <w:spacing w:after="0"/>
              <w:rPr>
                <w:sz w:val="20"/>
                <w:szCs w:val="20"/>
                <w:color w:val="auto"/>
              </w:rPr>
            </w:pPr>
            <w:r>
              <w:rPr>
                <w:rFonts w:ascii="Arial" w:cs="Arial" w:eastAsia="Arial" w:hAnsi="Arial"/>
                <w:sz w:val="16"/>
                <w:szCs w:val="16"/>
                <w:color w:val="41516E"/>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41516E"/>
              </w:rPr>
              <w:t>608,650</w:t>
            </w:r>
          </w:p>
        </w:tc>
        <w:tc>
          <w:tcPr>
            <w:tcW w:w="1940" w:type="dxa"/>
            <w:vAlign w:val="bottom"/>
          </w:tcPr>
          <w:p>
            <w:pPr>
              <w:jc w:val="center"/>
              <w:ind w:left="1199"/>
              <w:spacing w:after="0"/>
              <w:rPr>
                <w:sz w:val="20"/>
                <w:szCs w:val="20"/>
                <w:color w:val="auto"/>
              </w:rPr>
            </w:pPr>
            <w:r>
              <w:rPr>
                <w:rFonts w:ascii="Arial" w:cs="Arial" w:eastAsia="Arial" w:hAnsi="Arial"/>
                <w:sz w:val="16"/>
                <w:szCs w:val="16"/>
                <w:color w:val="41516E"/>
              </w:rPr>
              <w:t>2.0%</w:t>
            </w:r>
          </w:p>
        </w:tc>
        <w:tc>
          <w:tcPr>
            <w:tcW w:w="480" w:type="dxa"/>
            <w:vAlign w:val="bottom"/>
          </w:tcPr>
          <w:p>
            <w:pPr>
              <w:jc w:val="right"/>
              <w:ind w:right="119"/>
              <w:spacing w:after="0"/>
              <w:rPr>
                <w:sz w:val="20"/>
                <w:szCs w:val="20"/>
                <w:color w:val="auto"/>
              </w:rPr>
            </w:pPr>
            <w:r>
              <w:rPr>
                <w:rFonts w:ascii="Arial" w:cs="Arial" w:eastAsia="Arial" w:hAnsi="Arial"/>
                <w:sz w:val="16"/>
                <w:szCs w:val="16"/>
                <w:color w:val="41516E"/>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41516E"/>
              </w:rPr>
              <w:t>606,342</w:t>
            </w:r>
          </w:p>
        </w:tc>
      </w:tr>
      <w:tr>
        <w:trPr>
          <w:trHeight w:val="189"/>
        </w:trPr>
        <w:tc>
          <w:tcPr>
            <w:tcW w:w="1960" w:type="dxa"/>
            <w:vAlign w:val="bottom"/>
            <w:tcBorders>
              <w:bottom w:val="single" w:sz="8" w:color="41516E"/>
            </w:tcBorders>
            <w:shd w:val="clear" w:color="auto" w:fill="EFF0F1"/>
          </w:tcPr>
          <w:p>
            <w:pPr>
              <w:ind w:left="60"/>
              <w:spacing w:after="0"/>
              <w:rPr>
                <w:sz w:val="20"/>
                <w:szCs w:val="20"/>
                <w:color w:val="auto"/>
              </w:rPr>
            </w:pPr>
            <w:r>
              <w:rPr>
                <w:rFonts w:ascii="Arial" w:cs="Arial" w:eastAsia="Arial" w:hAnsi="Arial"/>
                <w:sz w:val="16"/>
                <w:szCs w:val="16"/>
                <w:color w:val="41516E"/>
              </w:rPr>
              <w:t>Lesya Lysyj</w:t>
            </w:r>
          </w:p>
        </w:tc>
        <w:tc>
          <w:tcPr>
            <w:tcW w:w="4020" w:type="dxa"/>
            <w:vAlign w:val="bottom"/>
            <w:tcBorders>
              <w:bottom w:val="single" w:sz="8" w:color="41516E"/>
            </w:tcBorders>
            <w:shd w:val="clear" w:color="auto" w:fill="EFF0F1"/>
          </w:tcPr>
          <w:p>
            <w:pPr>
              <w:ind w:left="500"/>
              <w:spacing w:after="0"/>
              <w:rPr>
                <w:sz w:val="20"/>
                <w:szCs w:val="20"/>
                <w:color w:val="auto"/>
              </w:rPr>
            </w:pPr>
            <w:r>
              <w:rPr>
                <w:rFonts w:ascii="Arial" w:cs="Arial" w:eastAsia="Arial" w:hAnsi="Arial"/>
                <w:sz w:val="16"/>
                <w:szCs w:val="16"/>
                <w:color w:val="41516E"/>
              </w:rPr>
              <w:t>Chief Marketing Officer</w:t>
            </w:r>
          </w:p>
        </w:tc>
        <w:tc>
          <w:tcPr>
            <w:tcW w:w="920" w:type="dxa"/>
            <w:vAlign w:val="bottom"/>
            <w:tcBorders>
              <w:bottom w:val="single" w:sz="8" w:color="41516E"/>
            </w:tcBorders>
            <w:shd w:val="clear" w:color="auto" w:fill="EFF0F1"/>
          </w:tcPr>
          <w:p>
            <w:pPr>
              <w:jc w:val="right"/>
              <w:ind w:right="139"/>
              <w:spacing w:after="0"/>
              <w:rPr>
                <w:sz w:val="20"/>
                <w:szCs w:val="20"/>
                <w:color w:val="auto"/>
              </w:rPr>
            </w:pPr>
            <w:r>
              <w:rPr>
                <w:rFonts w:ascii="Arial" w:cs="Arial" w:eastAsia="Arial" w:hAnsi="Arial"/>
                <w:sz w:val="16"/>
                <w:szCs w:val="16"/>
                <w:color w:val="41516E"/>
              </w:rPr>
              <w:t>$</w:t>
            </w:r>
          </w:p>
        </w:tc>
        <w:tc>
          <w:tcPr>
            <w:tcW w:w="1020" w:type="dxa"/>
            <w:vAlign w:val="bottom"/>
            <w:tcBorders>
              <w:bottom w:val="single" w:sz="8" w:color="41516E"/>
            </w:tcBorders>
            <w:shd w:val="clear" w:color="auto" w:fill="EFF0F1"/>
          </w:tcPr>
          <w:p>
            <w:pPr>
              <w:jc w:val="right"/>
              <w:ind w:right="119"/>
              <w:spacing w:after="0"/>
              <w:rPr>
                <w:sz w:val="20"/>
                <w:szCs w:val="20"/>
                <w:color w:val="auto"/>
              </w:rPr>
            </w:pPr>
            <w:r>
              <w:rPr>
                <w:rFonts w:ascii="Arial" w:cs="Arial" w:eastAsia="Arial" w:hAnsi="Arial"/>
                <w:sz w:val="16"/>
                <w:szCs w:val="16"/>
                <w:color w:val="41516E"/>
              </w:rPr>
              <w:t>529,045</w:t>
            </w:r>
          </w:p>
        </w:tc>
        <w:tc>
          <w:tcPr>
            <w:tcW w:w="1940" w:type="dxa"/>
            <w:vAlign w:val="bottom"/>
            <w:tcBorders>
              <w:bottom w:val="single" w:sz="8" w:color="41516E"/>
            </w:tcBorders>
            <w:shd w:val="clear" w:color="auto" w:fill="EFF0F1"/>
          </w:tcPr>
          <w:p>
            <w:pPr>
              <w:jc w:val="center"/>
              <w:ind w:left="1199"/>
              <w:spacing w:after="0"/>
              <w:rPr>
                <w:sz w:val="20"/>
                <w:szCs w:val="20"/>
                <w:color w:val="auto"/>
              </w:rPr>
            </w:pPr>
            <w:r>
              <w:rPr>
                <w:rFonts w:ascii="Arial" w:cs="Arial" w:eastAsia="Arial" w:hAnsi="Arial"/>
                <w:sz w:val="16"/>
                <w:szCs w:val="16"/>
                <w:color w:val="41516E"/>
              </w:rPr>
              <w:t>2.0%</w:t>
            </w:r>
          </w:p>
        </w:tc>
        <w:tc>
          <w:tcPr>
            <w:tcW w:w="480" w:type="dxa"/>
            <w:vAlign w:val="bottom"/>
            <w:tcBorders>
              <w:bottom w:val="single" w:sz="8" w:color="41516E"/>
            </w:tcBorders>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900" w:type="dxa"/>
            <w:vAlign w:val="bottom"/>
            <w:tcBorders>
              <w:bottom w:val="single" w:sz="8" w:color="41516E"/>
            </w:tcBorders>
            <w:shd w:val="clear" w:color="auto" w:fill="EFF0F1"/>
          </w:tcPr>
          <w:p>
            <w:pPr>
              <w:jc w:val="right"/>
              <w:ind w:right="19"/>
              <w:spacing w:after="0"/>
              <w:rPr>
                <w:sz w:val="20"/>
                <w:szCs w:val="20"/>
                <w:color w:val="auto"/>
              </w:rPr>
            </w:pPr>
            <w:r>
              <w:rPr>
                <w:rFonts w:ascii="Arial" w:cs="Arial" w:eastAsia="Arial" w:hAnsi="Arial"/>
                <w:sz w:val="16"/>
                <w:szCs w:val="16"/>
                <w:color w:val="41516E"/>
              </w:rPr>
              <w:t>527,526</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41516E"/>
        </w:rPr>
        <w:t>In February 2023, the Compensation Committee considered recommendations made by the CEO for salary adjustments and concluded that the recommended base salary for Mr. Smalla, Mr. Muphy, Mr. Geist, and Ms. Lysyj, as adjusted, was within the appropriate range for their experience and job responsibilities. The merit increases were effective on March 6, 2023, the same effective date as other coworkers. As described in detail under the heading “Base Salary” above, the Compensation Committee approved the base salaries of Mr. Reynoso and Mr. Hodges in connection with their recruitment and hiring.</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Bonus: </w:t>
      </w:r>
      <w:r>
        <w:rPr>
          <w:rFonts w:ascii="Arial" w:cs="Arial" w:eastAsia="Arial" w:hAnsi="Arial"/>
          <w:sz w:val="16"/>
          <w:szCs w:val="16"/>
          <w:color w:val="41516E"/>
        </w:rPr>
        <w:t>For Fiscal Year 2023, the overall cash incentive target bonus potential of our other Named Executive Officers was: (1) 75% of base salary for Mr.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1516E"/>
        </w:rPr>
        <w:t>Smalla and Mr. Geist; (2) 60% of base salary for Mr. Reynoso, Mr. Hodges, and Ms. Lysyj; and (3) 50% of base salary for Mr. Murphy.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Achievement of these bonuses for 2023 was based on Company performance against the Company Goals. As described in the “Cash Incentive Bonuses” section, in February 2024 the Compensation Committee funded the bons pool at 100% after determining that the Company achieved 95% on the Bonus Scale, based on exceeding the resource efficiency targets and partially achieving the depletions and EBIT targets. As a result, the Committee approved bonus payments to our other NEOs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7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1516E"/>
              </w:rPr>
              <w:t>2023 Bonus, Paid in</w:t>
            </w:r>
          </w:p>
        </w:tc>
      </w:tr>
      <w:tr>
        <w:trPr>
          <w:trHeight w:val="203"/>
        </w:trPr>
        <w:tc>
          <w:tcPr>
            <w:tcW w:w="298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Name</w:t>
            </w:r>
          </w:p>
        </w:tc>
        <w:tc>
          <w:tcPr>
            <w:tcW w:w="5540" w:type="dxa"/>
            <w:vAlign w:val="bottom"/>
            <w:tcBorders>
              <w:bottom w:val="single" w:sz="8" w:color="41516E"/>
            </w:tcBorders>
          </w:tcPr>
          <w:p>
            <w:pPr>
              <w:ind w:left="1520"/>
              <w:spacing w:after="0"/>
              <w:rPr>
                <w:sz w:val="20"/>
                <w:szCs w:val="20"/>
                <w:color w:val="auto"/>
              </w:rPr>
            </w:pPr>
            <w:r>
              <w:rPr>
                <w:rFonts w:ascii="Arial" w:cs="Arial" w:eastAsia="Arial" w:hAnsi="Arial"/>
                <w:sz w:val="16"/>
                <w:szCs w:val="16"/>
                <w:b w:val="1"/>
                <w:bCs w:val="1"/>
                <w:color w:val="41516E"/>
              </w:rPr>
              <w:t>Title</w:t>
            </w:r>
          </w:p>
        </w:tc>
        <w:tc>
          <w:tcPr>
            <w:tcW w:w="1640" w:type="dxa"/>
            <w:vAlign w:val="bottom"/>
            <w:tcBorders>
              <w:bottom w:val="single" w:sz="8" w:color="41516E"/>
            </w:tcBorders>
          </w:tcPr>
          <w:p>
            <w:pPr>
              <w:spacing w:after="0"/>
              <w:rPr>
                <w:sz w:val="17"/>
                <w:szCs w:val="17"/>
                <w:color w:val="auto"/>
              </w:rPr>
            </w:pPr>
          </w:p>
        </w:tc>
        <w:tc>
          <w:tcPr>
            <w:tcW w:w="1080" w:type="dxa"/>
            <w:vAlign w:val="bottom"/>
            <w:tcBorders>
              <w:bottom w:val="single" w:sz="8" w:color="41516E"/>
            </w:tcBorders>
          </w:tcPr>
          <w:p>
            <w:pPr>
              <w:jc w:val="right"/>
              <w:ind w:right="39"/>
              <w:spacing w:after="0"/>
              <w:rPr>
                <w:sz w:val="20"/>
                <w:szCs w:val="20"/>
                <w:color w:val="auto"/>
              </w:rPr>
            </w:pPr>
            <w:r>
              <w:rPr>
                <w:rFonts w:ascii="Arial" w:cs="Arial" w:eastAsia="Arial" w:hAnsi="Arial"/>
                <w:sz w:val="16"/>
                <w:szCs w:val="16"/>
                <w:b w:val="1"/>
                <w:bCs w:val="1"/>
                <w:color w:val="41516E"/>
              </w:rPr>
              <w:t>March 2024</w:t>
            </w:r>
          </w:p>
        </w:tc>
      </w:tr>
      <w:tr>
        <w:trPr>
          <w:trHeight w:val="183"/>
        </w:trPr>
        <w:tc>
          <w:tcPr>
            <w:tcW w:w="2980" w:type="dxa"/>
            <w:vAlign w:val="bottom"/>
          </w:tcPr>
          <w:p>
            <w:pPr>
              <w:ind w:left="60"/>
              <w:spacing w:after="0" w:line="183" w:lineRule="exact"/>
              <w:rPr>
                <w:sz w:val="20"/>
                <w:szCs w:val="20"/>
                <w:color w:val="auto"/>
              </w:rPr>
            </w:pPr>
            <w:r>
              <w:rPr>
                <w:rFonts w:ascii="Arial" w:cs="Arial" w:eastAsia="Arial" w:hAnsi="Arial"/>
                <w:sz w:val="16"/>
                <w:szCs w:val="16"/>
                <w:color w:val="41516E"/>
              </w:rPr>
              <w:t>Diego Reynoso</w:t>
            </w:r>
          </w:p>
        </w:tc>
        <w:tc>
          <w:tcPr>
            <w:tcW w:w="5540" w:type="dxa"/>
            <w:vAlign w:val="bottom"/>
          </w:tcPr>
          <w:p>
            <w:pPr>
              <w:ind w:left="1520"/>
              <w:spacing w:after="0" w:line="183" w:lineRule="exact"/>
              <w:rPr>
                <w:sz w:val="20"/>
                <w:szCs w:val="20"/>
                <w:color w:val="auto"/>
              </w:rPr>
            </w:pPr>
            <w:r>
              <w:rPr>
                <w:rFonts w:ascii="Arial" w:cs="Arial" w:eastAsia="Arial" w:hAnsi="Arial"/>
                <w:sz w:val="16"/>
                <w:szCs w:val="16"/>
                <w:color w:val="41516E"/>
              </w:rPr>
              <w:t>Treasurer and CFO</w:t>
            </w:r>
          </w:p>
        </w:tc>
        <w:tc>
          <w:tcPr>
            <w:tcW w:w="1640" w:type="dxa"/>
            <w:vAlign w:val="bottom"/>
          </w:tcPr>
          <w:p>
            <w:pPr>
              <w:jc w:val="right"/>
              <w:ind w:right="19"/>
              <w:spacing w:after="0" w:line="183" w:lineRule="exact"/>
              <w:rPr>
                <w:sz w:val="20"/>
                <w:szCs w:val="20"/>
                <w:color w:val="auto"/>
              </w:rPr>
            </w:pPr>
            <w:r>
              <w:rPr>
                <w:rFonts w:ascii="Arial" w:cs="Arial" w:eastAsia="Arial" w:hAnsi="Arial"/>
                <w:sz w:val="16"/>
                <w:szCs w:val="16"/>
                <w:color w:val="41516E"/>
              </w:rPr>
              <w:t>$</w:t>
            </w: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41516E"/>
              </w:rPr>
              <w:t>111,000</w:t>
            </w:r>
          </w:p>
        </w:tc>
      </w:tr>
      <w:tr>
        <w:trPr>
          <w:trHeight w:val="189"/>
        </w:trPr>
        <w:tc>
          <w:tcPr>
            <w:tcW w:w="298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Frank H. Smalla</w:t>
            </w:r>
          </w:p>
        </w:tc>
        <w:tc>
          <w:tcPr>
            <w:tcW w:w="5540" w:type="dxa"/>
            <w:vAlign w:val="bottom"/>
            <w:shd w:val="clear" w:color="auto" w:fill="EFF0F1"/>
          </w:tcPr>
          <w:p>
            <w:pPr>
              <w:ind w:left="1520"/>
              <w:spacing w:after="0"/>
              <w:rPr>
                <w:sz w:val="20"/>
                <w:szCs w:val="20"/>
                <w:color w:val="auto"/>
              </w:rPr>
            </w:pPr>
            <w:r>
              <w:rPr>
                <w:rFonts w:ascii="Arial" w:cs="Arial" w:eastAsia="Arial" w:hAnsi="Arial"/>
                <w:sz w:val="16"/>
                <w:szCs w:val="16"/>
                <w:color w:val="41516E"/>
              </w:rPr>
              <w:t>Former Treasurer and CFO</w:t>
            </w:r>
          </w:p>
        </w:tc>
        <w:tc>
          <w:tcPr>
            <w:tcW w:w="164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w:t>
            </w:r>
          </w:p>
        </w:tc>
        <w:tc>
          <w:tcPr>
            <w:tcW w:w="1080" w:type="dxa"/>
            <w:vAlign w:val="bottom"/>
            <w:shd w:val="clear" w:color="auto" w:fill="EFF0F1"/>
          </w:tcPr>
          <w:p>
            <w:pPr>
              <w:jc w:val="right"/>
              <w:ind w:right="39"/>
              <w:spacing w:after="0"/>
              <w:rPr>
                <w:sz w:val="20"/>
                <w:szCs w:val="20"/>
                <w:color w:val="auto"/>
              </w:rPr>
            </w:pPr>
            <w:r>
              <w:rPr>
                <w:rFonts w:ascii="Arial" w:cs="Arial" w:eastAsia="Arial" w:hAnsi="Arial"/>
                <w:sz w:val="16"/>
                <w:szCs w:val="16"/>
                <w:color w:val="41516E"/>
              </w:rPr>
              <w:t>0</w:t>
            </w:r>
          </w:p>
        </w:tc>
      </w:tr>
      <w:tr>
        <w:trPr>
          <w:trHeight w:val="189"/>
        </w:trPr>
        <w:tc>
          <w:tcPr>
            <w:tcW w:w="2980" w:type="dxa"/>
            <w:vAlign w:val="bottom"/>
          </w:tcPr>
          <w:p>
            <w:pPr>
              <w:ind w:left="60"/>
              <w:spacing w:after="0"/>
              <w:rPr>
                <w:sz w:val="20"/>
                <w:szCs w:val="20"/>
                <w:color w:val="auto"/>
              </w:rPr>
            </w:pPr>
            <w:r>
              <w:rPr>
                <w:rFonts w:ascii="Arial" w:cs="Arial" w:eastAsia="Arial" w:hAnsi="Arial"/>
                <w:sz w:val="16"/>
                <w:szCs w:val="16"/>
                <w:color w:val="41516E"/>
              </w:rPr>
              <w:t>Matthew D. Murphy</w:t>
            </w:r>
          </w:p>
        </w:tc>
        <w:tc>
          <w:tcPr>
            <w:tcW w:w="5540" w:type="dxa"/>
            <w:vAlign w:val="bottom"/>
          </w:tcPr>
          <w:p>
            <w:pPr>
              <w:ind w:left="1520"/>
              <w:spacing w:after="0"/>
              <w:rPr>
                <w:sz w:val="20"/>
                <w:szCs w:val="20"/>
                <w:color w:val="auto"/>
              </w:rPr>
            </w:pPr>
            <w:r>
              <w:rPr>
                <w:rFonts w:ascii="Arial" w:cs="Arial" w:eastAsia="Arial" w:hAnsi="Arial"/>
                <w:sz w:val="16"/>
                <w:szCs w:val="16"/>
                <w:color w:val="41516E"/>
              </w:rPr>
              <w:t>Chief Accounting Officer &amp; VP of Finance</w:t>
            </w:r>
          </w:p>
        </w:tc>
        <w:tc>
          <w:tcPr>
            <w:tcW w:w="1640" w:type="dxa"/>
            <w:vAlign w:val="bottom"/>
          </w:tcPr>
          <w:p>
            <w:pPr>
              <w:jc w:val="right"/>
              <w:ind w:right="19"/>
              <w:spacing w:after="0"/>
              <w:rPr>
                <w:sz w:val="20"/>
                <w:szCs w:val="20"/>
                <w:color w:val="auto"/>
              </w:rPr>
            </w:pPr>
            <w:r>
              <w:rPr>
                <w:rFonts w:ascii="Arial" w:cs="Arial" w:eastAsia="Arial" w:hAnsi="Arial"/>
                <w:sz w:val="16"/>
                <w:szCs w:val="16"/>
                <w:color w:val="41516E"/>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41516E"/>
              </w:rPr>
              <w:t>189,850</w:t>
            </w:r>
          </w:p>
        </w:tc>
      </w:tr>
      <w:tr>
        <w:trPr>
          <w:trHeight w:val="189"/>
        </w:trPr>
        <w:tc>
          <w:tcPr>
            <w:tcW w:w="298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Philip A. Hodges</w:t>
            </w:r>
          </w:p>
        </w:tc>
        <w:tc>
          <w:tcPr>
            <w:tcW w:w="5540" w:type="dxa"/>
            <w:vAlign w:val="bottom"/>
            <w:shd w:val="clear" w:color="auto" w:fill="EFF0F1"/>
          </w:tcPr>
          <w:p>
            <w:pPr>
              <w:ind w:left="1520"/>
              <w:spacing w:after="0"/>
              <w:rPr>
                <w:sz w:val="20"/>
                <w:szCs w:val="20"/>
                <w:color w:val="auto"/>
              </w:rPr>
            </w:pPr>
            <w:r>
              <w:rPr>
                <w:rFonts w:ascii="Arial" w:cs="Arial" w:eastAsia="Arial" w:hAnsi="Arial"/>
                <w:sz w:val="16"/>
                <w:szCs w:val="16"/>
                <w:color w:val="41516E"/>
              </w:rPr>
              <w:t>Chief Supply Chain Officer</w:t>
            </w:r>
          </w:p>
        </w:tc>
        <w:tc>
          <w:tcPr>
            <w:tcW w:w="1640" w:type="dxa"/>
            <w:vAlign w:val="bottom"/>
            <w:shd w:val="clear" w:color="auto" w:fill="EFF0F1"/>
          </w:tcPr>
          <w:p>
            <w:pPr>
              <w:jc w:val="right"/>
              <w:ind w:right="19"/>
              <w:spacing w:after="0"/>
              <w:rPr>
                <w:sz w:val="20"/>
                <w:szCs w:val="20"/>
                <w:color w:val="auto"/>
              </w:rPr>
            </w:pPr>
            <w:r>
              <w:rPr>
                <w:rFonts w:ascii="Arial" w:cs="Arial" w:eastAsia="Arial" w:hAnsi="Arial"/>
                <w:sz w:val="16"/>
                <w:szCs w:val="16"/>
                <w:color w:val="41516E"/>
              </w:rPr>
              <w:t>$</w:t>
            </w:r>
          </w:p>
        </w:tc>
        <w:tc>
          <w:tcPr>
            <w:tcW w:w="1080" w:type="dxa"/>
            <w:vAlign w:val="bottom"/>
            <w:shd w:val="clear" w:color="auto" w:fill="EFF0F1"/>
          </w:tcPr>
          <w:p>
            <w:pPr>
              <w:jc w:val="right"/>
              <w:ind w:right="39"/>
              <w:spacing w:after="0"/>
              <w:rPr>
                <w:sz w:val="20"/>
                <w:szCs w:val="20"/>
                <w:color w:val="auto"/>
              </w:rPr>
            </w:pPr>
            <w:r>
              <w:rPr>
                <w:rFonts w:ascii="Arial" w:cs="Arial" w:eastAsia="Arial" w:hAnsi="Arial"/>
                <w:sz w:val="16"/>
                <w:szCs w:val="16"/>
                <w:color w:val="41516E"/>
              </w:rPr>
              <w:t>214,500</w:t>
            </w:r>
          </w:p>
        </w:tc>
      </w:tr>
      <w:tr>
        <w:trPr>
          <w:trHeight w:val="189"/>
        </w:trPr>
        <w:tc>
          <w:tcPr>
            <w:tcW w:w="2980" w:type="dxa"/>
            <w:vAlign w:val="bottom"/>
          </w:tcPr>
          <w:p>
            <w:pPr>
              <w:ind w:left="60"/>
              <w:spacing w:after="0"/>
              <w:rPr>
                <w:sz w:val="20"/>
                <w:szCs w:val="20"/>
                <w:color w:val="auto"/>
              </w:rPr>
            </w:pPr>
            <w:r>
              <w:rPr>
                <w:rFonts w:ascii="Arial" w:cs="Arial" w:eastAsia="Arial" w:hAnsi="Arial"/>
                <w:sz w:val="16"/>
                <w:szCs w:val="16"/>
                <w:color w:val="41516E"/>
              </w:rPr>
              <w:t>John C. Geist</w:t>
            </w:r>
          </w:p>
        </w:tc>
        <w:tc>
          <w:tcPr>
            <w:tcW w:w="5540" w:type="dxa"/>
            <w:vAlign w:val="bottom"/>
          </w:tcPr>
          <w:p>
            <w:pPr>
              <w:ind w:left="1520"/>
              <w:spacing w:after="0"/>
              <w:rPr>
                <w:sz w:val="20"/>
                <w:szCs w:val="20"/>
                <w:color w:val="auto"/>
              </w:rPr>
            </w:pPr>
            <w:r>
              <w:rPr>
                <w:rFonts w:ascii="Arial" w:cs="Arial" w:eastAsia="Arial" w:hAnsi="Arial"/>
                <w:sz w:val="16"/>
                <w:szCs w:val="16"/>
                <w:color w:val="41516E"/>
              </w:rPr>
              <w:t>Chief Sales Officer</w:t>
            </w:r>
          </w:p>
        </w:tc>
        <w:tc>
          <w:tcPr>
            <w:tcW w:w="1640" w:type="dxa"/>
            <w:vAlign w:val="bottom"/>
          </w:tcPr>
          <w:p>
            <w:pPr>
              <w:jc w:val="right"/>
              <w:ind w:right="19"/>
              <w:spacing w:after="0"/>
              <w:rPr>
                <w:sz w:val="20"/>
                <w:szCs w:val="20"/>
                <w:color w:val="auto"/>
              </w:rPr>
            </w:pPr>
            <w:r>
              <w:rPr>
                <w:rFonts w:ascii="Arial" w:cs="Arial" w:eastAsia="Arial" w:hAnsi="Arial"/>
                <w:sz w:val="16"/>
                <w:szCs w:val="16"/>
                <w:color w:val="41516E"/>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41516E"/>
              </w:rPr>
              <w:t>432,000</w:t>
            </w:r>
          </w:p>
        </w:tc>
      </w:tr>
      <w:tr>
        <w:trPr>
          <w:trHeight w:val="189"/>
        </w:trPr>
        <w:tc>
          <w:tcPr>
            <w:tcW w:w="2980" w:type="dxa"/>
            <w:vAlign w:val="bottom"/>
            <w:tcBorders>
              <w:bottom w:val="single" w:sz="8" w:color="41516E"/>
            </w:tcBorders>
            <w:shd w:val="clear" w:color="auto" w:fill="EFF0F1"/>
          </w:tcPr>
          <w:p>
            <w:pPr>
              <w:ind w:left="60"/>
              <w:spacing w:after="0"/>
              <w:rPr>
                <w:sz w:val="20"/>
                <w:szCs w:val="20"/>
                <w:color w:val="auto"/>
              </w:rPr>
            </w:pPr>
            <w:r>
              <w:rPr>
                <w:rFonts w:ascii="Arial" w:cs="Arial" w:eastAsia="Arial" w:hAnsi="Arial"/>
                <w:sz w:val="16"/>
                <w:szCs w:val="16"/>
                <w:color w:val="41516E"/>
              </w:rPr>
              <w:t>Lesya Lysyj</w:t>
            </w:r>
          </w:p>
        </w:tc>
        <w:tc>
          <w:tcPr>
            <w:tcW w:w="5540" w:type="dxa"/>
            <w:vAlign w:val="bottom"/>
            <w:tcBorders>
              <w:bottom w:val="single" w:sz="8" w:color="41516E"/>
            </w:tcBorders>
            <w:shd w:val="clear" w:color="auto" w:fill="EFF0F1"/>
          </w:tcPr>
          <w:p>
            <w:pPr>
              <w:ind w:left="1520"/>
              <w:spacing w:after="0"/>
              <w:rPr>
                <w:sz w:val="20"/>
                <w:szCs w:val="20"/>
                <w:color w:val="auto"/>
              </w:rPr>
            </w:pPr>
            <w:r>
              <w:rPr>
                <w:rFonts w:ascii="Arial" w:cs="Arial" w:eastAsia="Arial" w:hAnsi="Arial"/>
                <w:sz w:val="16"/>
                <w:szCs w:val="16"/>
                <w:color w:val="41516E"/>
              </w:rPr>
              <w:t>Chief Marketing Officer</w:t>
            </w:r>
          </w:p>
        </w:tc>
        <w:tc>
          <w:tcPr>
            <w:tcW w:w="1640" w:type="dxa"/>
            <w:vAlign w:val="bottom"/>
            <w:tcBorders>
              <w:bottom w:val="single" w:sz="8" w:color="41516E"/>
            </w:tcBorders>
            <w:shd w:val="clear" w:color="auto" w:fill="EFF0F1"/>
          </w:tcPr>
          <w:p>
            <w:pPr>
              <w:jc w:val="right"/>
              <w:ind w:right="19"/>
              <w:spacing w:after="0"/>
              <w:rPr>
                <w:sz w:val="20"/>
                <w:szCs w:val="20"/>
                <w:color w:val="auto"/>
              </w:rPr>
            </w:pPr>
            <w:r>
              <w:rPr>
                <w:rFonts w:ascii="Arial" w:cs="Arial" w:eastAsia="Arial" w:hAnsi="Arial"/>
                <w:sz w:val="16"/>
                <w:szCs w:val="16"/>
                <w:color w:val="41516E"/>
              </w:rPr>
              <w:t>$</w:t>
            </w:r>
          </w:p>
        </w:tc>
        <w:tc>
          <w:tcPr>
            <w:tcW w:w="1080" w:type="dxa"/>
            <w:vAlign w:val="bottom"/>
            <w:tcBorders>
              <w:bottom w:val="single" w:sz="8" w:color="41516E"/>
            </w:tcBorders>
            <w:shd w:val="clear" w:color="auto" w:fill="EFF0F1"/>
          </w:tcPr>
          <w:p>
            <w:pPr>
              <w:jc w:val="right"/>
              <w:ind w:right="39"/>
              <w:spacing w:after="0"/>
              <w:rPr>
                <w:sz w:val="20"/>
                <w:szCs w:val="20"/>
                <w:color w:val="auto"/>
              </w:rPr>
            </w:pPr>
            <w:r>
              <w:rPr>
                <w:rFonts w:ascii="Arial" w:cs="Arial" w:eastAsia="Arial" w:hAnsi="Arial"/>
                <w:sz w:val="16"/>
                <w:szCs w:val="16"/>
                <w:color w:val="41516E"/>
              </w:rPr>
              <w:t>332,500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41516E"/>
        </w:rPr>
        <w:t>Mr. Reynoso’s and Mr. Hodges’ bonuses were pro-rated based on their respective start dates.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41516E"/>
        </w:rPr>
        <w:t xml:space="preserve">Equity Awards: </w:t>
      </w:r>
      <w:r>
        <w:rPr>
          <w:rFonts w:ascii="Arial" w:cs="Arial" w:eastAsia="Arial" w:hAnsi="Arial"/>
          <w:sz w:val="16"/>
          <w:szCs w:val="16"/>
          <w:color w:val="41516E"/>
        </w:rPr>
        <w:t>In March 2023, the Company granted annual performance-based stock option awards and RSUs to Mr. Smalla, Mr. Murphy, Mr. Geist, and</w:t>
      </w:r>
      <w:r>
        <w:rPr>
          <w:rFonts w:ascii="Arial" w:cs="Arial" w:eastAsia="Arial" w:hAnsi="Arial"/>
          <w:sz w:val="16"/>
          <w:szCs w:val="16"/>
          <w:b w:val="1"/>
          <w:bCs w:val="1"/>
          <w:color w:val="41516E"/>
        </w:rPr>
        <w:t xml:space="preserve"> </w:t>
      </w:r>
      <w:r>
        <w:rPr>
          <w:rFonts w:ascii="Arial" w:cs="Arial" w:eastAsia="Arial" w:hAnsi="Arial"/>
          <w:sz w:val="16"/>
          <w:szCs w:val="16"/>
          <w:color w:val="41516E"/>
        </w:rPr>
        <w:t>Ms. Lysyj, which awards had been approved by the Compensation Committee and the Board of Directors in February 2023. The number of shares awarded and the value of the awards as of the grant date are shown in the below chart.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80" w:type="dxa"/>
            <w:vAlign w:val="bottom"/>
          </w:tcPr>
          <w:p>
            <w:pPr>
              <w:ind w:left="60"/>
              <w:spacing w:after="0"/>
              <w:rPr>
                <w:sz w:val="20"/>
                <w:szCs w:val="20"/>
                <w:color w:val="auto"/>
              </w:rPr>
            </w:pPr>
            <w:r>
              <w:rPr>
                <w:rFonts w:ascii="Arial" w:cs="Arial" w:eastAsia="Arial" w:hAnsi="Arial"/>
                <w:sz w:val="16"/>
                <w:szCs w:val="16"/>
                <w:b w:val="1"/>
                <w:bCs w:val="1"/>
                <w:color w:val="41516E"/>
              </w:rPr>
              <w:t>Name</w:t>
            </w:r>
          </w:p>
        </w:tc>
        <w:tc>
          <w:tcPr>
            <w:tcW w:w="3960" w:type="dxa"/>
            <w:vAlign w:val="bottom"/>
            <w:gridSpan w:val="2"/>
          </w:tcPr>
          <w:p>
            <w:pPr>
              <w:ind w:left="480"/>
              <w:spacing w:after="0"/>
              <w:rPr>
                <w:sz w:val="20"/>
                <w:szCs w:val="20"/>
                <w:color w:val="auto"/>
              </w:rPr>
            </w:pPr>
            <w:r>
              <w:rPr>
                <w:rFonts w:ascii="Arial" w:cs="Arial" w:eastAsia="Arial" w:hAnsi="Arial"/>
                <w:sz w:val="16"/>
                <w:szCs w:val="16"/>
                <w:b w:val="1"/>
                <w:bCs w:val="1"/>
                <w:color w:val="41516E"/>
              </w:rPr>
              <w:t>Title</w:t>
            </w:r>
          </w:p>
        </w:tc>
        <w:tc>
          <w:tcPr>
            <w:tcW w:w="286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41516E"/>
              </w:rPr>
              <w:t>Stock Option Award</w:t>
            </w:r>
          </w:p>
        </w:tc>
        <w:tc>
          <w:tcPr>
            <w:tcW w:w="2660" w:type="dxa"/>
            <w:vAlign w:val="bottom"/>
            <w:gridSpan w:val="3"/>
          </w:tcPr>
          <w:p>
            <w:pPr>
              <w:jc w:val="center"/>
              <w:ind w:left="59"/>
              <w:spacing w:after="0"/>
              <w:rPr>
                <w:sz w:val="20"/>
                <w:szCs w:val="20"/>
                <w:color w:val="auto"/>
              </w:rPr>
            </w:pPr>
            <w:r>
              <w:rPr>
                <w:rFonts w:ascii="Arial" w:cs="Arial" w:eastAsia="Arial" w:hAnsi="Arial"/>
                <w:sz w:val="16"/>
                <w:szCs w:val="16"/>
                <w:b w:val="1"/>
                <w:bCs w:val="1"/>
                <w:color w:val="41516E"/>
              </w:rPr>
              <w:t>RSUs</w:t>
            </w:r>
          </w:p>
        </w:tc>
        <w:tc>
          <w:tcPr>
            <w:tcW w:w="0" w:type="dxa"/>
            <w:vAlign w:val="bottom"/>
          </w:tcPr>
          <w:p>
            <w:pPr>
              <w:spacing w:after="0"/>
              <w:rPr>
                <w:sz w:val="1"/>
                <w:szCs w:val="1"/>
                <w:color w:val="auto"/>
              </w:rPr>
            </w:pPr>
          </w:p>
        </w:tc>
      </w:tr>
      <w:tr>
        <w:trPr>
          <w:trHeight w:val="183"/>
        </w:trPr>
        <w:tc>
          <w:tcPr>
            <w:tcW w:w="1780" w:type="dxa"/>
            <w:vAlign w:val="bottom"/>
            <w:tcBorders>
              <w:top w:val="single" w:sz="8" w:color="41516E"/>
            </w:tcBorders>
          </w:tcPr>
          <w:p>
            <w:pPr>
              <w:ind w:left="60"/>
              <w:spacing w:after="0" w:line="183" w:lineRule="exact"/>
              <w:rPr>
                <w:sz w:val="20"/>
                <w:szCs w:val="20"/>
                <w:color w:val="auto"/>
              </w:rPr>
            </w:pPr>
            <w:r>
              <w:rPr>
                <w:rFonts w:ascii="Arial" w:cs="Arial" w:eastAsia="Arial" w:hAnsi="Arial"/>
                <w:sz w:val="16"/>
                <w:szCs w:val="16"/>
                <w:color w:val="41516E"/>
              </w:rPr>
              <w:t>John C. Geist</w:t>
            </w:r>
          </w:p>
        </w:tc>
        <w:tc>
          <w:tcPr>
            <w:tcW w:w="3960" w:type="dxa"/>
            <w:vAlign w:val="bottom"/>
            <w:tcBorders>
              <w:top w:val="single" w:sz="8" w:color="41516E"/>
            </w:tcBorders>
            <w:gridSpan w:val="2"/>
          </w:tcPr>
          <w:p>
            <w:pPr>
              <w:ind w:left="480"/>
              <w:spacing w:after="0" w:line="183" w:lineRule="exact"/>
              <w:rPr>
                <w:sz w:val="20"/>
                <w:szCs w:val="20"/>
                <w:color w:val="auto"/>
              </w:rPr>
            </w:pPr>
            <w:r>
              <w:rPr>
                <w:rFonts w:ascii="Arial" w:cs="Arial" w:eastAsia="Arial" w:hAnsi="Arial"/>
                <w:sz w:val="16"/>
                <w:szCs w:val="16"/>
                <w:color w:val="41516E"/>
              </w:rPr>
              <w:t>Chief Sales Officer</w:t>
            </w:r>
          </w:p>
        </w:tc>
        <w:tc>
          <w:tcPr>
            <w:tcW w:w="2860" w:type="dxa"/>
            <w:vAlign w:val="bottom"/>
            <w:tcBorders>
              <w:top w:val="single" w:sz="8" w:color="41516E"/>
            </w:tcBorders>
            <w:gridSpan w:val="2"/>
          </w:tcPr>
          <w:p>
            <w:pPr>
              <w:jc w:val="center"/>
              <w:ind w:left="199"/>
              <w:spacing w:after="0" w:line="183" w:lineRule="exact"/>
              <w:rPr>
                <w:sz w:val="20"/>
                <w:szCs w:val="20"/>
                <w:color w:val="auto"/>
              </w:rPr>
            </w:pPr>
            <w:r>
              <w:rPr>
                <w:rFonts w:ascii="Arial" w:cs="Arial" w:eastAsia="Arial" w:hAnsi="Arial"/>
                <w:sz w:val="16"/>
                <w:szCs w:val="16"/>
                <w:color w:val="41516E"/>
              </w:rPr>
              <w:t>3,084 option shares $500,058</w:t>
            </w:r>
          </w:p>
        </w:tc>
        <w:tc>
          <w:tcPr>
            <w:tcW w:w="2640" w:type="dxa"/>
            <w:vAlign w:val="bottom"/>
            <w:tcBorders>
              <w:top w:val="single" w:sz="8" w:color="41516E"/>
            </w:tcBorders>
            <w:gridSpan w:val="2"/>
          </w:tcPr>
          <w:p>
            <w:pPr>
              <w:jc w:val="center"/>
              <w:ind w:left="99"/>
              <w:spacing w:after="0" w:line="183" w:lineRule="exact"/>
              <w:rPr>
                <w:sz w:val="20"/>
                <w:szCs w:val="20"/>
                <w:color w:val="auto"/>
              </w:rPr>
            </w:pPr>
            <w:r>
              <w:rPr>
                <w:rFonts w:ascii="Arial" w:cs="Arial" w:eastAsia="Arial" w:hAnsi="Arial"/>
                <w:sz w:val="16"/>
                <w:szCs w:val="16"/>
                <w:color w:val="41516E"/>
              </w:rPr>
              <w:t>1,545 shares $500,271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Frank H. Smalla</w:t>
            </w:r>
          </w:p>
        </w:tc>
        <w:tc>
          <w:tcPr>
            <w:tcW w:w="3960" w:type="dxa"/>
            <w:vAlign w:val="bottom"/>
            <w:gridSpan w:val="2"/>
            <w:shd w:val="clear" w:color="auto" w:fill="EFF0F1"/>
          </w:tcPr>
          <w:p>
            <w:pPr>
              <w:ind w:left="480"/>
              <w:spacing w:after="0"/>
              <w:rPr>
                <w:sz w:val="20"/>
                <w:szCs w:val="20"/>
                <w:color w:val="auto"/>
              </w:rPr>
            </w:pPr>
            <w:r>
              <w:rPr>
                <w:rFonts w:ascii="Arial" w:cs="Arial" w:eastAsia="Arial" w:hAnsi="Arial"/>
                <w:sz w:val="16"/>
                <w:szCs w:val="16"/>
                <w:color w:val="41516E"/>
              </w:rPr>
              <w:t>Former Treasurer and CFO</w:t>
            </w:r>
          </w:p>
        </w:tc>
        <w:tc>
          <w:tcPr>
            <w:tcW w:w="2860" w:type="dxa"/>
            <w:vAlign w:val="bottom"/>
            <w:gridSpan w:val="2"/>
            <w:shd w:val="clear" w:color="auto" w:fill="EFF0F1"/>
          </w:tcPr>
          <w:p>
            <w:pPr>
              <w:jc w:val="center"/>
              <w:ind w:left="199"/>
              <w:spacing w:after="0"/>
              <w:rPr>
                <w:sz w:val="20"/>
                <w:szCs w:val="20"/>
                <w:color w:val="auto"/>
              </w:rPr>
            </w:pPr>
            <w:r>
              <w:rPr>
                <w:rFonts w:ascii="Arial" w:cs="Arial" w:eastAsia="Arial" w:hAnsi="Arial"/>
                <w:sz w:val="16"/>
                <w:szCs w:val="16"/>
                <w:color w:val="41516E"/>
              </w:rPr>
              <w:t>3,084 option shares $500,058</w:t>
            </w:r>
          </w:p>
        </w:tc>
        <w:tc>
          <w:tcPr>
            <w:tcW w:w="2640" w:type="dxa"/>
            <w:vAlign w:val="bottom"/>
            <w:gridSpan w:val="2"/>
            <w:shd w:val="clear" w:color="auto" w:fill="EFF0F1"/>
          </w:tcPr>
          <w:p>
            <w:pPr>
              <w:jc w:val="center"/>
              <w:ind w:left="99"/>
              <w:spacing w:after="0"/>
              <w:rPr>
                <w:sz w:val="20"/>
                <w:szCs w:val="20"/>
                <w:color w:val="auto"/>
              </w:rPr>
            </w:pPr>
            <w:r>
              <w:rPr>
                <w:rFonts w:ascii="Arial" w:cs="Arial" w:eastAsia="Arial" w:hAnsi="Arial"/>
                <w:sz w:val="16"/>
                <w:szCs w:val="16"/>
                <w:color w:val="41516E"/>
              </w:rPr>
              <w:t>1,545 shares $500,271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60"/>
              <w:spacing w:after="0"/>
              <w:rPr>
                <w:sz w:val="20"/>
                <w:szCs w:val="20"/>
                <w:color w:val="auto"/>
              </w:rPr>
            </w:pPr>
            <w:r>
              <w:rPr>
                <w:rFonts w:ascii="Arial" w:cs="Arial" w:eastAsia="Arial" w:hAnsi="Arial"/>
                <w:sz w:val="16"/>
                <w:szCs w:val="16"/>
                <w:color w:val="41516E"/>
              </w:rPr>
              <w:t>Matthew D. Murphy</w:t>
            </w:r>
          </w:p>
        </w:tc>
        <w:tc>
          <w:tcPr>
            <w:tcW w:w="3960" w:type="dxa"/>
            <w:vAlign w:val="bottom"/>
            <w:gridSpan w:val="2"/>
          </w:tcPr>
          <w:p>
            <w:pPr>
              <w:ind w:left="480"/>
              <w:spacing w:after="0"/>
              <w:rPr>
                <w:sz w:val="20"/>
                <w:szCs w:val="20"/>
                <w:color w:val="auto"/>
              </w:rPr>
            </w:pPr>
            <w:r>
              <w:rPr>
                <w:rFonts w:ascii="Arial" w:cs="Arial" w:eastAsia="Arial" w:hAnsi="Arial"/>
                <w:sz w:val="16"/>
                <w:szCs w:val="16"/>
                <w:color w:val="41516E"/>
              </w:rPr>
              <w:t>Chief Accounting Officer &amp; VP of Finance</w:t>
            </w:r>
          </w:p>
        </w:tc>
        <w:tc>
          <w:tcPr>
            <w:tcW w:w="2860" w:type="dxa"/>
            <w:vAlign w:val="bottom"/>
            <w:gridSpan w:val="2"/>
          </w:tcPr>
          <w:p>
            <w:pPr>
              <w:jc w:val="center"/>
              <w:ind w:left="219"/>
              <w:spacing w:after="0"/>
              <w:rPr>
                <w:sz w:val="20"/>
                <w:szCs w:val="20"/>
                <w:color w:val="auto"/>
              </w:rPr>
            </w:pPr>
            <w:r>
              <w:rPr>
                <w:rFonts w:ascii="Arial" w:cs="Arial" w:eastAsia="Arial" w:hAnsi="Arial"/>
                <w:sz w:val="16"/>
                <w:szCs w:val="16"/>
                <w:color w:val="41516E"/>
              </w:rPr>
              <w:t>771 option shares $125,015</w:t>
            </w:r>
          </w:p>
        </w:tc>
        <w:tc>
          <w:tcPr>
            <w:tcW w:w="2640" w:type="dxa"/>
            <w:vAlign w:val="bottom"/>
            <w:gridSpan w:val="2"/>
          </w:tcPr>
          <w:p>
            <w:pPr>
              <w:jc w:val="center"/>
              <w:ind w:left="79"/>
              <w:spacing w:after="0"/>
              <w:rPr>
                <w:sz w:val="20"/>
                <w:szCs w:val="20"/>
                <w:color w:val="auto"/>
              </w:rPr>
            </w:pPr>
            <w:r>
              <w:rPr>
                <w:rFonts w:ascii="Arial" w:cs="Arial" w:eastAsia="Arial" w:hAnsi="Arial"/>
                <w:sz w:val="16"/>
                <w:szCs w:val="16"/>
                <w:color w:val="41516E"/>
              </w:rPr>
              <w:t>387 shares $125,311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41516E"/>
            </w:tcBorders>
            <w:shd w:val="clear" w:color="auto" w:fill="EFF0F1"/>
          </w:tcPr>
          <w:p>
            <w:pPr>
              <w:ind w:left="60"/>
              <w:spacing w:after="0"/>
              <w:rPr>
                <w:sz w:val="20"/>
                <w:szCs w:val="20"/>
                <w:color w:val="auto"/>
              </w:rPr>
            </w:pPr>
            <w:r>
              <w:rPr>
                <w:rFonts w:ascii="Arial" w:cs="Arial" w:eastAsia="Arial" w:hAnsi="Arial"/>
                <w:sz w:val="16"/>
                <w:szCs w:val="16"/>
                <w:color w:val="41516E"/>
              </w:rPr>
              <w:t>Lesya Lysyj</w:t>
            </w:r>
          </w:p>
        </w:tc>
        <w:tc>
          <w:tcPr>
            <w:tcW w:w="3960" w:type="dxa"/>
            <w:vAlign w:val="bottom"/>
            <w:tcBorders>
              <w:bottom w:val="single" w:sz="8" w:color="41516E"/>
            </w:tcBorders>
            <w:gridSpan w:val="2"/>
            <w:shd w:val="clear" w:color="auto" w:fill="EFF0F1"/>
          </w:tcPr>
          <w:p>
            <w:pPr>
              <w:ind w:left="480"/>
              <w:spacing w:after="0"/>
              <w:rPr>
                <w:sz w:val="20"/>
                <w:szCs w:val="20"/>
                <w:color w:val="auto"/>
              </w:rPr>
            </w:pPr>
            <w:r>
              <w:rPr>
                <w:rFonts w:ascii="Arial" w:cs="Arial" w:eastAsia="Arial" w:hAnsi="Arial"/>
                <w:sz w:val="16"/>
                <w:szCs w:val="16"/>
                <w:color w:val="41516E"/>
              </w:rPr>
              <w:t>Chief Marketing Officer</w:t>
            </w:r>
          </w:p>
        </w:tc>
        <w:tc>
          <w:tcPr>
            <w:tcW w:w="2860" w:type="dxa"/>
            <w:vAlign w:val="bottom"/>
            <w:tcBorders>
              <w:bottom w:val="single" w:sz="8" w:color="41516E"/>
            </w:tcBorders>
            <w:gridSpan w:val="2"/>
            <w:shd w:val="clear" w:color="auto" w:fill="EFF0F1"/>
          </w:tcPr>
          <w:p>
            <w:pPr>
              <w:jc w:val="center"/>
              <w:ind w:left="199"/>
              <w:spacing w:after="0"/>
              <w:rPr>
                <w:sz w:val="20"/>
                <w:szCs w:val="20"/>
                <w:color w:val="auto"/>
              </w:rPr>
            </w:pPr>
            <w:r>
              <w:rPr>
                <w:rFonts w:ascii="Arial" w:cs="Arial" w:eastAsia="Arial" w:hAnsi="Arial"/>
                <w:sz w:val="16"/>
                <w:szCs w:val="16"/>
                <w:color w:val="41516E"/>
              </w:rPr>
              <w:t>1,697 shares $275,162</w:t>
            </w:r>
          </w:p>
        </w:tc>
        <w:tc>
          <w:tcPr>
            <w:tcW w:w="2640" w:type="dxa"/>
            <w:vAlign w:val="bottom"/>
            <w:tcBorders>
              <w:bottom w:val="single" w:sz="8" w:color="41516E"/>
            </w:tcBorders>
            <w:gridSpan w:val="2"/>
            <w:shd w:val="clear" w:color="auto" w:fill="EFF0F1"/>
          </w:tcPr>
          <w:p>
            <w:pPr>
              <w:jc w:val="center"/>
              <w:ind w:left="79"/>
              <w:spacing w:after="0"/>
              <w:rPr>
                <w:sz w:val="20"/>
                <w:szCs w:val="20"/>
                <w:color w:val="auto"/>
              </w:rPr>
            </w:pPr>
            <w:r>
              <w:rPr>
                <w:rFonts w:ascii="Arial" w:cs="Arial" w:eastAsia="Arial" w:hAnsi="Arial"/>
                <w:sz w:val="16"/>
                <w:szCs w:val="16"/>
                <w:color w:val="41516E"/>
              </w:rPr>
              <w:t>850 shares $275,230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41516E"/>
              </w:rPr>
              <w:t>www.bostonbeer.com</w:t>
            </w:r>
          </w:p>
        </w:tc>
        <w:tc>
          <w:tcPr>
            <w:tcW w:w="1900" w:type="dxa"/>
            <w:vAlign w:val="bottom"/>
            <w:tcBorders>
              <w:bottom w:val="single" w:sz="8" w:color="41516E"/>
            </w:tcBorders>
          </w:tcPr>
          <w:p>
            <w:pPr>
              <w:spacing w:after="0"/>
              <w:rPr>
                <w:sz w:val="24"/>
                <w:szCs w:val="24"/>
                <w:color w:val="auto"/>
              </w:rPr>
            </w:pPr>
          </w:p>
        </w:tc>
        <w:tc>
          <w:tcPr>
            <w:tcW w:w="3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41516E"/>
              </w:rPr>
              <w:t>THE BOSTON BEER COMPANY, INC.</w:t>
            </w:r>
          </w:p>
        </w:tc>
        <w:tc>
          <w:tcPr>
            <w:tcW w:w="1860" w:type="dxa"/>
            <w:vAlign w:val="bottom"/>
            <w:vMerge w:val="restart"/>
          </w:tcPr>
          <w:p>
            <w:pPr>
              <w:ind w:left="160"/>
              <w:spacing w:after="0"/>
              <w:rPr>
                <w:sz w:val="20"/>
                <w:szCs w:val="20"/>
                <w:color w:val="auto"/>
              </w:rPr>
            </w:pPr>
            <w:r>
              <w:rPr>
                <w:rFonts w:ascii="Arial" w:cs="Arial" w:eastAsia="Arial" w:hAnsi="Arial"/>
                <w:sz w:val="16"/>
                <w:szCs w:val="16"/>
                <w:b w:val="1"/>
                <w:bCs w:val="1"/>
                <w:color w:val="41516E"/>
              </w:rPr>
              <w:t xml:space="preserve">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24"/>
                <w:szCs w:val="24"/>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41516E"/>
              </w:rPr>
              <w:t>38</w:t>
            </w:r>
          </w:p>
        </w:tc>
        <w:tc>
          <w:tcPr>
            <w:tcW w:w="0" w:type="dxa"/>
            <w:vAlign w:val="bottom"/>
          </w:tcPr>
          <w:p>
            <w:pPr>
              <w:spacing w:after="0"/>
              <w:rPr>
                <w:sz w:val="1"/>
                <w:szCs w:val="1"/>
                <w:color w:val="auto"/>
              </w:rPr>
            </w:pPr>
          </w:p>
        </w:tc>
      </w:tr>
      <w:tr>
        <w:trPr>
          <w:trHeight w:val="94"/>
        </w:trPr>
        <w:tc>
          <w:tcPr>
            <w:tcW w:w="178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3060" w:type="dxa"/>
            <w:vAlign w:val="bottom"/>
            <w:gridSpan w:val="2"/>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1780" w:type="dxa"/>
            <w:vAlign w:val="bottom"/>
            <w:tcBorders>
              <w:bottom w:val="single" w:sz="8" w:color="C0C0C0"/>
            </w:tcBorders>
          </w:tcPr>
          <w:p>
            <w:pPr>
              <w:spacing w:after="0"/>
              <w:rPr>
                <w:sz w:val="24"/>
                <w:szCs w:val="24"/>
                <w:color w:val="auto"/>
              </w:rPr>
            </w:pPr>
          </w:p>
        </w:tc>
        <w:tc>
          <w:tcPr>
            <w:tcW w:w="1900" w:type="dxa"/>
            <w:vAlign w:val="bottom"/>
            <w:tcBorders>
              <w:bottom w:val="single" w:sz="8" w:color="C0C0C0"/>
            </w:tcBorders>
          </w:tcPr>
          <w:p>
            <w:pPr>
              <w:spacing w:after="0"/>
              <w:rPr>
                <w:sz w:val="24"/>
                <w:szCs w:val="24"/>
                <w:color w:val="auto"/>
              </w:rPr>
            </w:pPr>
          </w:p>
        </w:tc>
        <w:tc>
          <w:tcPr>
            <w:tcW w:w="2060" w:type="dxa"/>
            <w:vAlign w:val="bottom"/>
            <w:tcBorders>
              <w:bottom w:val="single" w:sz="8" w:color="C0C0C0"/>
            </w:tcBorders>
          </w:tcPr>
          <w:p>
            <w:pPr>
              <w:spacing w:after="0"/>
              <w:rPr>
                <w:sz w:val="24"/>
                <w:szCs w:val="24"/>
                <w:color w:val="auto"/>
              </w:rPr>
            </w:pPr>
          </w:p>
        </w:tc>
        <w:tc>
          <w:tcPr>
            <w:tcW w:w="1000" w:type="dxa"/>
            <w:vAlign w:val="bottom"/>
            <w:tcBorders>
              <w:bottom w:val="single" w:sz="8" w:color="C0C0C0"/>
            </w:tcBorders>
          </w:tcPr>
          <w:p>
            <w:pPr>
              <w:spacing w:after="0"/>
              <w:rPr>
                <w:sz w:val="24"/>
                <w:szCs w:val="24"/>
                <w:color w:val="auto"/>
              </w:rPr>
            </w:pPr>
          </w:p>
        </w:tc>
        <w:tc>
          <w:tcPr>
            <w:tcW w:w="186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-393700</wp:posOffset>
            </wp:positionV>
            <wp:extent cx="76835"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All of the annual performance-based awards were issued on March 1, 2023. As described in more detail under the heading “Stock Option Awards,” the option shares have an exercise price of $323.80 and are contingent upon achieving certain net revenue growth targets in Fiscal Year 2024 over Fiscal Year 2022. As described in more detail under the heading “Restricted Stock Units,” the RSUs will vest 25% per year over a four-year period, contingent on continued employment on the applicable vesting dates. Mr. Smalla forfeited these awards following his departure from the Company in April 2023.</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The Company also granted additional LTE Awards to Mr. Murphy, Mr. Reynoso, and Mr. Hodges in 2023. Mr. Murphy’s award was granted in connection with his appointment as Interim Chief Financial Officer and Mr. Reynoso’s and Mr. Hodges’ awards were granted in connection with their recruitment and hiring. These awards are described in detail under the headings “Stock Option Awards” and “Restricted Stock Units” above. The number of shares awarded and the value of the awards as of the grant date are shown in the below chart.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Name</w:t>
            </w:r>
          </w:p>
        </w:tc>
        <w:tc>
          <w:tcPr>
            <w:tcW w:w="3820" w:type="dxa"/>
            <w:vAlign w:val="bottom"/>
            <w:tcBorders>
              <w:bottom w:val="single" w:sz="8" w:color="41516E"/>
            </w:tcBorders>
          </w:tcPr>
          <w:p>
            <w:pPr>
              <w:ind w:left="400"/>
              <w:spacing w:after="0"/>
              <w:rPr>
                <w:sz w:val="20"/>
                <w:szCs w:val="20"/>
                <w:color w:val="auto"/>
              </w:rPr>
            </w:pPr>
            <w:r>
              <w:rPr>
                <w:rFonts w:ascii="Arial" w:cs="Arial" w:eastAsia="Arial" w:hAnsi="Arial"/>
                <w:sz w:val="16"/>
                <w:szCs w:val="16"/>
                <w:b w:val="1"/>
                <w:bCs w:val="1"/>
                <w:color w:val="41516E"/>
              </w:rPr>
              <w:t>Title</w:t>
            </w:r>
          </w:p>
        </w:tc>
        <w:tc>
          <w:tcPr>
            <w:tcW w:w="3100" w:type="dxa"/>
            <w:vAlign w:val="bottom"/>
            <w:tcBorders>
              <w:bottom w:val="single" w:sz="8" w:color="41516E"/>
            </w:tcBorders>
          </w:tcPr>
          <w:p>
            <w:pPr>
              <w:jc w:val="center"/>
              <w:ind w:left="99"/>
              <w:spacing w:after="0"/>
              <w:rPr>
                <w:sz w:val="20"/>
                <w:szCs w:val="20"/>
                <w:color w:val="auto"/>
              </w:rPr>
            </w:pPr>
            <w:r>
              <w:rPr>
                <w:rFonts w:ascii="Arial" w:cs="Arial" w:eastAsia="Arial" w:hAnsi="Arial"/>
                <w:sz w:val="16"/>
                <w:szCs w:val="16"/>
                <w:b w:val="1"/>
                <w:bCs w:val="1"/>
                <w:color w:val="41516E"/>
              </w:rPr>
              <w:t>Stock Option Awards</w:t>
            </w:r>
          </w:p>
        </w:tc>
        <w:tc>
          <w:tcPr>
            <w:tcW w:w="2460" w:type="dxa"/>
            <w:vAlign w:val="bottom"/>
            <w:tcBorders>
              <w:bottom w:val="single" w:sz="8" w:color="41516E"/>
            </w:tcBorders>
          </w:tcPr>
          <w:p>
            <w:pPr>
              <w:jc w:val="center"/>
              <w:spacing w:after="0"/>
              <w:rPr>
                <w:sz w:val="20"/>
                <w:szCs w:val="20"/>
                <w:color w:val="auto"/>
              </w:rPr>
            </w:pPr>
            <w:r>
              <w:rPr>
                <w:rFonts w:ascii="Arial" w:cs="Arial" w:eastAsia="Arial" w:hAnsi="Arial"/>
                <w:sz w:val="16"/>
                <w:szCs w:val="16"/>
                <w:b w:val="1"/>
                <w:bCs w:val="1"/>
                <w:color w:val="41516E"/>
              </w:rPr>
              <w:t>RSUs</w:t>
            </w:r>
          </w:p>
        </w:tc>
      </w:tr>
      <w:tr>
        <w:trPr>
          <w:trHeight w:val="183"/>
        </w:trPr>
        <w:tc>
          <w:tcPr>
            <w:tcW w:w="1860" w:type="dxa"/>
            <w:vAlign w:val="bottom"/>
          </w:tcPr>
          <w:p>
            <w:pPr>
              <w:ind w:left="60"/>
              <w:spacing w:after="0" w:line="183" w:lineRule="exact"/>
              <w:rPr>
                <w:sz w:val="20"/>
                <w:szCs w:val="20"/>
                <w:color w:val="auto"/>
              </w:rPr>
            </w:pPr>
            <w:r>
              <w:rPr>
                <w:rFonts w:ascii="Arial" w:cs="Arial" w:eastAsia="Arial" w:hAnsi="Arial"/>
                <w:sz w:val="16"/>
                <w:szCs w:val="16"/>
                <w:color w:val="41516E"/>
              </w:rPr>
              <w:t>Diego Reynoso</w:t>
            </w:r>
          </w:p>
        </w:tc>
        <w:tc>
          <w:tcPr>
            <w:tcW w:w="3820" w:type="dxa"/>
            <w:vAlign w:val="bottom"/>
          </w:tcPr>
          <w:p>
            <w:pPr>
              <w:ind w:left="400"/>
              <w:spacing w:after="0" w:line="183" w:lineRule="exact"/>
              <w:rPr>
                <w:sz w:val="20"/>
                <w:szCs w:val="20"/>
                <w:color w:val="auto"/>
              </w:rPr>
            </w:pPr>
            <w:r>
              <w:rPr>
                <w:rFonts w:ascii="Arial" w:cs="Arial" w:eastAsia="Arial" w:hAnsi="Arial"/>
                <w:sz w:val="16"/>
                <w:szCs w:val="16"/>
                <w:color w:val="41516E"/>
              </w:rPr>
              <w:t>Treasurer and CFO</w:t>
            </w:r>
          </w:p>
        </w:tc>
        <w:tc>
          <w:tcPr>
            <w:tcW w:w="3100" w:type="dxa"/>
            <w:vAlign w:val="bottom"/>
          </w:tcPr>
          <w:p>
            <w:pPr>
              <w:jc w:val="center"/>
              <w:ind w:left="99"/>
              <w:spacing w:after="0" w:line="183" w:lineRule="exact"/>
              <w:rPr>
                <w:sz w:val="20"/>
                <w:szCs w:val="20"/>
                <w:color w:val="auto"/>
              </w:rPr>
            </w:pPr>
            <w:r>
              <w:rPr>
                <w:rFonts w:ascii="Arial" w:cs="Arial" w:eastAsia="Arial" w:hAnsi="Arial"/>
                <w:sz w:val="16"/>
                <w:szCs w:val="16"/>
                <w:color w:val="41516E"/>
              </w:rPr>
              <w:t>9,717 option shares $1,500,100</w:t>
            </w:r>
          </w:p>
        </w:tc>
        <w:tc>
          <w:tcPr>
            <w:tcW w:w="2460" w:type="dxa"/>
            <w:vAlign w:val="bottom"/>
          </w:tcPr>
          <w:p>
            <w:pPr>
              <w:jc w:val="center"/>
              <w:spacing w:after="0" w:line="183" w:lineRule="exact"/>
              <w:rPr>
                <w:sz w:val="20"/>
                <w:szCs w:val="20"/>
                <w:color w:val="auto"/>
              </w:rPr>
            </w:pPr>
            <w:r>
              <w:rPr>
                <w:rFonts w:ascii="Arial" w:cs="Arial" w:eastAsia="Arial" w:hAnsi="Arial"/>
                <w:sz w:val="16"/>
                <w:szCs w:val="16"/>
                <w:color w:val="41516E"/>
              </w:rPr>
              <w:t>4,498 shares $1,500,083</w:t>
            </w:r>
          </w:p>
        </w:tc>
      </w:tr>
      <w:tr>
        <w:trPr>
          <w:trHeight w:val="189"/>
        </w:trPr>
        <w:tc>
          <w:tcPr>
            <w:tcW w:w="186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Matthew D. Murphy</w:t>
            </w:r>
          </w:p>
        </w:tc>
        <w:tc>
          <w:tcPr>
            <w:tcW w:w="3820" w:type="dxa"/>
            <w:vAlign w:val="bottom"/>
            <w:shd w:val="clear" w:color="auto" w:fill="EFF0F1"/>
          </w:tcPr>
          <w:p>
            <w:pPr>
              <w:ind w:left="400"/>
              <w:spacing w:after="0"/>
              <w:rPr>
                <w:sz w:val="20"/>
                <w:szCs w:val="20"/>
                <w:color w:val="auto"/>
              </w:rPr>
            </w:pPr>
            <w:r>
              <w:rPr>
                <w:rFonts w:ascii="Arial" w:cs="Arial" w:eastAsia="Arial" w:hAnsi="Arial"/>
                <w:sz w:val="16"/>
                <w:szCs w:val="16"/>
                <w:color w:val="41516E"/>
              </w:rPr>
              <w:t>Chief Accounting Officer &amp; VP of Finance</w:t>
            </w:r>
          </w:p>
        </w:tc>
        <w:tc>
          <w:tcPr>
            <w:tcW w:w="3100" w:type="dxa"/>
            <w:vAlign w:val="bottom"/>
            <w:shd w:val="clear" w:color="auto" w:fill="EFF0F1"/>
          </w:tcPr>
          <w:p>
            <w:pPr>
              <w:jc w:val="center"/>
              <w:ind w:left="79"/>
              <w:spacing w:after="0"/>
              <w:rPr>
                <w:sz w:val="20"/>
                <w:szCs w:val="20"/>
                <w:color w:val="auto"/>
              </w:rPr>
            </w:pPr>
            <w:r>
              <w:rPr>
                <w:rFonts w:ascii="Arial" w:cs="Arial" w:eastAsia="Arial" w:hAnsi="Arial"/>
                <w:sz w:val="16"/>
                <w:szCs w:val="16"/>
                <w:color w:val="41516E"/>
              </w:rPr>
              <w:t>3,944 option shares $600,090</w:t>
            </w:r>
          </w:p>
        </w:tc>
        <w:tc>
          <w:tcPr>
            <w:tcW w:w="2460" w:type="dxa"/>
            <w:vAlign w:val="bottom"/>
            <w:shd w:val="clear" w:color="auto" w:fill="EFF0F1"/>
          </w:tcPr>
          <w:p>
            <w:pPr>
              <w:jc w:val="center"/>
              <w:spacing w:after="0"/>
              <w:rPr>
                <w:sz w:val="20"/>
                <w:szCs w:val="20"/>
                <w:color w:val="auto"/>
              </w:rPr>
            </w:pPr>
            <w:r>
              <w:rPr>
                <w:rFonts w:ascii="Arial" w:cs="Arial" w:eastAsia="Arial" w:hAnsi="Arial"/>
                <w:sz w:val="16"/>
                <w:szCs w:val="16"/>
                <w:color w:val="41516E"/>
                <w:w w:val="99"/>
              </w:rPr>
              <w:t>—</w:t>
            </w:r>
          </w:p>
        </w:tc>
      </w:tr>
      <w:tr>
        <w:trPr>
          <w:trHeight w:val="189"/>
        </w:trPr>
        <w:tc>
          <w:tcPr>
            <w:tcW w:w="1860" w:type="dxa"/>
            <w:vAlign w:val="bottom"/>
            <w:tcBorders>
              <w:bottom w:val="single" w:sz="8" w:color="41516E"/>
            </w:tcBorders>
          </w:tcPr>
          <w:p>
            <w:pPr>
              <w:ind w:left="60"/>
              <w:spacing w:after="0"/>
              <w:rPr>
                <w:sz w:val="20"/>
                <w:szCs w:val="20"/>
                <w:color w:val="auto"/>
              </w:rPr>
            </w:pPr>
            <w:r>
              <w:rPr>
                <w:rFonts w:ascii="Arial" w:cs="Arial" w:eastAsia="Arial" w:hAnsi="Arial"/>
                <w:sz w:val="16"/>
                <w:szCs w:val="16"/>
                <w:color w:val="41516E"/>
              </w:rPr>
              <w:t>Philip A. Hodges</w:t>
            </w:r>
          </w:p>
        </w:tc>
        <w:tc>
          <w:tcPr>
            <w:tcW w:w="3820" w:type="dxa"/>
            <w:vAlign w:val="bottom"/>
            <w:tcBorders>
              <w:bottom w:val="single" w:sz="8" w:color="41516E"/>
            </w:tcBorders>
          </w:tcPr>
          <w:p>
            <w:pPr>
              <w:ind w:left="400"/>
              <w:spacing w:after="0"/>
              <w:rPr>
                <w:sz w:val="20"/>
                <w:szCs w:val="20"/>
                <w:color w:val="auto"/>
              </w:rPr>
            </w:pPr>
            <w:r>
              <w:rPr>
                <w:rFonts w:ascii="Arial" w:cs="Arial" w:eastAsia="Arial" w:hAnsi="Arial"/>
                <w:sz w:val="16"/>
                <w:szCs w:val="16"/>
                <w:color w:val="41516E"/>
              </w:rPr>
              <w:t>Chief Supply Chain Officer</w:t>
            </w:r>
          </w:p>
        </w:tc>
        <w:tc>
          <w:tcPr>
            <w:tcW w:w="3100" w:type="dxa"/>
            <w:vAlign w:val="bottom"/>
            <w:tcBorders>
              <w:bottom w:val="single" w:sz="8" w:color="41516E"/>
            </w:tcBorders>
          </w:tcPr>
          <w:p>
            <w:pPr>
              <w:jc w:val="center"/>
              <w:ind w:left="99"/>
              <w:spacing w:after="0"/>
              <w:rPr>
                <w:sz w:val="20"/>
                <w:szCs w:val="20"/>
                <w:color w:val="auto"/>
              </w:rPr>
            </w:pPr>
            <w:r>
              <w:rPr>
                <w:rFonts w:ascii="Arial" w:cs="Arial" w:eastAsia="Arial" w:hAnsi="Arial"/>
                <w:sz w:val="16"/>
                <w:szCs w:val="16"/>
                <w:color w:val="41516E"/>
              </w:rPr>
              <w:t>19,624 option shares $3,000,117</w:t>
            </w:r>
          </w:p>
        </w:tc>
        <w:tc>
          <w:tcPr>
            <w:tcW w:w="2460" w:type="dxa"/>
            <w:vAlign w:val="bottom"/>
            <w:tcBorders>
              <w:bottom w:val="single" w:sz="8" w:color="41516E"/>
            </w:tcBorders>
          </w:tcPr>
          <w:p>
            <w:pPr>
              <w:jc w:val="center"/>
              <w:spacing w:after="0"/>
              <w:rPr>
                <w:sz w:val="20"/>
                <w:szCs w:val="20"/>
                <w:color w:val="auto"/>
              </w:rPr>
            </w:pPr>
            <w:r>
              <w:rPr>
                <w:rFonts w:ascii="Arial" w:cs="Arial" w:eastAsia="Arial" w:hAnsi="Arial"/>
                <w:sz w:val="16"/>
                <w:szCs w:val="16"/>
                <w:color w:val="41516E"/>
              </w:rPr>
              <w:t>15,167 shares $4,999,635</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Under the terms of his offer letter, Mr. Hodges is not currently eligible to receive additional equity awards from the Company in the future due to these one-time special long-term equity awards granted to him in connection with his recruitment and hiring.</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41516E"/>
        </w:rPr>
        <w:t xml:space="preserve">Consulting Fees to Mr. Hodges: </w:t>
      </w:r>
      <w:r>
        <w:rPr>
          <w:rFonts w:ascii="Arial" w:cs="Arial" w:eastAsia="Arial" w:hAnsi="Arial"/>
          <w:sz w:val="16"/>
          <w:szCs w:val="16"/>
          <w:color w:val="41516E"/>
        </w:rPr>
        <w:t>As reported in a Form 8-K filed by the Company on May 16, 2023, Mr. Hodges served as a senior supply chain</w:t>
      </w:r>
      <w:r>
        <w:rPr>
          <w:rFonts w:ascii="Arial" w:cs="Arial" w:eastAsia="Arial" w:hAnsi="Arial"/>
          <w:sz w:val="16"/>
          <w:szCs w:val="16"/>
          <w:b w:val="1"/>
          <w:bCs w:val="1"/>
          <w:color w:val="41516E"/>
        </w:rPr>
        <w:t xml:space="preserve"> </w:t>
      </w:r>
      <w:r>
        <w:rPr>
          <w:rFonts w:ascii="Arial" w:cs="Arial" w:eastAsia="Arial" w:hAnsi="Arial"/>
          <w:sz w:val="16"/>
          <w:szCs w:val="16"/>
          <w:color w:val="41516E"/>
        </w:rPr>
        <w:t>management advisor for the Company from March 2022 until his hiring as Chief Supply Chain Officer on May 22, 2023. In 2023, prior to his full-time hiring, the Company paid $645,500 in consulting fees to Mr. Hodges.</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Compensation Committee Report</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41516E"/>
        </w:rPr>
        <w:t>The information contained in this report is not soliciting material, is not deemed filed with the SEC, and is not to be incorporated by reference in any filing of the Company under The Securities Exchange Act, whether made before or after the date hereof and irrespective of any general incorporation of this proxy statement by reference.</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The Compensation Committee has reviewed and discussed with management the foregoing Compensation Discussion and Analysis. Based on that review and those discussions, the Committee recommended to the Board of Directors that the Compensation Discussion and Analysis be included in the Company’s Proxy Statement for the Annual Meeting of Stockholders to be held on May 7, 2024 and incorporated by reference in the Company’s Annual Report on Form 10-K for Fiscal Year 2023.</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color w:val="41516E"/>
        </w:rPr>
        <w:t>Julio N. Nemeth, Chair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41516E"/>
        </w:rPr>
        <w:t>Michael Spillane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41516E"/>
        </w:rPr>
        <w:t>Cynthia A. Swanson</w:t>
      </w:r>
    </w:p>
    <w:p>
      <w:pPr>
        <w:spacing w:after="0" w:line="391"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Compensation Committee Interlocks and Insider Participation</w:t>
      </w:r>
    </w:p>
    <w:p>
      <w:pPr>
        <w:spacing w:after="0" w:line="21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41516E"/>
        </w:rPr>
        <w:t>No member of the Compensation Committee is, or during Fiscal Year 2023 was, an officer or employee of Boston Beer or any of its subsidiaries, and no Compensation Committee member has any interlocking relationship with the Company which is required to be reported under applicable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109220</wp:posOffset>
            </wp:positionV>
            <wp:extent cx="8572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39</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Executive </w:t>
      </w:r>
      <w:r>
        <w:rPr>
          <w:rFonts w:ascii="Arial" w:cs="Arial" w:eastAsia="Arial" w:hAnsi="Arial"/>
          <w:sz w:val="47"/>
          <w:szCs w:val="47"/>
          <w:b w:val="1"/>
          <w:bCs w:val="1"/>
          <w:color w:val="798297"/>
        </w:rPr>
        <w:t>Compensation</w:t>
      </w: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Summary Compensation Table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41516E"/>
        </w:rPr>
        <w:t>The following table summarizes the compensation of our 2023 NEOs for Fiscal Year 2023, Fiscal Year 2022, and Fiscal Year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41516E"/>
              </w:rPr>
              <w:t>Restricted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20" w:type="dxa"/>
            <w:vAlign w:val="bottom"/>
          </w:tcPr>
          <w:p>
            <w:pPr>
              <w:ind w:left="60"/>
              <w:spacing w:after="0" w:line="145" w:lineRule="exact"/>
              <w:rPr>
                <w:sz w:val="20"/>
                <w:szCs w:val="20"/>
                <w:color w:val="auto"/>
              </w:rPr>
            </w:pPr>
            <w:r>
              <w:rPr>
                <w:rFonts w:ascii="Arial" w:cs="Arial" w:eastAsia="Arial" w:hAnsi="Arial"/>
                <w:sz w:val="14"/>
                <w:szCs w:val="14"/>
                <w:b w:val="1"/>
                <w:bCs w:val="1"/>
                <w:color w:val="41516E"/>
              </w:rPr>
              <w:t>Name and Principal</w:t>
            </w:r>
          </w:p>
        </w:tc>
        <w:tc>
          <w:tcPr>
            <w:tcW w:w="780" w:type="dxa"/>
            <w:vAlign w:val="bottom"/>
          </w:tcPr>
          <w:p>
            <w:pPr>
              <w:jc w:val="right"/>
              <w:ind w:right="48"/>
              <w:spacing w:after="0" w:line="145" w:lineRule="exact"/>
              <w:rPr>
                <w:sz w:val="20"/>
                <w:szCs w:val="20"/>
                <w:color w:val="auto"/>
              </w:rPr>
            </w:pPr>
            <w:r>
              <w:rPr>
                <w:rFonts w:ascii="Arial" w:cs="Arial" w:eastAsia="Arial" w:hAnsi="Arial"/>
                <w:sz w:val="14"/>
                <w:szCs w:val="14"/>
                <w:b w:val="1"/>
                <w:bCs w:val="1"/>
                <w:color w:val="41516E"/>
              </w:rPr>
              <w:t>Fiscal</w:t>
            </w:r>
          </w:p>
        </w:tc>
        <w:tc>
          <w:tcPr>
            <w:tcW w:w="22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41516E"/>
              </w:rPr>
              <w:t>Salary</w:t>
            </w:r>
            <w:r>
              <w:rPr>
                <w:rFonts w:ascii="Arial" w:cs="Arial" w:eastAsia="Arial" w:hAnsi="Arial"/>
                <w:sz w:val="23"/>
                <w:szCs w:val="23"/>
                <w:b w:val="1"/>
                <w:bCs w:val="1"/>
                <w:color w:val="41516E"/>
                <w:vertAlign w:val="superscript"/>
              </w:rPr>
              <w:t>(1)</w:t>
            </w:r>
          </w:p>
        </w:tc>
        <w:tc>
          <w:tcPr>
            <w:tcW w:w="240" w:type="dxa"/>
            <w:vAlign w:val="bottom"/>
          </w:tcPr>
          <w:p>
            <w:pPr>
              <w:spacing w:after="0"/>
              <w:rPr>
                <w:sz w:val="12"/>
                <w:szCs w:val="12"/>
                <w:color w:val="auto"/>
              </w:rPr>
            </w:pPr>
          </w:p>
        </w:tc>
        <w:tc>
          <w:tcPr>
            <w:tcW w:w="1080" w:type="dxa"/>
            <w:vAlign w:val="bottom"/>
            <w:vMerge w:val="restart"/>
          </w:tcPr>
          <w:p>
            <w:pPr>
              <w:jc w:val="right"/>
              <w:ind w:right="69"/>
              <w:spacing w:after="0"/>
              <w:rPr>
                <w:sz w:val="20"/>
                <w:szCs w:val="20"/>
                <w:color w:val="auto"/>
              </w:rPr>
            </w:pPr>
            <w:r>
              <w:rPr>
                <w:rFonts w:ascii="Arial" w:cs="Arial" w:eastAsia="Arial" w:hAnsi="Arial"/>
                <w:sz w:val="28"/>
                <w:szCs w:val="28"/>
                <w:b w:val="1"/>
                <w:bCs w:val="1"/>
                <w:color w:val="41516E"/>
                <w:vertAlign w:val="subscript"/>
              </w:rPr>
              <w:t>Bonus</w:t>
            </w:r>
            <w:r>
              <w:rPr>
                <w:rFonts w:ascii="Arial" w:cs="Arial" w:eastAsia="Arial" w:hAnsi="Arial"/>
                <w:sz w:val="12"/>
                <w:szCs w:val="12"/>
                <w:b w:val="1"/>
                <w:bCs w:val="1"/>
                <w:color w:val="41516E"/>
              </w:rPr>
              <w:t>(1)(2)</w:t>
            </w:r>
          </w:p>
        </w:tc>
        <w:tc>
          <w:tcPr>
            <w:tcW w:w="240" w:type="dxa"/>
            <w:vAlign w:val="bottom"/>
          </w:tcPr>
          <w:p>
            <w:pPr>
              <w:spacing w:after="0"/>
              <w:rPr>
                <w:sz w:val="12"/>
                <w:szCs w:val="12"/>
                <w:color w:val="auto"/>
              </w:rPr>
            </w:pPr>
          </w:p>
        </w:tc>
        <w:tc>
          <w:tcPr>
            <w:tcW w:w="940" w:type="dxa"/>
            <w:vAlign w:val="bottom"/>
          </w:tcPr>
          <w:p>
            <w:pPr>
              <w:jc w:val="right"/>
              <w:ind w:right="208"/>
              <w:spacing w:after="0" w:line="145" w:lineRule="exact"/>
              <w:rPr>
                <w:sz w:val="20"/>
                <w:szCs w:val="20"/>
                <w:color w:val="auto"/>
              </w:rPr>
            </w:pPr>
            <w:r>
              <w:rPr>
                <w:rFonts w:ascii="Arial" w:cs="Arial" w:eastAsia="Arial" w:hAnsi="Arial"/>
                <w:sz w:val="14"/>
                <w:szCs w:val="14"/>
                <w:b w:val="1"/>
                <w:bCs w:val="1"/>
                <w:color w:val="41516E"/>
              </w:rPr>
              <w:t>Stock</w:t>
            </w:r>
          </w:p>
        </w:tc>
        <w:tc>
          <w:tcPr>
            <w:tcW w:w="240" w:type="dxa"/>
            <w:vAlign w:val="bottom"/>
          </w:tcPr>
          <w:p>
            <w:pPr>
              <w:spacing w:after="0"/>
              <w:rPr>
                <w:sz w:val="12"/>
                <w:szCs w:val="12"/>
                <w:color w:val="auto"/>
              </w:rPr>
            </w:pPr>
          </w:p>
        </w:tc>
        <w:tc>
          <w:tcPr>
            <w:tcW w:w="1080" w:type="dxa"/>
            <w:vAlign w:val="bottom"/>
          </w:tcPr>
          <w:p>
            <w:pPr>
              <w:jc w:val="right"/>
              <w:ind w:right="370"/>
              <w:spacing w:after="0" w:line="145" w:lineRule="exact"/>
              <w:rPr>
                <w:sz w:val="20"/>
                <w:szCs w:val="20"/>
                <w:color w:val="auto"/>
              </w:rPr>
            </w:pPr>
            <w:r>
              <w:rPr>
                <w:rFonts w:ascii="Arial" w:cs="Arial" w:eastAsia="Arial" w:hAnsi="Arial"/>
                <w:sz w:val="14"/>
                <w:szCs w:val="14"/>
                <w:b w:val="1"/>
                <w:bCs w:val="1"/>
                <w:color w:val="41516E"/>
              </w:rPr>
              <w:t>Option</w:t>
            </w:r>
          </w:p>
        </w:tc>
        <w:tc>
          <w:tcPr>
            <w:tcW w:w="380" w:type="dxa"/>
            <w:vAlign w:val="bottom"/>
          </w:tcPr>
          <w:p>
            <w:pPr>
              <w:spacing w:after="0"/>
              <w:rPr>
                <w:sz w:val="12"/>
                <w:szCs w:val="12"/>
                <w:color w:val="auto"/>
              </w:rPr>
            </w:pPr>
          </w:p>
        </w:tc>
        <w:tc>
          <w:tcPr>
            <w:tcW w:w="1200" w:type="dxa"/>
            <w:vAlign w:val="bottom"/>
          </w:tcPr>
          <w:p>
            <w:pPr>
              <w:jc w:val="right"/>
              <w:ind w:right="368"/>
              <w:spacing w:after="0" w:line="145" w:lineRule="exact"/>
              <w:rPr>
                <w:sz w:val="20"/>
                <w:szCs w:val="20"/>
                <w:color w:val="auto"/>
              </w:rPr>
            </w:pPr>
            <w:r>
              <w:rPr>
                <w:rFonts w:ascii="Arial" w:cs="Arial" w:eastAsia="Arial" w:hAnsi="Arial"/>
                <w:sz w:val="14"/>
                <w:szCs w:val="14"/>
                <w:b w:val="1"/>
                <w:bCs w:val="1"/>
                <w:color w:val="41516E"/>
              </w:rPr>
              <w:t>All Other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20" w:type="dxa"/>
            <w:vAlign w:val="bottom"/>
            <w:tcBorders>
              <w:bottom w:val="single" w:sz="8" w:color="41516E"/>
            </w:tcBorders>
          </w:tcPr>
          <w:p>
            <w:pPr>
              <w:ind w:left="60"/>
              <w:spacing w:after="0"/>
              <w:rPr>
                <w:sz w:val="20"/>
                <w:szCs w:val="20"/>
                <w:color w:val="auto"/>
              </w:rPr>
            </w:pPr>
            <w:r>
              <w:rPr>
                <w:rFonts w:ascii="Arial" w:cs="Arial" w:eastAsia="Arial" w:hAnsi="Arial"/>
                <w:sz w:val="14"/>
                <w:szCs w:val="14"/>
                <w:b w:val="1"/>
                <w:bCs w:val="1"/>
                <w:color w:val="41516E"/>
              </w:rPr>
              <w:t>Position</w:t>
            </w:r>
          </w:p>
        </w:tc>
        <w:tc>
          <w:tcPr>
            <w:tcW w:w="780" w:type="dxa"/>
            <w:vAlign w:val="bottom"/>
            <w:tcBorders>
              <w:bottom w:val="single" w:sz="8" w:color="41516E"/>
            </w:tcBorders>
          </w:tcPr>
          <w:p>
            <w:pPr>
              <w:jc w:val="right"/>
              <w:ind w:right="48"/>
              <w:spacing w:after="0"/>
              <w:rPr>
                <w:sz w:val="20"/>
                <w:szCs w:val="20"/>
                <w:color w:val="auto"/>
              </w:rPr>
            </w:pPr>
            <w:r>
              <w:rPr>
                <w:rFonts w:ascii="Arial" w:cs="Arial" w:eastAsia="Arial" w:hAnsi="Arial"/>
                <w:sz w:val="14"/>
                <w:szCs w:val="14"/>
                <w:b w:val="1"/>
                <w:bCs w:val="1"/>
                <w:color w:val="41516E"/>
              </w:rPr>
              <w:t>Year</w:t>
            </w:r>
          </w:p>
        </w:tc>
        <w:tc>
          <w:tcPr>
            <w:tcW w:w="220" w:type="dxa"/>
            <w:vAlign w:val="bottom"/>
            <w:tcBorders>
              <w:bottom w:val="single" w:sz="8" w:color="41516E"/>
            </w:tcBorders>
          </w:tcPr>
          <w:p>
            <w:pPr>
              <w:spacing w:after="0"/>
              <w:rPr>
                <w:sz w:val="16"/>
                <w:szCs w:val="16"/>
                <w:color w:val="auto"/>
              </w:rPr>
            </w:pPr>
          </w:p>
        </w:tc>
        <w:tc>
          <w:tcPr>
            <w:tcW w:w="840" w:type="dxa"/>
            <w:vAlign w:val="bottom"/>
            <w:tcBorders>
              <w:bottom w:val="single" w:sz="8" w:color="41516E"/>
            </w:tcBorders>
            <w:vMerge w:val="continue"/>
          </w:tcPr>
          <w:p>
            <w:pPr>
              <w:spacing w:after="0"/>
              <w:rPr>
                <w:sz w:val="16"/>
                <w:szCs w:val="16"/>
                <w:color w:val="auto"/>
              </w:rPr>
            </w:pPr>
          </w:p>
        </w:tc>
        <w:tc>
          <w:tcPr>
            <w:tcW w:w="240" w:type="dxa"/>
            <w:vAlign w:val="bottom"/>
            <w:tcBorders>
              <w:bottom w:val="single" w:sz="8" w:color="41516E"/>
            </w:tcBorders>
          </w:tcPr>
          <w:p>
            <w:pPr>
              <w:spacing w:after="0"/>
              <w:rPr>
                <w:sz w:val="16"/>
                <w:szCs w:val="16"/>
                <w:color w:val="auto"/>
              </w:rPr>
            </w:pPr>
          </w:p>
        </w:tc>
        <w:tc>
          <w:tcPr>
            <w:tcW w:w="1080" w:type="dxa"/>
            <w:vAlign w:val="bottom"/>
            <w:tcBorders>
              <w:bottom w:val="single" w:sz="8" w:color="41516E"/>
            </w:tcBorders>
            <w:vMerge w:val="continue"/>
          </w:tcPr>
          <w:p>
            <w:pPr>
              <w:spacing w:after="0"/>
              <w:rPr>
                <w:sz w:val="16"/>
                <w:szCs w:val="16"/>
                <w:color w:val="auto"/>
              </w:rPr>
            </w:pPr>
          </w:p>
        </w:tc>
        <w:tc>
          <w:tcPr>
            <w:tcW w:w="240" w:type="dxa"/>
            <w:vAlign w:val="bottom"/>
            <w:tcBorders>
              <w:bottom w:val="single" w:sz="8" w:color="41516E"/>
            </w:tcBorders>
          </w:tcPr>
          <w:p>
            <w:pPr>
              <w:spacing w:after="0"/>
              <w:rPr>
                <w:sz w:val="16"/>
                <w:szCs w:val="16"/>
                <w:color w:val="auto"/>
              </w:rPr>
            </w:pPr>
          </w:p>
        </w:tc>
        <w:tc>
          <w:tcPr>
            <w:tcW w:w="940" w:type="dxa"/>
            <w:vAlign w:val="bottom"/>
            <w:tcBorders>
              <w:bottom w:val="single" w:sz="8" w:color="41516E"/>
            </w:tcBorders>
          </w:tcPr>
          <w:p>
            <w:pPr>
              <w:jc w:val="right"/>
              <w:ind w:right="68"/>
              <w:spacing w:after="0" w:line="189" w:lineRule="exact"/>
              <w:rPr>
                <w:sz w:val="20"/>
                <w:szCs w:val="20"/>
                <w:color w:val="auto"/>
              </w:rPr>
            </w:pPr>
            <w:r>
              <w:rPr>
                <w:rFonts w:ascii="Arial" w:cs="Arial" w:eastAsia="Arial" w:hAnsi="Arial"/>
                <w:sz w:val="13"/>
                <w:szCs w:val="13"/>
                <w:b w:val="1"/>
                <w:bCs w:val="1"/>
                <w:color w:val="41516E"/>
              </w:rPr>
              <w:t>Awards</w:t>
            </w:r>
            <w:r>
              <w:rPr>
                <w:rFonts w:ascii="Arial" w:cs="Arial" w:eastAsia="Arial" w:hAnsi="Arial"/>
                <w:sz w:val="21"/>
                <w:szCs w:val="21"/>
                <w:b w:val="1"/>
                <w:bCs w:val="1"/>
                <w:color w:val="41516E"/>
                <w:vertAlign w:val="superscript"/>
              </w:rPr>
              <w:t>(3)</w:t>
            </w:r>
          </w:p>
        </w:tc>
        <w:tc>
          <w:tcPr>
            <w:tcW w:w="240" w:type="dxa"/>
            <w:vAlign w:val="bottom"/>
            <w:tcBorders>
              <w:bottom w:val="single" w:sz="8" w:color="41516E"/>
            </w:tcBorders>
          </w:tcPr>
          <w:p>
            <w:pPr>
              <w:spacing w:after="0"/>
              <w:rPr>
                <w:sz w:val="16"/>
                <w:szCs w:val="16"/>
                <w:color w:val="auto"/>
              </w:rPr>
            </w:pPr>
          </w:p>
        </w:tc>
        <w:tc>
          <w:tcPr>
            <w:tcW w:w="1080" w:type="dxa"/>
            <w:vAlign w:val="bottom"/>
            <w:tcBorders>
              <w:bottom w:val="single" w:sz="8" w:color="41516E"/>
            </w:tcBorders>
          </w:tcPr>
          <w:p>
            <w:pPr>
              <w:jc w:val="right"/>
              <w:ind w:right="210"/>
              <w:spacing w:after="0" w:line="189" w:lineRule="exact"/>
              <w:rPr>
                <w:sz w:val="20"/>
                <w:szCs w:val="20"/>
                <w:color w:val="auto"/>
              </w:rPr>
            </w:pPr>
            <w:r>
              <w:rPr>
                <w:rFonts w:ascii="Arial" w:cs="Arial" w:eastAsia="Arial" w:hAnsi="Arial"/>
                <w:sz w:val="13"/>
                <w:szCs w:val="13"/>
                <w:b w:val="1"/>
                <w:bCs w:val="1"/>
                <w:color w:val="41516E"/>
              </w:rPr>
              <w:t>Awards</w:t>
            </w:r>
            <w:r>
              <w:rPr>
                <w:rFonts w:ascii="Arial" w:cs="Arial" w:eastAsia="Arial" w:hAnsi="Arial"/>
                <w:sz w:val="21"/>
                <w:szCs w:val="21"/>
                <w:b w:val="1"/>
                <w:bCs w:val="1"/>
                <w:color w:val="41516E"/>
                <w:vertAlign w:val="superscript"/>
              </w:rPr>
              <w:t>(3)</w:t>
            </w:r>
          </w:p>
        </w:tc>
        <w:tc>
          <w:tcPr>
            <w:tcW w:w="1580" w:type="dxa"/>
            <w:vAlign w:val="bottom"/>
            <w:tcBorders>
              <w:bottom w:val="single" w:sz="8" w:color="41516E"/>
            </w:tcBorders>
            <w:gridSpan w:val="2"/>
          </w:tcPr>
          <w:p>
            <w:pPr>
              <w:ind w:left="140"/>
              <w:spacing w:after="0" w:line="189" w:lineRule="exact"/>
              <w:rPr>
                <w:sz w:val="20"/>
                <w:szCs w:val="20"/>
                <w:color w:val="auto"/>
              </w:rPr>
            </w:pPr>
            <w:r>
              <w:rPr>
                <w:rFonts w:ascii="Arial" w:cs="Arial" w:eastAsia="Arial" w:hAnsi="Arial"/>
                <w:sz w:val="13"/>
                <w:szCs w:val="13"/>
                <w:b w:val="1"/>
                <w:bCs w:val="1"/>
                <w:color w:val="41516E"/>
              </w:rPr>
              <w:t>Compensation</w:t>
            </w:r>
            <w:r>
              <w:rPr>
                <w:rFonts w:ascii="Arial" w:cs="Arial" w:eastAsia="Arial" w:hAnsi="Arial"/>
                <w:sz w:val="21"/>
                <w:szCs w:val="21"/>
                <w:b w:val="1"/>
                <w:bCs w:val="1"/>
                <w:color w:val="41516E"/>
                <w:vertAlign w:val="superscript"/>
              </w:rPr>
              <w:t>(1)(4)</w:t>
            </w:r>
          </w:p>
        </w:tc>
        <w:tc>
          <w:tcPr>
            <w:tcW w:w="240" w:type="dxa"/>
            <w:vAlign w:val="bottom"/>
            <w:tcBorders>
              <w:bottom w:val="single" w:sz="8" w:color="41516E"/>
            </w:tcBorders>
          </w:tcPr>
          <w:p>
            <w:pPr>
              <w:spacing w:after="0"/>
              <w:rPr>
                <w:sz w:val="16"/>
                <w:szCs w:val="16"/>
                <w:color w:val="auto"/>
              </w:rPr>
            </w:pPr>
          </w:p>
        </w:tc>
        <w:tc>
          <w:tcPr>
            <w:tcW w:w="84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b w:val="1"/>
                <w:bCs w:val="1"/>
                <w:color w:val="41516E"/>
              </w:rPr>
              <w:t>Total</w:t>
            </w:r>
          </w:p>
        </w:tc>
        <w:tc>
          <w:tcPr>
            <w:tcW w:w="0" w:type="dxa"/>
            <w:vAlign w:val="bottom"/>
          </w:tcPr>
          <w:p>
            <w:pPr>
              <w:spacing w:after="0"/>
              <w:rPr>
                <w:sz w:val="1"/>
                <w:szCs w:val="1"/>
                <w:color w:val="auto"/>
              </w:rPr>
            </w:pPr>
          </w:p>
        </w:tc>
      </w:tr>
      <w:tr>
        <w:trPr>
          <w:trHeight w:val="183"/>
        </w:trPr>
        <w:tc>
          <w:tcPr>
            <w:tcW w:w="2920" w:type="dxa"/>
            <w:vAlign w:val="bottom"/>
          </w:tcPr>
          <w:p>
            <w:pPr>
              <w:ind w:left="60"/>
              <w:spacing w:after="0"/>
              <w:rPr>
                <w:sz w:val="20"/>
                <w:szCs w:val="20"/>
                <w:color w:val="auto"/>
              </w:rPr>
            </w:pPr>
            <w:r>
              <w:rPr>
                <w:rFonts w:ascii="Arial" w:cs="Arial" w:eastAsia="Arial" w:hAnsi="Arial"/>
                <w:sz w:val="14"/>
                <w:szCs w:val="14"/>
                <w:b w:val="1"/>
                <w:bCs w:val="1"/>
                <w:color w:val="41516E"/>
              </w:rPr>
              <w:t>David A. Burwick</w:t>
            </w:r>
          </w:p>
        </w:tc>
        <w:tc>
          <w:tcPr>
            <w:tcW w:w="780" w:type="dxa"/>
            <w:vAlign w:val="bottom"/>
          </w:tcPr>
          <w:p>
            <w:pPr>
              <w:jc w:val="right"/>
              <w:ind w:right="48"/>
              <w:spacing w:after="0"/>
              <w:rPr>
                <w:sz w:val="20"/>
                <w:szCs w:val="20"/>
                <w:color w:val="auto"/>
              </w:rPr>
            </w:pPr>
            <w:r>
              <w:rPr>
                <w:rFonts w:ascii="Arial" w:cs="Arial" w:eastAsia="Arial" w:hAnsi="Arial"/>
                <w:sz w:val="14"/>
                <w:szCs w:val="14"/>
                <w:color w:val="41516E"/>
              </w:rPr>
              <w:t>2023</w:t>
            </w:r>
          </w:p>
        </w:tc>
        <w:tc>
          <w:tcPr>
            <w:tcW w:w="22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08"/>
              <w:spacing w:after="0"/>
              <w:rPr>
                <w:sz w:val="20"/>
                <w:szCs w:val="20"/>
                <w:color w:val="auto"/>
              </w:rPr>
            </w:pPr>
            <w:r>
              <w:rPr>
                <w:rFonts w:ascii="Arial" w:cs="Arial" w:eastAsia="Arial" w:hAnsi="Arial"/>
                <w:sz w:val="14"/>
                <w:szCs w:val="14"/>
                <w:color w:val="41516E"/>
              </w:rPr>
              <w:t>860,500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349"/>
              <w:spacing w:after="0"/>
              <w:rPr>
                <w:sz w:val="20"/>
                <w:szCs w:val="20"/>
                <w:color w:val="auto"/>
              </w:rPr>
            </w:pPr>
            <w:r>
              <w:rPr>
                <w:rFonts w:ascii="Arial" w:cs="Arial" w:eastAsia="Arial" w:hAnsi="Arial"/>
                <w:sz w:val="14"/>
                <w:szCs w:val="14"/>
                <w:color w:val="41516E"/>
              </w:rPr>
              <w:t>1,032,605</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41516E"/>
              </w:rPr>
              <w:t>2,000,113</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210"/>
              <w:spacing w:after="0" w:line="183" w:lineRule="exact"/>
              <w:rPr>
                <w:sz w:val="20"/>
                <w:szCs w:val="20"/>
                <w:color w:val="auto"/>
              </w:rPr>
            </w:pPr>
            <w:r>
              <w:rPr>
                <w:rFonts w:ascii="Arial" w:cs="Arial" w:eastAsia="Arial" w:hAnsi="Arial"/>
                <w:sz w:val="13"/>
                <w:szCs w:val="13"/>
                <w:color w:val="41516E"/>
              </w:rPr>
              <w:t>2,000,007</w:t>
            </w:r>
            <w:r>
              <w:rPr>
                <w:rFonts w:ascii="Arial" w:cs="Arial" w:eastAsia="Arial" w:hAnsi="Arial"/>
                <w:sz w:val="21"/>
                <w:szCs w:val="21"/>
                <w:color w:val="41516E"/>
                <w:vertAlign w:val="superscript"/>
              </w:rPr>
              <w:t>(5)</w:t>
            </w:r>
          </w:p>
        </w:tc>
        <w:tc>
          <w:tcPr>
            <w:tcW w:w="380" w:type="dxa"/>
            <w:vAlign w:val="bottom"/>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Pr>
          <w:p>
            <w:pPr>
              <w:jc w:val="right"/>
              <w:ind w:right="368"/>
              <w:spacing w:after="0"/>
              <w:rPr>
                <w:sz w:val="20"/>
                <w:szCs w:val="20"/>
                <w:color w:val="auto"/>
              </w:rPr>
            </w:pPr>
            <w:r>
              <w:rPr>
                <w:rFonts w:ascii="Arial" w:cs="Arial" w:eastAsia="Arial" w:hAnsi="Arial"/>
                <w:sz w:val="14"/>
                <w:szCs w:val="14"/>
                <w:color w:val="41516E"/>
              </w:rPr>
              <w:t>14,117</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41516E"/>
              </w:rPr>
              <w:t>5,907,342</w:t>
            </w:r>
          </w:p>
        </w:tc>
        <w:tc>
          <w:tcPr>
            <w:tcW w:w="0" w:type="dxa"/>
            <w:vAlign w:val="bottom"/>
          </w:tcPr>
          <w:p>
            <w:pPr>
              <w:spacing w:after="0"/>
              <w:rPr>
                <w:sz w:val="1"/>
                <w:szCs w:val="1"/>
                <w:color w:val="auto"/>
              </w:rPr>
            </w:pPr>
          </w:p>
        </w:tc>
      </w:tr>
      <w:tr>
        <w:trPr>
          <w:trHeight w:val="189"/>
        </w:trPr>
        <w:tc>
          <w:tcPr>
            <w:tcW w:w="2920" w:type="dxa"/>
            <w:vAlign w:val="bottom"/>
          </w:tcPr>
          <w:p>
            <w:pPr>
              <w:ind w:left="60"/>
              <w:spacing w:after="0"/>
              <w:rPr>
                <w:sz w:val="20"/>
                <w:szCs w:val="20"/>
                <w:color w:val="auto"/>
              </w:rPr>
            </w:pPr>
            <w:r>
              <w:rPr>
                <w:rFonts w:ascii="Arial" w:cs="Arial" w:eastAsia="Arial" w:hAnsi="Arial"/>
                <w:sz w:val="14"/>
                <w:szCs w:val="14"/>
                <w:color w:val="41516E"/>
              </w:rPr>
              <w:t>President &amp; CEO</w:t>
            </w:r>
          </w:p>
        </w:tc>
        <w:tc>
          <w:tcPr>
            <w:tcW w:w="780" w:type="dxa"/>
            <w:vAlign w:val="bottom"/>
            <w:shd w:val="clear" w:color="auto" w:fill="EFF0F1"/>
          </w:tcPr>
          <w:p>
            <w:pPr>
              <w:jc w:val="right"/>
              <w:ind w:right="48"/>
              <w:spacing w:after="0"/>
              <w:rPr>
                <w:sz w:val="20"/>
                <w:szCs w:val="20"/>
                <w:color w:val="auto"/>
              </w:rPr>
            </w:pPr>
            <w:r>
              <w:rPr>
                <w:rFonts w:ascii="Arial" w:cs="Arial" w:eastAsia="Arial" w:hAnsi="Arial"/>
                <w:sz w:val="14"/>
                <w:szCs w:val="14"/>
                <w:color w:val="41516E"/>
              </w:rPr>
              <w:t>2022</w:t>
            </w:r>
          </w:p>
        </w:tc>
        <w:tc>
          <w:tcPr>
            <w:tcW w:w="22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08"/>
              <w:spacing w:after="0"/>
              <w:rPr>
                <w:sz w:val="20"/>
                <w:szCs w:val="20"/>
                <w:color w:val="auto"/>
              </w:rPr>
            </w:pPr>
            <w:r>
              <w:rPr>
                <w:rFonts w:ascii="Arial" w:cs="Arial" w:eastAsia="Arial" w:hAnsi="Arial"/>
                <w:sz w:val="14"/>
                <w:szCs w:val="14"/>
                <w:color w:val="41516E"/>
              </w:rPr>
              <w:t>835,459</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349"/>
              <w:spacing w:after="0"/>
              <w:rPr>
                <w:sz w:val="20"/>
                <w:szCs w:val="20"/>
                <w:color w:val="auto"/>
              </w:rPr>
            </w:pPr>
            <w:r>
              <w:rPr>
                <w:rFonts w:ascii="Arial" w:cs="Arial" w:eastAsia="Arial" w:hAnsi="Arial"/>
                <w:sz w:val="14"/>
                <w:szCs w:val="14"/>
                <w:color w:val="41516E"/>
              </w:rPr>
              <w:t>0</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940" w:type="dxa"/>
            <w:vAlign w:val="bottom"/>
            <w:shd w:val="clear" w:color="auto" w:fill="EFF0F1"/>
          </w:tcPr>
          <w:p>
            <w:pPr>
              <w:jc w:val="right"/>
              <w:ind w:right="208"/>
              <w:spacing w:after="0"/>
              <w:rPr>
                <w:sz w:val="20"/>
                <w:szCs w:val="20"/>
                <w:color w:val="auto"/>
              </w:rPr>
            </w:pPr>
            <w:r>
              <w:rPr>
                <w:rFonts w:ascii="Arial" w:cs="Arial" w:eastAsia="Arial" w:hAnsi="Arial"/>
                <w:sz w:val="14"/>
                <w:szCs w:val="14"/>
                <w:color w:val="41516E"/>
              </w:rPr>
              <w:t>2,000,127</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210"/>
              <w:spacing w:after="0" w:line="189" w:lineRule="exact"/>
              <w:rPr>
                <w:sz w:val="20"/>
                <w:szCs w:val="20"/>
                <w:color w:val="auto"/>
              </w:rPr>
            </w:pPr>
            <w:r>
              <w:rPr>
                <w:rFonts w:ascii="Arial" w:cs="Arial" w:eastAsia="Arial" w:hAnsi="Arial"/>
                <w:sz w:val="13"/>
                <w:szCs w:val="13"/>
                <w:color w:val="41516E"/>
              </w:rPr>
              <w:t>2,000,034</w:t>
            </w:r>
            <w:r>
              <w:rPr>
                <w:rFonts w:ascii="Arial" w:cs="Arial" w:eastAsia="Arial" w:hAnsi="Arial"/>
                <w:sz w:val="21"/>
                <w:szCs w:val="21"/>
                <w:color w:val="41516E"/>
                <w:vertAlign w:val="superscript"/>
              </w:rPr>
              <w:t>(6)</w:t>
            </w:r>
          </w:p>
        </w:tc>
        <w:tc>
          <w:tcPr>
            <w:tcW w:w="380" w:type="dxa"/>
            <w:vAlign w:val="bottom"/>
            <w:shd w:val="clear" w:color="auto" w:fill="EFF0F1"/>
          </w:tcPr>
          <w:p>
            <w:pPr>
              <w:ind w:left="140"/>
              <w:spacing w:after="0"/>
              <w:rPr>
                <w:sz w:val="20"/>
                <w:szCs w:val="20"/>
                <w:color w:val="auto"/>
              </w:rPr>
            </w:pPr>
            <w:r>
              <w:rPr>
                <w:rFonts w:ascii="Arial" w:cs="Arial" w:eastAsia="Arial" w:hAnsi="Arial"/>
                <w:sz w:val="14"/>
                <w:szCs w:val="14"/>
                <w:color w:val="41516E"/>
              </w:rPr>
              <w:t>$</w:t>
            </w:r>
          </w:p>
        </w:tc>
        <w:tc>
          <w:tcPr>
            <w:tcW w:w="1200" w:type="dxa"/>
            <w:vAlign w:val="bottom"/>
            <w:shd w:val="clear" w:color="auto" w:fill="EFF0F1"/>
          </w:tcPr>
          <w:p>
            <w:pPr>
              <w:jc w:val="right"/>
              <w:ind w:right="368"/>
              <w:spacing w:after="0"/>
              <w:rPr>
                <w:sz w:val="20"/>
                <w:szCs w:val="20"/>
                <w:color w:val="auto"/>
              </w:rPr>
            </w:pPr>
            <w:r>
              <w:rPr>
                <w:rFonts w:ascii="Arial" w:cs="Arial" w:eastAsia="Arial" w:hAnsi="Arial"/>
                <w:sz w:val="14"/>
                <w:szCs w:val="14"/>
                <w:color w:val="41516E"/>
              </w:rPr>
              <w:t>13,117</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4,848,737</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41516E"/>
            </w:tcBorders>
          </w:tcPr>
          <w:p>
            <w:pPr>
              <w:spacing w:after="0"/>
              <w:rPr>
                <w:sz w:val="19"/>
                <w:szCs w:val="19"/>
                <w:color w:val="auto"/>
              </w:rPr>
            </w:pPr>
          </w:p>
        </w:tc>
        <w:tc>
          <w:tcPr>
            <w:tcW w:w="780" w:type="dxa"/>
            <w:vAlign w:val="bottom"/>
            <w:tcBorders>
              <w:bottom w:val="single" w:sz="8" w:color="41516E"/>
            </w:tcBorders>
          </w:tcPr>
          <w:p>
            <w:pPr>
              <w:jc w:val="right"/>
              <w:ind w:right="48"/>
              <w:spacing w:after="0"/>
              <w:rPr>
                <w:sz w:val="20"/>
                <w:szCs w:val="20"/>
                <w:color w:val="auto"/>
              </w:rPr>
            </w:pPr>
            <w:r>
              <w:rPr>
                <w:rFonts w:ascii="Arial" w:cs="Arial" w:eastAsia="Arial" w:hAnsi="Arial"/>
                <w:sz w:val="14"/>
                <w:szCs w:val="14"/>
                <w:color w:val="41516E"/>
              </w:rPr>
              <w:t>2021</w:t>
            </w:r>
          </w:p>
        </w:tc>
        <w:tc>
          <w:tcPr>
            <w:tcW w:w="22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color w:val="41516E"/>
              </w:rPr>
              <w:t>826,278</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tcPr>
          <w:p>
            <w:pPr>
              <w:jc w:val="right"/>
              <w:ind w:right="349"/>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940" w:type="dxa"/>
            <w:vAlign w:val="bottom"/>
            <w:tcBorders>
              <w:bottom w:val="single" w:sz="8" w:color="41516E"/>
            </w:tcBorders>
          </w:tcPr>
          <w:p>
            <w:pPr>
              <w:jc w:val="right"/>
              <w:ind w:right="68"/>
              <w:spacing w:after="0" w:line="230" w:lineRule="exact"/>
              <w:rPr>
                <w:sz w:val="20"/>
                <w:szCs w:val="20"/>
                <w:color w:val="auto"/>
              </w:rPr>
            </w:pPr>
            <w:r>
              <w:rPr>
                <w:rFonts w:ascii="Arial" w:cs="Arial" w:eastAsia="Arial" w:hAnsi="Arial"/>
                <w:sz w:val="14"/>
                <w:szCs w:val="14"/>
                <w:color w:val="41516E"/>
                <w:w w:val="96"/>
              </w:rPr>
              <w:t>7,001,400</w:t>
            </w:r>
            <w:r>
              <w:rPr>
                <w:rFonts w:ascii="Arial" w:cs="Arial" w:eastAsia="Arial" w:hAnsi="Arial"/>
                <w:sz w:val="23"/>
                <w:szCs w:val="23"/>
                <w:color w:val="41516E"/>
                <w:w w:val="96"/>
                <w:vertAlign w:val="superscript"/>
              </w:rPr>
              <w:t>(7)</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tcPr>
          <w:p>
            <w:pPr>
              <w:jc w:val="right"/>
              <w:ind w:right="70"/>
              <w:spacing w:after="0" w:line="230" w:lineRule="exact"/>
              <w:rPr>
                <w:sz w:val="20"/>
                <w:szCs w:val="20"/>
                <w:color w:val="auto"/>
              </w:rPr>
            </w:pPr>
            <w:r>
              <w:rPr>
                <w:rFonts w:ascii="Arial" w:cs="Arial" w:eastAsia="Arial" w:hAnsi="Arial"/>
                <w:sz w:val="14"/>
                <w:szCs w:val="14"/>
                <w:color w:val="41516E"/>
                <w:w w:val="92"/>
              </w:rPr>
              <w:t>7,000,380</w:t>
            </w:r>
            <w:r>
              <w:rPr>
                <w:rFonts w:ascii="Arial" w:cs="Arial" w:eastAsia="Arial" w:hAnsi="Arial"/>
                <w:sz w:val="23"/>
                <w:szCs w:val="23"/>
                <w:color w:val="41516E"/>
                <w:w w:val="92"/>
                <w:vertAlign w:val="superscript"/>
              </w:rPr>
              <w:t>(7)(8)</w:t>
            </w:r>
          </w:p>
        </w:tc>
        <w:tc>
          <w:tcPr>
            <w:tcW w:w="380" w:type="dxa"/>
            <w:vAlign w:val="bottom"/>
            <w:tcBorders>
              <w:bottom w:val="single" w:sz="8" w:color="41516E"/>
            </w:tcBorders>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Borders>
              <w:bottom w:val="single" w:sz="8" w:color="41516E"/>
            </w:tcBorders>
          </w:tcPr>
          <w:p>
            <w:pPr>
              <w:jc w:val="right"/>
              <w:ind w:right="368"/>
              <w:spacing w:after="0"/>
              <w:rPr>
                <w:sz w:val="20"/>
                <w:szCs w:val="20"/>
                <w:color w:val="auto"/>
              </w:rPr>
            </w:pPr>
            <w:r>
              <w:rPr>
                <w:rFonts w:ascii="Arial" w:cs="Arial" w:eastAsia="Arial" w:hAnsi="Arial"/>
                <w:sz w:val="14"/>
                <w:szCs w:val="14"/>
                <w:color w:val="41516E"/>
              </w:rPr>
              <w:t>12,898</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color w:val="41516E"/>
              </w:rPr>
              <w:t>14,840,956</w:t>
            </w:r>
          </w:p>
        </w:tc>
        <w:tc>
          <w:tcPr>
            <w:tcW w:w="0" w:type="dxa"/>
            <w:vAlign w:val="bottom"/>
          </w:tcPr>
          <w:p>
            <w:pPr>
              <w:spacing w:after="0"/>
              <w:rPr>
                <w:sz w:val="1"/>
                <w:szCs w:val="1"/>
                <w:color w:val="auto"/>
              </w:rPr>
            </w:pPr>
          </w:p>
        </w:tc>
      </w:tr>
      <w:tr>
        <w:trPr>
          <w:trHeight w:val="156"/>
        </w:trPr>
        <w:tc>
          <w:tcPr>
            <w:tcW w:w="2920" w:type="dxa"/>
            <w:vAlign w:val="bottom"/>
          </w:tcPr>
          <w:p>
            <w:pPr>
              <w:ind w:left="60"/>
              <w:spacing w:after="0" w:line="155" w:lineRule="exact"/>
              <w:rPr>
                <w:sz w:val="20"/>
                <w:szCs w:val="20"/>
                <w:color w:val="auto"/>
              </w:rPr>
            </w:pPr>
            <w:r>
              <w:rPr>
                <w:rFonts w:ascii="Arial" w:cs="Arial" w:eastAsia="Arial" w:hAnsi="Arial"/>
                <w:sz w:val="14"/>
                <w:szCs w:val="14"/>
                <w:b w:val="1"/>
                <w:bCs w:val="1"/>
                <w:color w:val="41516E"/>
              </w:rPr>
              <w:t>Diego Reynoso</w:t>
            </w:r>
          </w:p>
        </w:tc>
        <w:tc>
          <w:tcPr>
            <w:tcW w:w="780" w:type="dxa"/>
            <w:vAlign w:val="bottom"/>
            <w:shd w:val="clear" w:color="auto" w:fill="EFF0F1"/>
          </w:tcPr>
          <w:p>
            <w:pPr>
              <w:jc w:val="right"/>
              <w:ind w:right="48"/>
              <w:spacing w:after="0" w:line="155" w:lineRule="exact"/>
              <w:rPr>
                <w:sz w:val="20"/>
                <w:szCs w:val="20"/>
                <w:color w:val="auto"/>
              </w:rPr>
            </w:pPr>
            <w:r>
              <w:rPr>
                <w:rFonts w:ascii="Arial" w:cs="Arial" w:eastAsia="Arial" w:hAnsi="Arial"/>
                <w:sz w:val="14"/>
                <w:szCs w:val="14"/>
                <w:color w:val="41516E"/>
              </w:rPr>
              <w:t>2023</w:t>
            </w:r>
          </w:p>
        </w:tc>
        <w:tc>
          <w:tcPr>
            <w:tcW w:w="220" w:type="dxa"/>
            <w:vAlign w:val="bottom"/>
            <w:shd w:val="clear" w:color="auto" w:fill="EFF0F1"/>
          </w:tcPr>
          <w:p>
            <w:pPr>
              <w:jc w:val="right"/>
              <w:spacing w:after="0" w:line="155" w:lineRule="exact"/>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08"/>
              <w:spacing w:after="0" w:line="155" w:lineRule="exact"/>
              <w:rPr>
                <w:sz w:val="20"/>
                <w:szCs w:val="20"/>
                <w:color w:val="auto"/>
              </w:rPr>
            </w:pPr>
            <w:r>
              <w:rPr>
                <w:rFonts w:ascii="Arial" w:cs="Arial" w:eastAsia="Arial" w:hAnsi="Arial"/>
                <w:sz w:val="14"/>
                <w:szCs w:val="14"/>
                <w:color w:val="41516E"/>
              </w:rPr>
              <w:t>184,615</w:t>
            </w:r>
          </w:p>
        </w:tc>
        <w:tc>
          <w:tcPr>
            <w:tcW w:w="240" w:type="dxa"/>
            <w:vAlign w:val="bottom"/>
            <w:shd w:val="clear" w:color="auto" w:fill="EFF0F1"/>
          </w:tcPr>
          <w:p>
            <w:pPr>
              <w:jc w:val="right"/>
              <w:spacing w:after="0" w:line="155" w:lineRule="exact"/>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349"/>
              <w:spacing w:after="0" w:line="155" w:lineRule="exact"/>
              <w:rPr>
                <w:sz w:val="20"/>
                <w:szCs w:val="20"/>
                <w:color w:val="auto"/>
              </w:rPr>
            </w:pPr>
            <w:r>
              <w:rPr>
                <w:rFonts w:ascii="Arial" w:cs="Arial" w:eastAsia="Arial" w:hAnsi="Arial"/>
                <w:sz w:val="14"/>
                <w:szCs w:val="14"/>
                <w:color w:val="41516E"/>
              </w:rPr>
              <w:t>111,000</w:t>
            </w:r>
          </w:p>
        </w:tc>
        <w:tc>
          <w:tcPr>
            <w:tcW w:w="240" w:type="dxa"/>
            <w:vAlign w:val="bottom"/>
            <w:shd w:val="clear" w:color="auto" w:fill="EFF0F1"/>
          </w:tcPr>
          <w:p>
            <w:pPr>
              <w:jc w:val="right"/>
              <w:spacing w:after="0" w:line="155" w:lineRule="exact"/>
              <w:rPr>
                <w:sz w:val="20"/>
                <w:szCs w:val="20"/>
                <w:color w:val="auto"/>
              </w:rPr>
            </w:pPr>
            <w:r>
              <w:rPr>
                <w:rFonts w:ascii="Arial" w:cs="Arial" w:eastAsia="Arial" w:hAnsi="Arial"/>
                <w:sz w:val="14"/>
                <w:szCs w:val="14"/>
                <w:color w:val="41516E"/>
              </w:rPr>
              <w:t>$</w:t>
            </w:r>
          </w:p>
        </w:tc>
        <w:tc>
          <w:tcPr>
            <w:tcW w:w="940" w:type="dxa"/>
            <w:vAlign w:val="bottom"/>
            <w:shd w:val="clear" w:color="auto" w:fill="EFF0F1"/>
          </w:tcPr>
          <w:p>
            <w:pPr>
              <w:jc w:val="right"/>
              <w:ind w:right="208"/>
              <w:spacing w:after="0" w:line="155" w:lineRule="exact"/>
              <w:rPr>
                <w:sz w:val="20"/>
                <w:szCs w:val="20"/>
                <w:color w:val="auto"/>
              </w:rPr>
            </w:pPr>
            <w:r>
              <w:rPr>
                <w:rFonts w:ascii="Arial" w:cs="Arial" w:eastAsia="Arial" w:hAnsi="Arial"/>
                <w:sz w:val="14"/>
                <w:szCs w:val="14"/>
                <w:color w:val="41516E"/>
              </w:rPr>
              <w:t>1,500,083</w:t>
            </w:r>
          </w:p>
        </w:tc>
        <w:tc>
          <w:tcPr>
            <w:tcW w:w="240" w:type="dxa"/>
            <w:vAlign w:val="bottom"/>
            <w:shd w:val="clear" w:color="auto" w:fill="EFF0F1"/>
          </w:tcPr>
          <w:p>
            <w:pPr>
              <w:jc w:val="right"/>
              <w:spacing w:after="0" w:line="155" w:lineRule="exact"/>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370"/>
              <w:spacing w:after="0" w:line="155" w:lineRule="exact"/>
              <w:rPr>
                <w:sz w:val="20"/>
                <w:szCs w:val="20"/>
                <w:color w:val="auto"/>
              </w:rPr>
            </w:pPr>
            <w:r>
              <w:rPr>
                <w:rFonts w:ascii="Arial" w:cs="Arial" w:eastAsia="Arial" w:hAnsi="Arial"/>
                <w:sz w:val="14"/>
                <w:szCs w:val="14"/>
                <w:color w:val="41516E"/>
                <w:w w:val="99"/>
              </w:rPr>
              <w:t>1,500,110</w:t>
            </w:r>
          </w:p>
        </w:tc>
        <w:tc>
          <w:tcPr>
            <w:tcW w:w="380" w:type="dxa"/>
            <w:vAlign w:val="bottom"/>
            <w:shd w:val="clear" w:color="auto" w:fill="EFF0F1"/>
          </w:tcPr>
          <w:p>
            <w:pPr>
              <w:ind w:left="140"/>
              <w:spacing w:after="0" w:line="155" w:lineRule="exact"/>
              <w:rPr>
                <w:sz w:val="20"/>
                <w:szCs w:val="20"/>
                <w:color w:val="auto"/>
              </w:rPr>
            </w:pPr>
            <w:r>
              <w:rPr>
                <w:rFonts w:ascii="Arial" w:cs="Arial" w:eastAsia="Arial" w:hAnsi="Arial"/>
                <w:sz w:val="14"/>
                <w:szCs w:val="14"/>
                <w:color w:val="41516E"/>
              </w:rPr>
              <w:t>$</w:t>
            </w:r>
          </w:p>
        </w:tc>
        <w:tc>
          <w:tcPr>
            <w:tcW w:w="1200" w:type="dxa"/>
            <w:vAlign w:val="bottom"/>
            <w:shd w:val="clear" w:color="auto" w:fill="EFF0F1"/>
          </w:tcPr>
          <w:p>
            <w:pPr>
              <w:jc w:val="right"/>
              <w:ind w:right="368"/>
              <w:spacing w:after="0" w:line="155" w:lineRule="exact"/>
              <w:rPr>
                <w:sz w:val="20"/>
                <w:szCs w:val="20"/>
                <w:color w:val="auto"/>
              </w:rPr>
            </w:pPr>
            <w:r>
              <w:rPr>
                <w:rFonts w:ascii="Arial" w:cs="Arial" w:eastAsia="Arial" w:hAnsi="Arial"/>
                <w:sz w:val="14"/>
                <w:szCs w:val="14"/>
                <w:color w:val="41516E"/>
              </w:rPr>
              <w:t>608,359</w:t>
            </w:r>
          </w:p>
        </w:tc>
        <w:tc>
          <w:tcPr>
            <w:tcW w:w="240" w:type="dxa"/>
            <w:vAlign w:val="bottom"/>
            <w:shd w:val="clear" w:color="auto" w:fill="EFF0F1"/>
          </w:tcPr>
          <w:p>
            <w:pPr>
              <w:jc w:val="right"/>
              <w:spacing w:after="0" w:line="155" w:lineRule="exact"/>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8"/>
              <w:spacing w:after="0" w:line="155" w:lineRule="exact"/>
              <w:rPr>
                <w:sz w:val="20"/>
                <w:szCs w:val="20"/>
                <w:color w:val="auto"/>
              </w:rPr>
            </w:pPr>
            <w:r>
              <w:rPr>
                <w:rFonts w:ascii="Arial" w:cs="Arial" w:eastAsia="Arial" w:hAnsi="Arial"/>
                <w:sz w:val="14"/>
                <w:szCs w:val="14"/>
                <w:color w:val="41516E"/>
              </w:rPr>
              <w:t>3,904,167</w:t>
            </w:r>
          </w:p>
        </w:tc>
        <w:tc>
          <w:tcPr>
            <w:tcW w:w="0" w:type="dxa"/>
            <w:vAlign w:val="bottom"/>
          </w:tcPr>
          <w:p>
            <w:pPr>
              <w:spacing w:after="0"/>
              <w:rPr>
                <w:sz w:val="1"/>
                <w:szCs w:val="1"/>
                <w:color w:val="auto"/>
              </w:rPr>
            </w:pPr>
          </w:p>
        </w:tc>
      </w:tr>
      <w:tr>
        <w:trPr>
          <w:trHeight w:val="162"/>
        </w:trPr>
        <w:tc>
          <w:tcPr>
            <w:tcW w:w="2920" w:type="dxa"/>
            <w:vAlign w:val="bottom"/>
          </w:tcPr>
          <w:p>
            <w:pPr>
              <w:ind w:left="60"/>
              <w:spacing w:after="0"/>
              <w:rPr>
                <w:sz w:val="20"/>
                <w:szCs w:val="20"/>
                <w:color w:val="auto"/>
              </w:rPr>
            </w:pPr>
            <w:r>
              <w:rPr>
                <w:rFonts w:ascii="Arial" w:cs="Arial" w:eastAsia="Arial" w:hAnsi="Arial"/>
                <w:sz w:val="14"/>
                <w:szCs w:val="14"/>
                <w:color w:val="41516E"/>
              </w:rPr>
              <w:t>Treasurer &amp; Chief Financial Officer</w:t>
            </w:r>
          </w:p>
        </w:tc>
        <w:tc>
          <w:tcPr>
            <w:tcW w:w="780" w:type="dxa"/>
            <w:vAlign w:val="bottom"/>
          </w:tcPr>
          <w:p>
            <w:pPr>
              <w:jc w:val="right"/>
              <w:ind w:right="48"/>
              <w:spacing w:after="0"/>
              <w:rPr>
                <w:sz w:val="20"/>
                <w:szCs w:val="20"/>
                <w:color w:val="auto"/>
              </w:rPr>
            </w:pPr>
            <w:r>
              <w:rPr>
                <w:rFonts w:ascii="Arial" w:cs="Arial" w:eastAsia="Arial" w:hAnsi="Arial"/>
                <w:sz w:val="14"/>
                <w:szCs w:val="14"/>
                <w:color w:val="41516E"/>
              </w:rPr>
              <w:t>2022</w:t>
            </w:r>
          </w:p>
        </w:tc>
        <w:tc>
          <w:tcPr>
            <w:tcW w:w="22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08"/>
              <w:spacing w:after="0"/>
              <w:rPr>
                <w:sz w:val="20"/>
                <w:szCs w:val="20"/>
                <w:color w:val="auto"/>
              </w:rPr>
            </w:pPr>
            <w:r>
              <w:rPr>
                <w:rFonts w:ascii="Arial" w:cs="Arial" w:eastAsia="Arial" w:hAnsi="Arial"/>
                <w:sz w:val="14"/>
                <w:szCs w:val="14"/>
                <w:color w:val="41516E"/>
              </w:rPr>
              <w:t>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349"/>
              <w:spacing w:after="0"/>
              <w:rPr>
                <w:sz w:val="20"/>
                <w:szCs w:val="20"/>
                <w:color w:val="auto"/>
              </w:rPr>
            </w:pPr>
            <w:r>
              <w:rPr>
                <w:rFonts w:ascii="Arial" w:cs="Arial" w:eastAsia="Arial" w:hAnsi="Arial"/>
                <w:sz w:val="14"/>
                <w:szCs w:val="14"/>
                <w:color w:val="41516E"/>
              </w:rPr>
              <w:t>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41516E"/>
              </w:rPr>
              <w:t>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370"/>
              <w:spacing w:after="0"/>
              <w:rPr>
                <w:sz w:val="20"/>
                <w:szCs w:val="20"/>
                <w:color w:val="auto"/>
              </w:rPr>
            </w:pPr>
            <w:r>
              <w:rPr>
                <w:rFonts w:ascii="Arial" w:cs="Arial" w:eastAsia="Arial" w:hAnsi="Arial"/>
                <w:sz w:val="14"/>
                <w:szCs w:val="14"/>
                <w:color w:val="41516E"/>
              </w:rPr>
              <w:t>0</w:t>
            </w:r>
          </w:p>
        </w:tc>
        <w:tc>
          <w:tcPr>
            <w:tcW w:w="380" w:type="dxa"/>
            <w:vAlign w:val="bottom"/>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Pr>
          <w:p>
            <w:pPr>
              <w:jc w:val="right"/>
              <w:ind w:right="368"/>
              <w:spacing w:after="0"/>
              <w:rPr>
                <w:sz w:val="20"/>
                <w:szCs w:val="20"/>
                <w:color w:val="auto"/>
              </w:rPr>
            </w:pPr>
            <w:r>
              <w:rPr>
                <w:rFonts w:ascii="Arial" w:cs="Arial" w:eastAsia="Arial" w:hAnsi="Arial"/>
                <w:sz w:val="14"/>
                <w:szCs w:val="14"/>
                <w:color w:val="41516E"/>
              </w:rPr>
              <w:t>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41516E"/>
              </w:rPr>
              <w:t>0</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41516E"/>
            </w:tcBorders>
          </w:tcPr>
          <w:p>
            <w:pPr>
              <w:spacing w:after="0"/>
              <w:rPr>
                <w:sz w:val="15"/>
                <w:szCs w:val="15"/>
                <w:color w:val="auto"/>
              </w:rPr>
            </w:pPr>
          </w:p>
        </w:tc>
        <w:tc>
          <w:tcPr>
            <w:tcW w:w="780" w:type="dxa"/>
            <w:vAlign w:val="bottom"/>
            <w:tcBorders>
              <w:bottom w:val="single" w:sz="8" w:color="41516E"/>
            </w:tcBorders>
            <w:shd w:val="clear" w:color="auto" w:fill="EFF0F1"/>
          </w:tcPr>
          <w:p>
            <w:pPr>
              <w:jc w:val="right"/>
              <w:ind w:right="48"/>
              <w:spacing w:after="0"/>
              <w:rPr>
                <w:sz w:val="20"/>
                <w:szCs w:val="20"/>
                <w:color w:val="auto"/>
              </w:rPr>
            </w:pPr>
            <w:r>
              <w:rPr>
                <w:rFonts w:ascii="Arial" w:cs="Arial" w:eastAsia="Arial" w:hAnsi="Arial"/>
                <w:sz w:val="14"/>
                <w:szCs w:val="14"/>
                <w:color w:val="41516E"/>
              </w:rPr>
              <w:t>2021</w:t>
            </w:r>
          </w:p>
        </w:tc>
        <w:tc>
          <w:tcPr>
            <w:tcW w:w="22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shd w:val="clear" w:color="auto" w:fill="EFF0F1"/>
          </w:tcPr>
          <w:p>
            <w:pPr>
              <w:jc w:val="right"/>
              <w:ind w:right="208"/>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shd w:val="clear" w:color="auto" w:fill="EFF0F1"/>
          </w:tcPr>
          <w:p>
            <w:pPr>
              <w:jc w:val="right"/>
              <w:ind w:right="349"/>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940" w:type="dxa"/>
            <w:vAlign w:val="bottom"/>
            <w:tcBorders>
              <w:bottom w:val="single" w:sz="8" w:color="41516E"/>
            </w:tcBorders>
            <w:shd w:val="clear" w:color="auto" w:fill="EFF0F1"/>
          </w:tcPr>
          <w:p>
            <w:pPr>
              <w:jc w:val="right"/>
              <w:ind w:right="208"/>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shd w:val="clear" w:color="auto" w:fill="EFF0F1"/>
          </w:tcPr>
          <w:p>
            <w:pPr>
              <w:jc w:val="right"/>
              <w:ind w:right="370"/>
              <w:spacing w:after="0"/>
              <w:rPr>
                <w:sz w:val="20"/>
                <w:szCs w:val="20"/>
                <w:color w:val="auto"/>
              </w:rPr>
            </w:pPr>
            <w:r>
              <w:rPr>
                <w:rFonts w:ascii="Arial" w:cs="Arial" w:eastAsia="Arial" w:hAnsi="Arial"/>
                <w:sz w:val="14"/>
                <w:szCs w:val="14"/>
                <w:color w:val="41516E"/>
              </w:rPr>
              <w:t>0</w:t>
            </w:r>
          </w:p>
        </w:tc>
        <w:tc>
          <w:tcPr>
            <w:tcW w:w="380" w:type="dxa"/>
            <w:vAlign w:val="bottom"/>
            <w:tcBorders>
              <w:bottom w:val="single" w:sz="8" w:color="41516E"/>
            </w:tcBorders>
            <w:shd w:val="clear" w:color="auto" w:fill="EFF0F1"/>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Borders>
              <w:bottom w:val="single" w:sz="8" w:color="41516E"/>
            </w:tcBorders>
            <w:shd w:val="clear" w:color="auto" w:fill="EFF0F1"/>
          </w:tcPr>
          <w:p>
            <w:pPr>
              <w:jc w:val="right"/>
              <w:ind w:right="368"/>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shd w:val="clear" w:color="auto" w:fill="EFF0F1"/>
          </w:tcPr>
          <w:p>
            <w:pPr>
              <w:jc w:val="right"/>
              <w:ind w:right="28"/>
              <w:spacing w:after="0"/>
              <w:rPr>
                <w:sz w:val="20"/>
                <w:szCs w:val="20"/>
                <w:color w:val="auto"/>
              </w:rPr>
            </w:pPr>
            <w:r>
              <w:rPr>
                <w:rFonts w:ascii="Arial" w:cs="Arial" w:eastAsia="Arial" w:hAnsi="Arial"/>
                <w:sz w:val="14"/>
                <w:szCs w:val="14"/>
                <w:color w:val="41516E"/>
              </w:rPr>
              <w:t>0</w:t>
            </w:r>
          </w:p>
        </w:tc>
        <w:tc>
          <w:tcPr>
            <w:tcW w:w="0" w:type="dxa"/>
            <w:vAlign w:val="bottom"/>
          </w:tcPr>
          <w:p>
            <w:pPr>
              <w:spacing w:after="0"/>
              <w:rPr>
                <w:sz w:val="1"/>
                <w:szCs w:val="1"/>
                <w:color w:val="auto"/>
              </w:rPr>
            </w:pPr>
          </w:p>
        </w:tc>
      </w:tr>
      <w:tr>
        <w:trPr>
          <w:trHeight w:val="196"/>
        </w:trPr>
        <w:tc>
          <w:tcPr>
            <w:tcW w:w="2920" w:type="dxa"/>
            <w:vAlign w:val="bottom"/>
          </w:tcPr>
          <w:p>
            <w:pPr>
              <w:ind w:left="60"/>
              <w:spacing w:after="0"/>
              <w:rPr>
                <w:sz w:val="20"/>
                <w:szCs w:val="20"/>
                <w:color w:val="auto"/>
              </w:rPr>
            </w:pPr>
            <w:r>
              <w:rPr>
                <w:rFonts w:ascii="Arial" w:cs="Arial" w:eastAsia="Arial" w:hAnsi="Arial"/>
                <w:sz w:val="14"/>
                <w:szCs w:val="14"/>
                <w:b w:val="1"/>
                <w:bCs w:val="1"/>
                <w:color w:val="41516E"/>
              </w:rPr>
              <w:t>Frank H. Smalla</w:t>
            </w:r>
          </w:p>
        </w:tc>
        <w:tc>
          <w:tcPr>
            <w:tcW w:w="780" w:type="dxa"/>
            <w:vAlign w:val="bottom"/>
          </w:tcPr>
          <w:p>
            <w:pPr>
              <w:jc w:val="right"/>
              <w:ind w:right="48"/>
              <w:spacing w:after="0"/>
              <w:rPr>
                <w:sz w:val="20"/>
                <w:szCs w:val="20"/>
                <w:color w:val="auto"/>
              </w:rPr>
            </w:pPr>
            <w:r>
              <w:rPr>
                <w:rFonts w:ascii="Arial" w:cs="Arial" w:eastAsia="Arial" w:hAnsi="Arial"/>
                <w:sz w:val="14"/>
                <w:szCs w:val="14"/>
                <w:color w:val="41516E"/>
              </w:rPr>
              <w:t>2023</w:t>
            </w:r>
          </w:p>
        </w:tc>
        <w:tc>
          <w:tcPr>
            <w:tcW w:w="22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08"/>
              <w:spacing w:after="0"/>
              <w:rPr>
                <w:sz w:val="20"/>
                <w:szCs w:val="20"/>
                <w:color w:val="auto"/>
              </w:rPr>
            </w:pPr>
            <w:r>
              <w:rPr>
                <w:rFonts w:ascii="Arial" w:cs="Arial" w:eastAsia="Arial" w:hAnsi="Arial"/>
                <w:sz w:val="14"/>
                <w:szCs w:val="14"/>
                <w:color w:val="41516E"/>
              </w:rPr>
              <w:t>184,969</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349"/>
              <w:spacing w:after="0"/>
              <w:rPr>
                <w:sz w:val="20"/>
                <w:szCs w:val="20"/>
                <w:color w:val="auto"/>
              </w:rPr>
            </w:pPr>
            <w:r>
              <w:rPr>
                <w:rFonts w:ascii="Arial" w:cs="Arial" w:eastAsia="Arial" w:hAnsi="Arial"/>
                <w:sz w:val="14"/>
                <w:szCs w:val="14"/>
                <w:color w:val="41516E"/>
              </w:rPr>
              <w:t>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41516E"/>
              </w:rPr>
              <w:t>500,271</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210"/>
              <w:spacing w:after="0" w:line="195" w:lineRule="exact"/>
              <w:rPr>
                <w:sz w:val="20"/>
                <w:szCs w:val="20"/>
                <w:color w:val="auto"/>
              </w:rPr>
            </w:pPr>
            <w:r>
              <w:rPr>
                <w:rFonts w:ascii="Arial" w:cs="Arial" w:eastAsia="Arial" w:hAnsi="Arial"/>
                <w:sz w:val="14"/>
                <w:szCs w:val="14"/>
                <w:color w:val="41516E"/>
              </w:rPr>
              <w:t>500,058</w:t>
            </w:r>
            <w:r>
              <w:rPr>
                <w:rFonts w:ascii="Arial" w:cs="Arial" w:eastAsia="Arial" w:hAnsi="Arial"/>
                <w:sz w:val="22"/>
                <w:szCs w:val="22"/>
                <w:color w:val="41516E"/>
                <w:vertAlign w:val="superscript"/>
              </w:rPr>
              <w:t>(5)</w:t>
            </w:r>
          </w:p>
        </w:tc>
        <w:tc>
          <w:tcPr>
            <w:tcW w:w="380" w:type="dxa"/>
            <w:vAlign w:val="bottom"/>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Pr>
          <w:p>
            <w:pPr>
              <w:jc w:val="right"/>
              <w:ind w:right="368"/>
              <w:spacing w:after="0"/>
              <w:rPr>
                <w:sz w:val="20"/>
                <w:szCs w:val="20"/>
                <w:color w:val="auto"/>
              </w:rPr>
            </w:pPr>
            <w:r>
              <w:rPr>
                <w:rFonts w:ascii="Arial" w:cs="Arial" w:eastAsia="Arial" w:hAnsi="Arial"/>
                <w:sz w:val="14"/>
                <w:szCs w:val="14"/>
                <w:color w:val="41516E"/>
              </w:rPr>
              <w:t>21,615</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41516E"/>
              </w:rPr>
              <w:t>1,206,913</w:t>
            </w:r>
          </w:p>
        </w:tc>
        <w:tc>
          <w:tcPr>
            <w:tcW w:w="0" w:type="dxa"/>
            <w:vAlign w:val="bottom"/>
          </w:tcPr>
          <w:p>
            <w:pPr>
              <w:spacing w:after="0"/>
              <w:rPr>
                <w:sz w:val="1"/>
                <w:szCs w:val="1"/>
                <w:color w:val="auto"/>
              </w:rPr>
            </w:pPr>
          </w:p>
        </w:tc>
      </w:tr>
      <w:tr>
        <w:trPr>
          <w:trHeight w:val="169"/>
        </w:trPr>
        <w:tc>
          <w:tcPr>
            <w:tcW w:w="2920" w:type="dxa"/>
            <w:vAlign w:val="bottom"/>
          </w:tcPr>
          <w:p>
            <w:pPr>
              <w:ind w:left="60"/>
              <w:spacing w:after="0"/>
              <w:rPr>
                <w:sz w:val="20"/>
                <w:szCs w:val="20"/>
                <w:color w:val="auto"/>
              </w:rPr>
            </w:pPr>
            <w:r>
              <w:rPr>
                <w:rFonts w:ascii="Arial" w:cs="Arial" w:eastAsia="Arial" w:hAnsi="Arial"/>
                <w:sz w:val="14"/>
                <w:szCs w:val="14"/>
                <w:color w:val="41516E"/>
              </w:rPr>
              <w:t>(Former) Treasurer &amp; Chief Financial</w:t>
            </w:r>
          </w:p>
        </w:tc>
        <w:tc>
          <w:tcPr>
            <w:tcW w:w="780" w:type="dxa"/>
            <w:vAlign w:val="bottom"/>
            <w:tcBorders>
              <w:bottom w:val="single" w:sz="8" w:color="EFF0F1"/>
            </w:tcBorders>
            <w:shd w:val="clear" w:color="auto" w:fill="EFF0F1"/>
          </w:tcPr>
          <w:p>
            <w:pPr>
              <w:jc w:val="right"/>
              <w:ind w:right="48"/>
              <w:spacing w:after="0"/>
              <w:rPr>
                <w:sz w:val="20"/>
                <w:szCs w:val="20"/>
                <w:color w:val="auto"/>
              </w:rPr>
            </w:pPr>
            <w:r>
              <w:rPr>
                <w:rFonts w:ascii="Arial" w:cs="Arial" w:eastAsia="Arial" w:hAnsi="Arial"/>
                <w:sz w:val="14"/>
                <w:szCs w:val="14"/>
                <w:color w:val="41516E"/>
              </w:rPr>
              <w:t>2022</w:t>
            </w:r>
          </w:p>
        </w:tc>
        <w:tc>
          <w:tcPr>
            <w:tcW w:w="220" w:type="dxa"/>
            <w:vAlign w:val="bottom"/>
            <w:tcBorders>
              <w:bottom w:val="single" w:sz="8" w:color="EFF0F1"/>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EFF0F1"/>
            </w:tcBorders>
            <w:shd w:val="clear" w:color="auto" w:fill="EFF0F1"/>
          </w:tcPr>
          <w:p>
            <w:pPr>
              <w:jc w:val="right"/>
              <w:ind w:right="208"/>
              <w:spacing w:after="0"/>
              <w:rPr>
                <w:sz w:val="20"/>
                <w:szCs w:val="20"/>
                <w:color w:val="auto"/>
              </w:rPr>
            </w:pPr>
            <w:r>
              <w:rPr>
                <w:rFonts w:ascii="Arial" w:cs="Arial" w:eastAsia="Arial" w:hAnsi="Arial"/>
                <w:sz w:val="14"/>
                <w:szCs w:val="14"/>
                <w:color w:val="41516E"/>
              </w:rPr>
              <w:t>592,640</w:t>
            </w:r>
          </w:p>
        </w:tc>
        <w:tc>
          <w:tcPr>
            <w:tcW w:w="240" w:type="dxa"/>
            <w:vAlign w:val="bottom"/>
            <w:tcBorders>
              <w:bottom w:val="single" w:sz="8" w:color="EFF0F1"/>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EFF0F1"/>
            </w:tcBorders>
            <w:shd w:val="clear" w:color="auto" w:fill="EFF0F1"/>
          </w:tcPr>
          <w:p>
            <w:pPr>
              <w:jc w:val="right"/>
              <w:ind w:right="349"/>
              <w:spacing w:after="0"/>
              <w:rPr>
                <w:sz w:val="20"/>
                <w:szCs w:val="20"/>
                <w:color w:val="auto"/>
              </w:rPr>
            </w:pPr>
            <w:r>
              <w:rPr>
                <w:rFonts w:ascii="Arial" w:cs="Arial" w:eastAsia="Arial" w:hAnsi="Arial"/>
                <w:sz w:val="14"/>
                <w:szCs w:val="14"/>
                <w:color w:val="41516E"/>
              </w:rPr>
              <w:t>142,250</w:t>
            </w:r>
          </w:p>
        </w:tc>
        <w:tc>
          <w:tcPr>
            <w:tcW w:w="240" w:type="dxa"/>
            <w:vAlign w:val="bottom"/>
            <w:tcBorders>
              <w:bottom w:val="single" w:sz="8" w:color="EFF0F1"/>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940" w:type="dxa"/>
            <w:vAlign w:val="bottom"/>
            <w:tcBorders>
              <w:bottom w:val="single" w:sz="8" w:color="EFF0F1"/>
            </w:tcBorders>
            <w:shd w:val="clear" w:color="auto" w:fill="EFF0F1"/>
          </w:tcPr>
          <w:p>
            <w:pPr>
              <w:jc w:val="right"/>
              <w:ind w:right="208"/>
              <w:spacing w:after="0"/>
              <w:rPr>
                <w:sz w:val="20"/>
                <w:szCs w:val="20"/>
                <w:color w:val="auto"/>
              </w:rPr>
            </w:pPr>
            <w:r>
              <w:rPr>
                <w:rFonts w:ascii="Arial" w:cs="Arial" w:eastAsia="Arial" w:hAnsi="Arial"/>
                <w:sz w:val="14"/>
                <w:szCs w:val="14"/>
                <w:color w:val="41516E"/>
              </w:rPr>
              <w:t>289,896</w:t>
            </w:r>
          </w:p>
        </w:tc>
        <w:tc>
          <w:tcPr>
            <w:tcW w:w="240" w:type="dxa"/>
            <w:vAlign w:val="bottom"/>
            <w:tcBorders>
              <w:bottom w:val="single" w:sz="8" w:color="EFF0F1"/>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EFF0F1"/>
            </w:tcBorders>
            <w:shd w:val="clear" w:color="auto" w:fill="EFF0F1"/>
          </w:tcPr>
          <w:p>
            <w:pPr>
              <w:jc w:val="right"/>
              <w:ind w:right="210"/>
              <w:spacing w:after="0" w:line="162" w:lineRule="exact"/>
              <w:rPr>
                <w:sz w:val="20"/>
                <w:szCs w:val="20"/>
                <w:color w:val="auto"/>
              </w:rPr>
            </w:pPr>
            <w:r>
              <w:rPr>
                <w:rFonts w:ascii="Arial" w:cs="Arial" w:eastAsia="Arial" w:hAnsi="Arial"/>
                <w:sz w:val="12"/>
                <w:szCs w:val="12"/>
                <w:color w:val="41516E"/>
              </w:rPr>
              <w:t>289,764</w:t>
            </w:r>
            <w:r>
              <w:rPr>
                <w:rFonts w:ascii="Arial" w:cs="Arial" w:eastAsia="Arial" w:hAnsi="Arial"/>
                <w:sz w:val="18"/>
                <w:szCs w:val="18"/>
                <w:color w:val="41516E"/>
                <w:vertAlign w:val="superscript"/>
              </w:rPr>
              <w:t>(6)</w:t>
            </w:r>
          </w:p>
        </w:tc>
        <w:tc>
          <w:tcPr>
            <w:tcW w:w="380" w:type="dxa"/>
            <w:vAlign w:val="bottom"/>
            <w:tcBorders>
              <w:bottom w:val="single" w:sz="8" w:color="EFF0F1"/>
            </w:tcBorders>
            <w:shd w:val="clear" w:color="auto" w:fill="EFF0F1"/>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Borders>
              <w:bottom w:val="single" w:sz="8" w:color="EFF0F1"/>
            </w:tcBorders>
            <w:shd w:val="clear" w:color="auto" w:fill="EFF0F1"/>
          </w:tcPr>
          <w:p>
            <w:pPr>
              <w:jc w:val="right"/>
              <w:ind w:right="368"/>
              <w:spacing w:after="0"/>
              <w:rPr>
                <w:sz w:val="20"/>
                <w:szCs w:val="20"/>
                <w:color w:val="auto"/>
              </w:rPr>
            </w:pPr>
            <w:r>
              <w:rPr>
                <w:rFonts w:ascii="Arial" w:cs="Arial" w:eastAsia="Arial" w:hAnsi="Arial"/>
                <w:sz w:val="14"/>
                <w:szCs w:val="14"/>
                <w:color w:val="41516E"/>
              </w:rPr>
              <w:t>33,827</w:t>
            </w:r>
          </w:p>
        </w:tc>
        <w:tc>
          <w:tcPr>
            <w:tcW w:w="240" w:type="dxa"/>
            <w:vAlign w:val="bottom"/>
            <w:tcBorders>
              <w:bottom w:val="single" w:sz="8" w:color="EFF0F1"/>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EFF0F1"/>
            </w:tcBorders>
            <w:shd w:val="clear" w:color="auto" w:fill="EFF0F1"/>
          </w:tcPr>
          <w:p>
            <w:pPr>
              <w:jc w:val="right"/>
              <w:ind w:right="28"/>
              <w:spacing w:after="0"/>
              <w:rPr>
                <w:sz w:val="20"/>
                <w:szCs w:val="20"/>
                <w:color w:val="auto"/>
              </w:rPr>
            </w:pPr>
            <w:r>
              <w:rPr>
                <w:rFonts w:ascii="Arial" w:cs="Arial" w:eastAsia="Arial" w:hAnsi="Arial"/>
                <w:sz w:val="14"/>
                <w:szCs w:val="14"/>
                <w:color w:val="41516E"/>
              </w:rPr>
              <w:t>1,348,377</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41516E"/>
            </w:tcBorders>
          </w:tcPr>
          <w:p>
            <w:pPr>
              <w:ind w:left="60"/>
              <w:spacing w:after="0"/>
              <w:rPr>
                <w:sz w:val="20"/>
                <w:szCs w:val="20"/>
                <w:color w:val="auto"/>
              </w:rPr>
            </w:pPr>
            <w:r>
              <w:rPr>
                <w:rFonts w:ascii="Arial" w:cs="Arial" w:eastAsia="Arial" w:hAnsi="Arial"/>
                <w:sz w:val="14"/>
                <w:szCs w:val="14"/>
                <w:color w:val="41516E"/>
              </w:rPr>
              <w:t>Officer</w:t>
            </w:r>
          </w:p>
        </w:tc>
        <w:tc>
          <w:tcPr>
            <w:tcW w:w="780" w:type="dxa"/>
            <w:vAlign w:val="bottom"/>
            <w:tcBorders>
              <w:bottom w:val="single" w:sz="8" w:color="41516E"/>
            </w:tcBorders>
          </w:tcPr>
          <w:p>
            <w:pPr>
              <w:jc w:val="right"/>
              <w:ind w:right="48"/>
              <w:spacing w:after="0"/>
              <w:rPr>
                <w:sz w:val="20"/>
                <w:szCs w:val="20"/>
                <w:color w:val="auto"/>
              </w:rPr>
            </w:pPr>
            <w:r>
              <w:rPr>
                <w:rFonts w:ascii="Arial" w:cs="Arial" w:eastAsia="Arial" w:hAnsi="Arial"/>
                <w:sz w:val="14"/>
                <w:szCs w:val="14"/>
                <w:color w:val="41516E"/>
              </w:rPr>
              <w:t>2021</w:t>
            </w:r>
          </w:p>
        </w:tc>
        <w:tc>
          <w:tcPr>
            <w:tcW w:w="22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color w:val="41516E"/>
              </w:rPr>
              <w:t>575,378</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tcPr>
          <w:p>
            <w:pPr>
              <w:jc w:val="right"/>
              <w:ind w:right="349"/>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94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color w:val="41516E"/>
              </w:rPr>
              <w:t>281,867</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tcPr>
          <w:p>
            <w:pPr>
              <w:jc w:val="right"/>
              <w:ind w:right="210"/>
              <w:spacing w:after="0" w:line="230" w:lineRule="exact"/>
              <w:rPr>
                <w:sz w:val="20"/>
                <w:szCs w:val="20"/>
                <w:color w:val="auto"/>
              </w:rPr>
            </w:pPr>
            <w:r>
              <w:rPr>
                <w:rFonts w:ascii="Arial" w:cs="Arial" w:eastAsia="Arial" w:hAnsi="Arial"/>
                <w:sz w:val="14"/>
                <w:szCs w:val="14"/>
                <w:color w:val="41516E"/>
              </w:rPr>
              <w:t>281,203</w:t>
            </w:r>
            <w:r>
              <w:rPr>
                <w:rFonts w:ascii="Arial" w:cs="Arial" w:eastAsia="Arial" w:hAnsi="Arial"/>
                <w:sz w:val="23"/>
                <w:szCs w:val="23"/>
                <w:color w:val="41516E"/>
                <w:vertAlign w:val="superscript"/>
              </w:rPr>
              <w:t>(8)</w:t>
            </w:r>
          </w:p>
        </w:tc>
        <w:tc>
          <w:tcPr>
            <w:tcW w:w="380" w:type="dxa"/>
            <w:vAlign w:val="bottom"/>
            <w:tcBorders>
              <w:bottom w:val="single" w:sz="8" w:color="41516E"/>
            </w:tcBorders>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Borders>
              <w:bottom w:val="single" w:sz="8" w:color="41516E"/>
            </w:tcBorders>
          </w:tcPr>
          <w:p>
            <w:pPr>
              <w:jc w:val="right"/>
              <w:ind w:right="368"/>
              <w:spacing w:after="0"/>
              <w:rPr>
                <w:sz w:val="20"/>
                <w:szCs w:val="20"/>
                <w:color w:val="auto"/>
              </w:rPr>
            </w:pPr>
            <w:r>
              <w:rPr>
                <w:rFonts w:ascii="Arial" w:cs="Arial" w:eastAsia="Arial" w:hAnsi="Arial"/>
                <w:sz w:val="14"/>
                <w:szCs w:val="14"/>
                <w:color w:val="41516E"/>
              </w:rPr>
              <w:t>13,898</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color w:val="41516E"/>
              </w:rPr>
              <w:t>1,152,346</w:t>
            </w:r>
          </w:p>
        </w:tc>
        <w:tc>
          <w:tcPr>
            <w:tcW w:w="0" w:type="dxa"/>
            <w:vAlign w:val="bottom"/>
          </w:tcPr>
          <w:p>
            <w:pPr>
              <w:spacing w:after="0"/>
              <w:rPr>
                <w:sz w:val="1"/>
                <w:szCs w:val="1"/>
                <w:color w:val="auto"/>
              </w:rPr>
            </w:pPr>
          </w:p>
        </w:tc>
      </w:tr>
      <w:tr>
        <w:trPr>
          <w:trHeight w:val="183"/>
        </w:trPr>
        <w:tc>
          <w:tcPr>
            <w:tcW w:w="2920" w:type="dxa"/>
            <w:vAlign w:val="bottom"/>
          </w:tcPr>
          <w:p>
            <w:pPr>
              <w:ind w:left="60"/>
              <w:spacing w:after="0"/>
              <w:rPr>
                <w:sz w:val="20"/>
                <w:szCs w:val="20"/>
                <w:color w:val="auto"/>
              </w:rPr>
            </w:pPr>
            <w:r>
              <w:rPr>
                <w:rFonts w:ascii="Arial" w:cs="Arial" w:eastAsia="Arial" w:hAnsi="Arial"/>
                <w:sz w:val="14"/>
                <w:szCs w:val="14"/>
                <w:b w:val="1"/>
                <w:bCs w:val="1"/>
                <w:color w:val="41516E"/>
              </w:rPr>
              <w:t>Matthew D. Murphy</w:t>
            </w:r>
          </w:p>
        </w:tc>
        <w:tc>
          <w:tcPr>
            <w:tcW w:w="780" w:type="dxa"/>
            <w:vAlign w:val="bottom"/>
            <w:shd w:val="clear" w:color="auto" w:fill="EFF0F1"/>
          </w:tcPr>
          <w:p>
            <w:pPr>
              <w:jc w:val="right"/>
              <w:ind w:right="48"/>
              <w:spacing w:after="0"/>
              <w:rPr>
                <w:sz w:val="20"/>
                <w:szCs w:val="20"/>
                <w:color w:val="auto"/>
              </w:rPr>
            </w:pPr>
            <w:r>
              <w:rPr>
                <w:rFonts w:ascii="Arial" w:cs="Arial" w:eastAsia="Arial" w:hAnsi="Arial"/>
                <w:sz w:val="14"/>
                <w:szCs w:val="14"/>
                <w:color w:val="41516E"/>
              </w:rPr>
              <w:t>2023</w:t>
            </w:r>
          </w:p>
        </w:tc>
        <w:tc>
          <w:tcPr>
            <w:tcW w:w="22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08"/>
              <w:spacing w:after="0"/>
              <w:rPr>
                <w:sz w:val="20"/>
                <w:szCs w:val="20"/>
                <w:color w:val="auto"/>
              </w:rPr>
            </w:pPr>
            <w:r>
              <w:rPr>
                <w:rFonts w:ascii="Arial" w:cs="Arial" w:eastAsia="Arial" w:hAnsi="Arial"/>
                <w:sz w:val="14"/>
                <w:szCs w:val="14"/>
                <w:color w:val="41516E"/>
              </w:rPr>
              <w:t>379,698</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349"/>
              <w:spacing w:after="0"/>
              <w:rPr>
                <w:sz w:val="20"/>
                <w:szCs w:val="20"/>
                <w:color w:val="auto"/>
              </w:rPr>
            </w:pPr>
            <w:r>
              <w:rPr>
                <w:rFonts w:ascii="Arial" w:cs="Arial" w:eastAsia="Arial" w:hAnsi="Arial"/>
                <w:sz w:val="14"/>
                <w:szCs w:val="14"/>
                <w:color w:val="41516E"/>
              </w:rPr>
              <w:t>189,850</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940" w:type="dxa"/>
            <w:vAlign w:val="bottom"/>
            <w:shd w:val="clear" w:color="auto" w:fill="EFF0F1"/>
          </w:tcPr>
          <w:p>
            <w:pPr>
              <w:jc w:val="right"/>
              <w:ind w:right="208"/>
              <w:spacing w:after="0"/>
              <w:rPr>
                <w:sz w:val="20"/>
                <w:szCs w:val="20"/>
                <w:color w:val="auto"/>
              </w:rPr>
            </w:pPr>
            <w:r>
              <w:rPr>
                <w:rFonts w:ascii="Arial" w:cs="Arial" w:eastAsia="Arial" w:hAnsi="Arial"/>
                <w:sz w:val="14"/>
                <w:szCs w:val="14"/>
                <w:color w:val="41516E"/>
              </w:rPr>
              <w:t>125,311</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70"/>
              <w:spacing w:after="0" w:line="183" w:lineRule="exact"/>
              <w:rPr>
                <w:sz w:val="20"/>
                <w:szCs w:val="20"/>
                <w:color w:val="auto"/>
              </w:rPr>
            </w:pPr>
            <w:r>
              <w:rPr>
                <w:rFonts w:ascii="Arial" w:cs="Arial" w:eastAsia="Arial" w:hAnsi="Arial"/>
                <w:sz w:val="13"/>
                <w:szCs w:val="13"/>
                <w:color w:val="41516E"/>
              </w:rPr>
              <w:t>725,104</w:t>
            </w:r>
            <w:r>
              <w:rPr>
                <w:rFonts w:ascii="Arial" w:cs="Arial" w:eastAsia="Arial" w:hAnsi="Arial"/>
                <w:sz w:val="21"/>
                <w:szCs w:val="21"/>
                <w:color w:val="41516E"/>
                <w:vertAlign w:val="superscript"/>
              </w:rPr>
              <w:t>(5)(7)</w:t>
            </w:r>
          </w:p>
        </w:tc>
        <w:tc>
          <w:tcPr>
            <w:tcW w:w="380" w:type="dxa"/>
            <w:vAlign w:val="bottom"/>
            <w:shd w:val="clear" w:color="auto" w:fill="EFF0F1"/>
          </w:tcPr>
          <w:p>
            <w:pPr>
              <w:ind w:left="140"/>
              <w:spacing w:after="0"/>
              <w:rPr>
                <w:sz w:val="20"/>
                <w:szCs w:val="20"/>
                <w:color w:val="auto"/>
              </w:rPr>
            </w:pPr>
            <w:r>
              <w:rPr>
                <w:rFonts w:ascii="Arial" w:cs="Arial" w:eastAsia="Arial" w:hAnsi="Arial"/>
                <w:sz w:val="14"/>
                <w:szCs w:val="14"/>
                <w:color w:val="41516E"/>
              </w:rPr>
              <w:t>$</w:t>
            </w:r>
          </w:p>
        </w:tc>
        <w:tc>
          <w:tcPr>
            <w:tcW w:w="1200" w:type="dxa"/>
            <w:vAlign w:val="bottom"/>
            <w:shd w:val="clear" w:color="auto" w:fill="EFF0F1"/>
          </w:tcPr>
          <w:p>
            <w:pPr>
              <w:jc w:val="right"/>
              <w:ind w:right="368"/>
              <w:spacing w:after="0"/>
              <w:rPr>
                <w:sz w:val="20"/>
                <w:szCs w:val="20"/>
                <w:color w:val="auto"/>
              </w:rPr>
            </w:pPr>
            <w:r>
              <w:rPr>
                <w:rFonts w:ascii="Arial" w:cs="Arial" w:eastAsia="Arial" w:hAnsi="Arial"/>
                <w:sz w:val="14"/>
                <w:szCs w:val="14"/>
                <w:color w:val="41516E"/>
              </w:rPr>
              <w:t>31,419</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1,451,382</w:t>
            </w:r>
          </w:p>
        </w:tc>
        <w:tc>
          <w:tcPr>
            <w:tcW w:w="0" w:type="dxa"/>
            <w:vAlign w:val="bottom"/>
          </w:tcPr>
          <w:p>
            <w:pPr>
              <w:spacing w:after="0"/>
              <w:rPr>
                <w:sz w:val="1"/>
                <w:szCs w:val="1"/>
                <w:color w:val="auto"/>
              </w:rPr>
            </w:pPr>
          </w:p>
        </w:tc>
      </w:tr>
      <w:tr>
        <w:trPr>
          <w:trHeight w:val="162"/>
        </w:trPr>
        <w:tc>
          <w:tcPr>
            <w:tcW w:w="2920" w:type="dxa"/>
            <w:vAlign w:val="bottom"/>
          </w:tcPr>
          <w:p>
            <w:pPr>
              <w:ind w:left="60"/>
              <w:spacing w:after="0"/>
              <w:rPr>
                <w:sz w:val="20"/>
                <w:szCs w:val="20"/>
                <w:color w:val="auto"/>
              </w:rPr>
            </w:pPr>
            <w:r>
              <w:rPr>
                <w:rFonts w:ascii="Arial" w:cs="Arial" w:eastAsia="Arial" w:hAnsi="Arial"/>
                <w:sz w:val="14"/>
                <w:szCs w:val="14"/>
                <w:color w:val="41516E"/>
              </w:rPr>
              <w:t>Vice President, Finance &amp; Chief</w:t>
            </w:r>
          </w:p>
        </w:tc>
        <w:tc>
          <w:tcPr>
            <w:tcW w:w="780" w:type="dxa"/>
            <w:vAlign w:val="bottom"/>
          </w:tcPr>
          <w:p>
            <w:pPr>
              <w:jc w:val="right"/>
              <w:ind w:right="48"/>
              <w:spacing w:after="0"/>
              <w:rPr>
                <w:sz w:val="20"/>
                <w:szCs w:val="20"/>
                <w:color w:val="auto"/>
              </w:rPr>
            </w:pPr>
            <w:r>
              <w:rPr>
                <w:rFonts w:ascii="Arial" w:cs="Arial" w:eastAsia="Arial" w:hAnsi="Arial"/>
                <w:sz w:val="14"/>
                <w:szCs w:val="14"/>
                <w:color w:val="41516E"/>
              </w:rPr>
              <w:t>2022</w:t>
            </w:r>
          </w:p>
        </w:tc>
        <w:tc>
          <w:tcPr>
            <w:tcW w:w="22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08"/>
              <w:spacing w:after="0"/>
              <w:rPr>
                <w:sz w:val="20"/>
                <w:szCs w:val="20"/>
                <w:color w:val="auto"/>
              </w:rPr>
            </w:pPr>
            <w:r>
              <w:rPr>
                <w:rFonts w:ascii="Arial" w:cs="Arial" w:eastAsia="Arial" w:hAnsi="Arial"/>
                <w:sz w:val="14"/>
                <w:szCs w:val="14"/>
                <w:color w:val="41516E"/>
              </w:rPr>
              <w:t>366,344</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349"/>
              <w:spacing w:after="0"/>
              <w:rPr>
                <w:sz w:val="20"/>
                <w:szCs w:val="20"/>
                <w:color w:val="auto"/>
              </w:rPr>
            </w:pPr>
            <w:r>
              <w:rPr>
                <w:rFonts w:ascii="Arial" w:cs="Arial" w:eastAsia="Arial" w:hAnsi="Arial"/>
                <w:sz w:val="14"/>
                <w:szCs w:val="14"/>
                <w:color w:val="41516E"/>
              </w:rPr>
              <w:t>66,000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41516E"/>
              </w:rPr>
              <w:t>300,249</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370"/>
              <w:spacing w:after="0"/>
              <w:rPr>
                <w:sz w:val="20"/>
                <w:szCs w:val="20"/>
                <w:color w:val="auto"/>
              </w:rPr>
            </w:pPr>
            <w:r>
              <w:rPr>
                <w:rFonts w:ascii="Arial" w:cs="Arial" w:eastAsia="Arial" w:hAnsi="Arial"/>
                <w:sz w:val="14"/>
                <w:szCs w:val="14"/>
                <w:color w:val="41516E"/>
              </w:rPr>
              <w:t>0</w:t>
            </w:r>
          </w:p>
        </w:tc>
        <w:tc>
          <w:tcPr>
            <w:tcW w:w="380" w:type="dxa"/>
            <w:vAlign w:val="bottom"/>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Pr>
          <w:p>
            <w:pPr>
              <w:jc w:val="right"/>
              <w:ind w:right="368"/>
              <w:spacing w:after="0"/>
              <w:rPr>
                <w:sz w:val="20"/>
                <w:szCs w:val="20"/>
                <w:color w:val="auto"/>
              </w:rPr>
            </w:pPr>
            <w:r>
              <w:rPr>
                <w:rFonts w:ascii="Arial" w:cs="Arial" w:eastAsia="Arial" w:hAnsi="Arial"/>
                <w:sz w:val="14"/>
                <w:szCs w:val="14"/>
                <w:color w:val="41516E"/>
              </w:rPr>
              <w:t>28,153</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41516E"/>
              </w:rPr>
              <w:t>760,746</w:t>
            </w:r>
          </w:p>
        </w:tc>
        <w:tc>
          <w:tcPr>
            <w:tcW w:w="0" w:type="dxa"/>
            <w:vAlign w:val="bottom"/>
          </w:tcPr>
          <w:p>
            <w:pPr>
              <w:spacing w:after="0"/>
              <w:rPr>
                <w:sz w:val="1"/>
                <w:szCs w:val="1"/>
                <w:color w:val="auto"/>
              </w:rPr>
            </w:pPr>
          </w:p>
        </w:tc>
      </w:tr>
      <w:tr>
        <w:trPr>
          <w:trHeight w:val="175"/>
        </w:trPr>
        <w:tc>
          <w:tcPr>
            <w:tcW w:w="2920" w:type="dxa"/>
            <w:vAlign w:val="bottom"/>
            <w:tcBorders>
              <w:bottom w:val="single" w:sz="8" w:color="41516E"/>
            </w:tcBorders>
          </w:tcPr>
          <w:p>
            <w:pPr>
              <w:ind w:left="60"/>
              <w:spacing w:after="0"/>
              <w:rPr>
                <w:sz w:val="20"/>
                <w:szCs w:val="20"/>
                <w:color w:val="auto"/>
              </w:rPr>
            </w:pPr>
            <w:r>
              <w:rPr>
                <w:rFonts w:ascii="Arial" w:cs="Arial" w:eastAsia="Arial" w:hAnsi="Arial"/>
                <w:sz w:val="14"/>
                <w:szCs w:val="14"/>
                <w:color w:val="41516E"/>
              </w:rPr>
              <w:t>Accounting Officer</w:t>
            </w:r>
          </w:p>
        </w:tc>
        <w:tc>
          <w:tcPr>
            <w:tcW w:w="780" w:type="dxa"/>
            <w:vAlign w:val="bottom"/>
            <w:tcBorders>
              <w:bottom w:val="single" w:sz="8" w:color="41516E"/>
            </w:tcBorders>
            <w:shd w:val="clear" w:color="auto" w:fill="EFF0F1"/>
          </w:tcPr>
          <w:p>
            <w:pPr>
              <w:jc w:val="right"/>
              <w:ind w:right="48"/>
              <w:spacing w:after="0"/>
              <w:rPr>
                <w:sz w:val="20"/>
                <w:szCs w:val="20"/>
                <w:color w:val="auto"/>
              </w:rPr>
            </w:pPr>
            <w:r>
              <w:rPr>
                <w:rFonts w:ascii="Arial" w:cs="Arial" w:eastAsia="Arial" w:hAnsi="Arial"/>
                <w:sz w:val="14"/>
                <w:szCs w:val="14"/>
                <w:color w:val="41516E"/>
              </w:rPr>
              <w:t>2021</w:t>
            </w:r>
          </w:p>
        </w:tc>
        <w:tc>
          <w:tcPr>
            <w:tcW w:w="22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shd w:val="clear" w:color="auto" w:fill="EFF0F1"/>
          </w:tcPr>
          <w:p>
            <w:pPr>
              <w:jc w:val="right"/>
              <w:ind w:right="208"/>
              <w:spacing w:after="0"/>
              <w:rPr>
                <w:sz w:val="20"/>
                <w:szCs w:val="20"/>
                <w:color w:val="auto"/>
              </w:rPr>
            </w:pPr>
            <w:r>
              <w:rPr>
                <w:rFonts w:ascii="Arial" w:cs="Arial" w:eastAsia="Arial" w:hAnsi="Arial"/>
                <w:sz w:val="14"/>
                <w:szCs w:val="14"/>
                <w:color w:val="41516E"/>
              </w:rPr>
              <w:t>355,674</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shd w:val="clear" w:color="auto" w:fill="EFF0F1"/>
          </w:tcPr>
          <w:p>
            <w:pPr>
              <w:jc w:val="right"/>
              <w:ind w:right="349"/>
              <w:spacing w:after="0"/>
              <w:rPr>
                <w:sz w:val="20"/>
                <w:szCs w:val="20"/>
                <w:color w:val="auto"/>
              </w:rPr>
            </w:pPr>
            <w:r>
              <w:rPr>
                <w:rFonts w:ascii="Arial" w:cs="Arial" w:eastAsia="Arial" w:hAnsi="Arial"/>
                <w:sz w:val="14"/>
                <w:szCs w:val="14"/>
                <w:color w:val="41516E"/>
              </w:rPr>
              <w:t>8,536</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940" w:type="dxa"/>
            <w:vAlign w:val="bottom"/>
            <w:tcBorders>
              <w:bottom w:val="single" w:sz="8" w:color="41516E"/>
            </w:tcBorders>
            <w:shd w:val="clear" w:color="auto" w:fill="EFF0F1"/>
          </w:tcPr>
          <w:p>
            <w:pPr>
              <w:jc w:val="right"/>
              <w:ind w:right="208"/>
              <w:spacing w:after="0"/>
              <w:rPr>
                <w:sz w:val="20"/>
                <w:szCs w:val="20"/>
                <w:color w:val="auto"/>
              </w:rPr>
            </w:pPr>
            <w:r>
              <w:rPr>
                <w:rFonts w:ascii="Arial" w:cs="Arial" w:eastAsia="Arial" w:hAnsi="Arial"/>
                <w:sz w:val="14"/>
                <w:szCs w:val="14"/>
                <w:color w:val="41516E"/>
              </w:rPr>
              <w:t>150,192</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shd w:val="clear" w:color="auto" w:fill="EFF0F1"/>
          </w:tcPr>
          <w:p>
            <w:pPr>
              <w:jc w:val="right"/>
              <w:ind w:right="370"/>
              <w:spacing w:after="0"/>
              <w:rPr>
                <w:sz w:val="20"/>
                <w:szCs w:val="20"/>
                <w:color w:val="auto"/>
              </w:rPr>
            </w:pPr>
            <w:r>
              <w:rPr>
                <w:rFonts w:ascii="Arial" w:cs="Arial" w:eastAsia="Arial" w:hAnsi="Arial"/>
                <w:sz w:val="14"/>
                <w:szCs w:val="14"/>
                <w:color w:val="41516E"/>
              </w:rPr>
              <w:t>0</w:t>
            </w:r>
          </w:p>
        </w:tc>
        <w:tc>
          <w:tcPr>
            <w:tcW w:w="380" w:type="dxa"/>
            <w:vAlign w:val="bottom"/>
            <w:tcBorders>
              <w:bottom w:val="single" w:sz="8" w:color="41516E"/>
            </w:tcBorders>
            <w:shd w:val="clear" w:color="auto" w:fill="EFF0F1"/>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Borders>
              <w:bottom w:val="single" w:sz="8" w:color="41516E"/>
            </w:tcBorders>
            <w:shd w:val="clear" w:color="auto" w:fill="EFF0F1"/>
          </w:tcPr>
          <w:p>
            <w:pPr>
              <w:jc w:val="right"/>
              <w:ind w:right="368"/>
              <w:spacing w:after="0"/>
              <w:rPr>
                <w:sz w:val="20"/>
                <w:szCs w:val="20"/>
                <w:color w:val="auto"/>
              </w:rPr>
            </w:pPr>
            <w:r>
              <w:rPr>
                <w:rFonts w:ascii="Arial" w:cs="Arial" w:eastAsia="Arial" w:hAnsi="Arial"/>
                <w:sz w:val="14"/>
                <w:szCs w:val="14"/>
                <w:color w:val="41516E"/>
              </w:rPr>
              <w:t>25,565</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shd w:val="clear" w:color="auto" w:fill="EFF0F1"/>
          </w:tcPr>
          <w:p>
            <w:pPr>
              <w:jc w:val="right"/>
              <w:ind w:right="28"/>
              <w:spacing w:after="0"/>
              <w:rPr>
                <w:sz w:val="20"/>
                <w:szCs w:val="20"/>
                <w:color w:val="auto"/>
              </w:rPr>
            </w:pPr>
            <w:r>
              <w:rPr>
                <w:rFonts w:ascii="Arial" w:cs="Arial" w:eastAsia="Arial" w:hAnsi="Arial"/>
                <w:sz w:val="14"/>
                <w:szCs w:val="14"/>
                <w:color w:val="41516E"/>
              </w:rPr>
              <w:t>539,967</w:t>
            </w:r>
          </w:p>
        </w:tc>
        <w:tc>
          <w:tcPr>
            <w:tcW w:w="0" w:type="dxa"/>
            <w:vAlign w:val="bottom"/>
          </w:tcPr>
          <w:p>
            <w:pPr>
              <w:spacing w:after="0"/>
              <w:rPr>
                <w:sz w:val="1"/>
                <w:szCs w:val="1"/>
                <w:color w:val="auto"/>
              </w:rPr>
            </w:pPr>
          </w:p>
        </w:tc>
      </w:tr>
      <w:tr>
        <w:trPr>
          <w:trHeight w:val="196"/>
        </w:trPr>
        <w:tc>
          <w:tcPr>
            <w:tcW w:w="2920" w:type="dxa"/>
            <w:vAlign w:val="bottom"/>
          </w:tcPr>
          <w:p>
            <w:pPr>
              <w:ind w:left="60"/>
              <w:spacing w:after="0"/>
              <w:rPr>
                <w:sz w:val="20"/>
                <w:szCs w:val="20"/>
                <w:color w:val="auto"/>
              </w:rPr>
            </w:pPr>
            <w:r>
              <w:rPr>
                <w:rFonts w:ascii="Arial" w:cs="Arial" w:eastAsia="Arial" w:hAnsi="Arial"/>
                <w:sz w:val="14"/>
                <w:szCs w:val="14"/>
                <w:b w:val="1"/>
                <w:bCs w:val="1"/>
                <w:color w:val="41516E"/>
              </w:rPr>
              <w:t>Philip A. Hodges</w:t>
            </w:r>
          </w:p>
        </w:tc>
        <w:tc>
          <w:tcPr>
            <w:tcW w:w="780" w:type="dxa"/>
            <w:vAlign w:val="bottom"/>
          </w:tcPr>
          <w:p>
            <w:pPr>
              <w:jc w:val="right"/>
              <w:ind w:right="48"/>
              <w:spacing w:after="0"/>
              <w:rPr>
                <w:sz w:val="20"/>
                <w:szCs w:val="20"/>
                <w:color w:val="auto"/>
              </w:rPr>
            </w:pPr>
            <w:r>
              <w:rPr>
                <w:rFonts w:ascii="Arial" w:cs="Arial" w:eastAsia="Arial" w:hAnsi="Arial"/>
                <w:sz w:val="14"/>
                <w:szCs w:val="14"/>
                <w:color w:val="41516E"/>
              </w:rPr>
              <w:t>2023</w:t>
            </w:r>
          </w:p>
        </w:tc>
        <w:tc>
          <w:tcPr>
            <w:tcW w:w="22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08"/>
              <w:spacing w:after="0"/>
              <w:rPr>
                <w:sz w:val="20"/>
                <w:szCs w:val="20"/>
                <w:color w:val="auto"/>
              </w:rPr>
            </w:pPr>
            <w:r>
              <w:rPr>
                <w:rFonts w:ascii="Arial" w:cs="Arial" w:eastAsia="Arial" w:hAnsi="Arial"/>
                <w:sz w:val="14"/>
                <w:szCs w:val="14"/>
                <w:color w:val="41516E"/>
              </w:rPr>
              <w:t>376,096</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349"/>
              <w:spacing w:after="0"/>
              <w:rPr>
                <w:sz w:val="20"/>
                <w:szCs w:val="20"/>
                <w:color w:val="auto"/>
              </w:rPr>
            </w:pPr>
            <w:r>
              <w:rPr>
                <w:rFonts w:ascii="Arial" w:cs="Arial" w:eastAsia="Arial" w:hAnsi="Arial"/>
                <w:sz w:val="14"/>
                <w:szCs w:val="14"/>
                <w:color w:val="41516E"/>
              </w:rPr>
              <w:t>214,500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41516E"/>
              </w:rPr>
              <w:t>5,000,543</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70"/>
              <w:spacing w:after="0" w:line="195" w:lineRule="exact"/>
              <w:rPr>
                <w:sz w:val="20"/>
                <w:szCs w:val="20"/>
                <w:color w:val="auto"/>
              </w:rPr>
            </w:pPr>
            <w:r>
              <w:rPr>
                <w:rFonts w:ascii="Arial" w:cs="Arial" w:eastAsia="Arial" w:hAnsi="Arial"/>
                <w:sz w:val="14"/>
                <w:szCs w:val="14"/>
                <w:color w:val="41516E"/>
                <w:w w:val="93"/>
              </w:rPr>
              <w:t>3,000,117</w:t>
            </w:r>
            <w:r>
              <w:rPr>
                <w:rFonts w:ascii="Arial" w:cs="Arial" w:eastAsia="Arial" w:hAnsi="Arial"/>
                <w:sz w:val="22"/>
                <w:szCs w:val="22"/>
                <w:color w:val="41516E"/>
                <w:w w:val="93"/>
                <w:vertAlign w:val="superscript"/>
              </w:rPr>
              <w:t>(7)(9)</w:t>
            </w:r>
          </w:p>
        </w:tc>
        <w:tc>
          <w:tcPr>
            <w:tcW w:w="380" w:type="dxa"/>
            <w:vAlign w:val="bottom"/>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Pr>
          <w:p>
            <w:pPr>
              <w:jc w:val="right"/>
              <w:ind w:right="368"/>
              <w:spacing w:after="0"/>
              <w:rPr>
                <w:sz w:val="20"/>
                <w:szCs w:val="20"/>
                <w:color w:val="auto"/>
              </w:rPr>
            </w:pPr>
            <w:r>
              <w:rPr>
                <w:rFonts w:ascii="Arial" w:cs="Arial" w:eastAsia="Arial" w:hAnsi="Arial"/>
                <w:sz w:val="14"/>
                <w:szCs w:val="14"/>
                <w:color w:val="41516E"/>
              </w:rPr>
              <w:t>668,245</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41516E"/>
              </w:rPr>
              <w:t>9,259,501</w:t>
            </w:r>
          </w:p>
        </w:tc>
        <w:tc>
          <w:tcPr>
            <w:tcW w:w="0" w:type="dxa"/>
            <w:vAlign w:val="bottom"/>
          </w:tcPr>
          <w:p>
            <w:pPr>
              <w:spacing w:after="0"/>
              <w:rPr>
                <w:sz w:val="1"/>
                <w:szCs w:val="1"/>
                <w:color w:val="auto"/>
              </w:rPr>
            </w:pPr>
          </w:p>
        </w:tc>
      </w:tr>
      <w:tr>
        <w:trPr>
          <w:trHeight w:val="162"/>
        </w:trPr>
        <w:tc>
          <w:tcPr>
            <w:tcW w:w="2920" w:type="dxa"/>
            <w:vAlign w:val="bottom"/>
          </w:tcPr>
          <w:p>
            <w:pPr>
              <w:ind w:left="60"/>
              <w:spacing w:after="0"/>
              <w:rPr>
                <w:sz w:val="20"/>
                <w:szCs w:val="20"/>
                <w:color w:val="auto"/>
              </w:rPr>
            </w:pPr>
            <w:r>
              <w:rPr>
                <w:rFonts w:ascii="Arial" w:cs="Arial" w:eastAsia="Arial" w:hAnsi="Arial"/>
                <w:sz w:val="14"/>
                <w:szCs w:val="14"/>
                <w:color w:val="41516E"/>
              </w:rPr>
              <w:t>Chief Supply Chain Officer</w:t>
            </w:r>
          </w:p>
        </w:tc>
        <w:tc>
          <w:tcPr>
            <w:tcW w:w="780" w:type="dxa"/>
            <w:vAlign w:val="bottom"/>
            <w:shd w:val="clear" w:color="auto" w:fill="EFF0F1"/>
          </w:tcPr>
          <w:p>
            <w:pPr>
              <w:jc w:val="right"/>
              <w:ind w:right="48"/>
              <w:spacing w:after="0"/>
              <w:rPr>
                <w:sz w:val="20"/>
                <w:szCs w:val="20"/>
                <w:color w:val="auto"/>
              </w:rPr>
            </w:pPr>
            <w:r>
              <w:rPr>
                <w:rFonts w:ascii="Arial" w:cs="Arial" w:eastAsia="Arial" w:hAnsi="Arial"/>
                <w:sz w:val="14"/>
                <w:szCs w:val="14"/>
                <w:color w:val="41516E"/>
              </w:rPr>
              <w:t>2022</w:t>
            </w:r>
          </w:p>
        </w:tc>
        <w:tc>
          <w:tcPr>
            <w:tcW w:w="22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08"/>
              <w:spacing w:after="0"/>
              <w:rPr>
                <w:sz w:val="20"/>
                <w:szCs w:val="20"/>
                <w:color w:val="auto"/>
              </w:rPr>
            </w:pPr>
            <w:r>
              <w:rPr>
                <w:rFonts w:ascii="Arial" w:cs="Arial" w:eastAsia="Arial" w:hAnsi="Arial"/>
                <w:sz w:val="14"/>
                <w:szCs w:val="14"/>
                <w:color w:val="41516E"/>
              </w:rPr>
              <w:t>0</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349"/>
              <w:spacing w:after="0"/>
              <w:rPr>
                <w:sz w:val="20"/>
                <w:szCs w:val="20"/>
                <w:color w:val="auto"/>
              </w:rPr>
            </w:pPr>
            <w:r>
              <w:rPr>
                <w:rFonts w:ascii="Arial" w:cs="Arial" w:eastAsia="Arial" w:hAnsi="Arial"/>
                <w:sz w:val="14"/>
                <w:szCs w:val="14"/>
                <w:color w:val="41516E"/>
              </w:rPr>
              <w:t>0</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940" w:type="dxa"/>
            <w:vAlign w:val="bottom"/>
            <w:shd w:val="clear" w:color="auto" w:fill="EFF0F1"/>
          </w:tcPr>
          <w:p>
            <w:pPr>
              <w:jc w:val="right"/>
              <w:ind w:right="208"/>
              <w:spacing w:after="0"/>
              <w:rPr>
                <w:sz w:val="20"/>
                <w:szCs w:val="20"/>
                <w:color w:val="auto"/>
              </w:rPr>
            </w:pPr>
            <w:r>
              <w:rPr>
                <w:rFonts w:ascii="Arial" w:cs="Arial" w:eastAsia="Arial" w:hAnsi="Arial"/>
                <w:sz w:val="14"/>
                <w:szCs w:val="14"/>
                <w:color w:val="41516E"/>
              </w:rPr>
              <w:t>0</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370"/>
              <w:spacing w:after="0"/>
              <w:rPr>
                <w:sz w:val="20"/>
                <w:szCs w:val="20"/>
                <w:color w:val="auto"/>
              </w:rPr>
            </w:pPr>
            <w:r>
              <w:rPr>
                <w:rFonts w:ascii="Arial" w:cs="Arial" w:eastAsia="Arial" w:hAnsi="Arial"/>
                <w:sz w:val="14"/>
                <w:szCs w:val="14"/>
                <w:color w:val="41516E"/>
              </w:rPr>
              <w:t>0</w:t>
            </w:r>
          </w:p>
        </w:tc>
        <w:tc>
          <w:tcPr>
            <w:tcW w:w="380" w:type="dxa"/>
            <w:vAlign w:val="bottom"/>
            <w:shd w:val="clear" w:color="auto" w:fill="EFF0F1"/>
          </w:tcPr>
          <w:p>
            <w:pPr>
              <w:ind w:left="140"/>
              <w:spacing w:after="0"/>
              <w:rPr>
                <w:sz w:val="20"/>
                <w:szCs w:val="20"/>
                <w:color w:val="auto"/>
              </w:rPr>
            </w:pPr>
            <w:r>
              <w:rPr>
                <w:rFonts w:ascii="Arial" w:cs="Arial" w:eastAsia="Arial" w:hAnsi="Arial"/>
                <w:sz w:val="14"/>
                <w:szCs w:val="14"/>
                <w:color w:val="41516E"/>
              </w:rPr>
              <w:t>$</w:t>
            </w:r>
          </w:p>
        </w:tc>
        <w:tc>
          <w:tcPr>
            <w:tcW w:w="1200" w:type="dxa"/>
            <w:vAlign w:val="bottom"/>
            <w:shd w:val="clear" w:color="auto" w:fill="EFF0F1"/>
          </w:tcPr>
          <w:p>
            <w:pPr>
              <w:jc w:val="right"/>
              <w:ind w:right="368"/>
              <w:spacing w:after="0"/>
              <w:rPr>
                <w:sz w:val="20"/>
                <w:szCs w:val="20"/>
                <w:color w:val="auto"/>
              </w:rPr>
            </w:pPr>
            <w:r>
              <w:rPr>
                <w:rFonts w:ascii="Arial" w:cs="Arial" w:eastAsia="Arial" w:hAnsi="Arial"/>
                <w:sz w:val="14"/>
                <w:szCs w:val="14"/>
                <w:color w:val="41516E"/>
              </w:rPr>
              <w:t>0</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0</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41516E"/>
            </w:tcBorders>
          </w:tcPr>
          <w:p>
            <w:pPr>
              <w:spacing w:after="0"/>
              <w:rPr>
                <w:sz w:val="17"/>
                <w:szCs w:val="17"/>
                <w:color w:val="auto"/>
              </w:rPr>
            </w:pPr>
          </w:p>
        </w:tc>
        <w:tc>
          <w:tcPr>
            <w:tcW w:w="780" w:type="dxa"/>
            <w:vAlign w:val="bottom"/>
            <w:tcBorders>
              <w:bottom w:val="single" w:sz="8" w:color="41516E"/>
            </w:tcBorders>
          </w:tcPr>
          <w:p>
            <w:pPr>
              <w:jc w:val="right"/>
              <w:ind w:right="48"/>
              <w:spacing w:after="0"/>
              <w:rPr>
                <w:sz w:val="20"/>
                <w:szCs w:val="20"/>
                <w:color w:val="auto"/>
              </w:rPr>
            </w:pPr>
            <w:r>
              <w:rPr>
                <w:rFonts w:ascii="Arial" w:cs="Arial" w:eastAsia="Arial" w:hAnsi="Arial"/>
                <w:sz w:val="14"/>
                <w:szCs w:val="14"/>
                <w:color w:val="41516E"/>
              </w:rPr>
              <w:t>2021</w:t>
            </w:r>
          </w:p>
        </w:tc>
        <w:tc>
          <w:tcPr>
            <w:tcW w:w="22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tcPr>
          <w:p>
            <w:pPr>
              <w:jc w:val="right"/>
              <w:ind w:right="349"/>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94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tcPr>
          <w:p>
            <w:pPr>
              <w:jc w:val="right"/>
              <w:ind w:right="370"/>
              <w:spacing w:after="0"/>
              <w:rPr>
                <w:sz w:val="20"/>
                <w:szCs w:val="20"/>
                <w:color w:val="auto"/>
              </w:rPr>
            </w:pPr>
            <w:r>
              <w:rPr>
                <w:rFonts w:ascii="Arial" w:cs="Arial" w:eastAsia="Arial" w:hAnsi="Arial"/>
                <w:sz w:val="14"/>
                <w:szCs w:val="14"/>
                <w:color w:val="41516E"/>
              </w:rPr>
              <w:t>0</w:t>
            </w:r>
          </w:p>
        </w:tc>
        <w:tc>
          <w:tcPr>
            <w:tcW w:w="380" w:type="dxa"/>
            <w:vAlign w:val="bottom"/>
            <w:tcBorders>
              <w:bottom w:val="single" w:sz="8" w:color="41516E"/>
            </w:tcBorders>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Borders>
              <w:bottom w:val="single" w:sz="8" w:color="41516E"/>
            </w:tcBorders>
          </w:tcPr>
          <w:p>
            <w:pPr>
              <w:jc w:val="right"/>
              <w:ind w:right="368"/>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color w:val="41516E"/>
              </w:rPr>
              <w:t>0</w:t>
            </w:r>
          </w:p>
        </w:tc>
        <w:tc>
          <w:tcPr>
            <w:tcW w:w="0" w:type="dxa"/>
            <w:vAlign w:val="bottom"/>
          </w:tcPr>
          <w:p>
            <w:pPr>
              <w:spacing w:after="0"/>
              <w:rPr>
                <w:sz w:val="1"/>
                <w:szCs w:val="1"/>
                <w:color w:val="auto"/>
              </w:rPr>
            </w:pPr>
          </w:p>
        </w:tc>
      </w:tr>
      <w:tr>
        <w:trPr>
          <w:trHeight w:val="189"/>
        </w:trPr>
        <w:tc>
          <w:tcPr>
            <w:tcW w:w="2920" w:type="dxa"/>
            <w:vAlign w:val="bottom"/>
          </w:tcPr>
          <w:p>
            <w:pPr>
              <w:ind w:left="60"/>
              <w:spacing w:after="0"/>
              <w:rPr>
                <w:sz w:val="20"/>
                <w:szCs w:val="20"/>
                <w:color w:val="auto"/>
              </w:rPr>
            </w:pPr>
            <w:r>
              <w:rPr>
                <w:rFonts w:ascii="Arial" w:cs="Arial" w:eastAsia="Arial" w:hAnsi="Arial"/>
                <w:sz w:val="14"/>
                <w:szCs w:val="14"/>
                <w:b w:val="1"/>
                <w:bCs w:val="1"/>
                <w:color w:val="41516E"/>
              </w:rPr>
              <w:t>John C. Geist</w:t>
            </w:r>
          </w:p>
        </w:tc>
        <w:tc>
          <w:tcPr>
            <w:tcW w:w="780" w:type="dxa"/>
            <w:vAlign w:val="bottom"/>
            <w:shd w:val="clear" w:color="auto" w:fill="EFF0F1"/>
          </w:tcPr>
          <w:p>
            <w:pPr>
              <w:jc w:val="right"/>
              <w:ind w:right="48"/>
              <w:spacing w:after="0"/>
              <w:rPr>
                <w:sz w:val="20"/>
                <w:szCs w:val="20"/>
                <w:color w:val="auto"/>
              </w:rPr>
            </w:pPr>
            <w:r>
              <w:rPr>
                <w:rFonts w:ascii="Arial" w:cs="Arial" w:eastAsia="Arial" w:hAnsi="Arial"/>
                <w:sz w:val="14"/>
                <w:szCs w:val="14"/>
                <w:color w:val="41516E"/>
              </w:rPr>
              <w:t>2023</w:t>
            </w:r>
          </w:p>
        </w:tc>
        <w:tc>
          <w:tcPr>
            <w:tcW w:w="22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08"/>
              <w:spacing w:after="0"/>
              <w:rPr>
                <w:sz w:val="20"/>
                <w:szCs w:val="20"/>
                <w:color w:val="auto"/>
              </w:rPr>
            </w:pPr>
            <w:r>
              <w:rPr>
                <w:rFonts w:ascii="Arial" w:cs="Arial" w:eastAsia="Arial" w:hAnsi="Arial"/>
                <w:sz w:val="14"/>
                <w:szCs w:val="14"/>
                <w:color w:val="41516E"/>
              </w:rPr>
              <w:t>606,342</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349"/>
              <w:spacing w:after="0"/>
              <w:rPr>
                <w:sz w:val="20"/>
                <w:szCs w:val="20"/>
                <w:color w:val="auto"/>
              </w:rPr>
            </w:pPr>
            <w:r>
              <w:rPr>
                <w:rFonts w:ascii="Arial" w:cs="Arial" w:eastAsia="Arial" w:hAnsi="Arial"/>
                <w:sz w:val="14"/>
                <w:szCs w:val="14"/>
                <w:color w:val="41516E"/>
              </w:rPr>
              <w:t>432,000</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940" w:type="dxa"/>
            <w:vAlign w:val="bottom"/>
            <w:shd w:val="clear" w:color="auto" w:fill="EFF0F1"/>
          </w:tcPr>
          <w:p>
            <w:pPr>
              <w:jc w:val="right"/>
              <w:ind w:right="208"/>
              <w:spacing w:after="0"/>
              <w:rPr>
                <w:sz w:val="20"/>
                <w:szCs w:val="20"/>
                <w:color w:val="auto"/>
              </w:rPr>
            </w:pPr>
            <w:r>
              <w:rPr>
                <w:rFonts w:ascii="Arial" w:cs="Arial" w:eastAsia="Arial" w:hAnsi="Arial"/>
                <w:sz w:val="14"/>
                <w:szCs w:val="14"/>
                <w:color w:val="41516E"/>
              </w:rPr>
              <w:t>500,271</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210"/>
              <w:spacing w:after="0" w:line="189" w:lineRule="exact"/>
              <w:rPr>
                <w:sz w:val="20"/>
                <w:szCs w:val="20"/>
                <w:color w:val="auto"/>
              </w:rPr>
            </w:pPr>
            <w:r>
              <w:rPr>
                <w:rFonts w:ascii="Arial" w:cs="Arial" w:eastAsia="Arial" w:hAnsi="Arial"/>
                <w:sz w:val="13"/>
                <w:szCs w:val="13"/>
                <w:color w:val="41516E"/>
              </w:rPr>
              <w:t>500,058</w:t>
            </w:r>
            <w:r>
              <w:rPr>
                <w:rFonts w:ascii="Arial" w:cs="Arial" w:eastAsia="Arial" w:hAnsi="Arial"/>
                <w:sz w:val="21"/>
                <w:szCs w:val="21"/>
                <w:color w:val="41516E"/>
                <w:vertAlign w:val="superscript"/>
              </w:rPr>
              <w:t>(5)</w:t>
            </w:r>
          </w:p>
        </w:tc>
        <w:tc>
          <w:tcPr>
            <w:tcW w:w="380" w:type="dxa"/>
            <w:vAlign w:val="bottom"/>
            <w:shd w:val="clear" w:color="auto" w:fill="EFF0F1"/>
          </w:tcPr>
          <w:p>
            <w:pPr>
              <w:ind w:left="140"/>
              <w:spacing w:after="0"/>
              <w:rPr>
                <w:sz w:val="20"/>
                <w:szCs w:val="20"/>
                <w:color w:val="auto"/>
              </w:rPr>
            </w:pPr>
            <w:r>
              <w:rPr>
                <w:rFonts w:ascii="Arial" w:cs="Arial" w:eastAsia="Arial" w:hAnsi="Arial"/>
                <w:sz w:val="14"/>
                <w:szCs w:val="14"/>
                <w:color w:val="41516E"/>
              </w:rPr>
              <w:t>$</w:t>
            </w:r>
          </w:p>
        </w:tc>
        <w:tc>
          <w:tcPr>
            <w:tcW w:w="1200" w:type="dxa"/>
            <w:vAlign w:val="bottom"/>
            <w:shd w:val="clear" w:color="auto" w:fill="EFF0F1"/>
          </w:tcPr>
          <w:p>
            <w:pPr>
              <w:jc w:val="right"/>
              <w:ind w:right="368"/>
              <w:spacing w:after="0"/>
              <w:rPr>
                <w:sz w:val="20"/>
                <w:szCs w:val="20"/>
                <w:color w:val="auto"/>
              </w:rPr>
            </w:pPr>
            <w:r>
              <w:rPr>
                <w:rFonts w:ascii="Arial" w:cs="Arial" w:eastAsia="Arial" w:hAnsi="Arial"/>
                <w:sz w:val="14"/>
                <w:szCs w:val="14"/>
                <w:color w:val="41516E"/>
              </w:rPr>
              <w:t>21,167</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2,059,838</w:t>
            </w:r>
          </w:p>
        </w:tc>
        <w:tc>
          <w:tcPr>
            <w:tcW w:w="0" w:type="dxa"/>
            <w:vAlign w:val="bottom"/>
          </w:tcPr>
          <w:p>
            <w:pPr>
              <w:spacing w:after="0"/>
              <w:rPr>
                <w:sz w:val="1"/>
                <w:szCs w:val="1"/>
                <w:color w:val="auto"/>
              </w:rPr>
            </w:pPr>
          </w:p>
        </w:tc>
      </w:tr>
      <w:tr>
        <w:trPr>
          <w:trHeight w:val="203"/>
        </w:trPr>
        <w:tc>
          <w:tcPr>
            <w:tcW w:w="2920" w:type="dxa"/>
            <w:vAlign w:val="bottom"/>
          </w:tcPr>
          <w:p>
            <w:pPr>
              <w:ind w:left="60"/>
              <w:spacing w:after="0"/>
              <w:rPr>
                <w:sz w:val="20"/>
                <w:szCs w:val="20"/>
                <w:color w:val="auto"/>
              </w:rPr>
            </w:pPr>
            <w:r>
              <w:rPr>
                <w:rFonts w:ascii="Arial" w:cs="Arial" w:eastAsia="Arial" w:hAnsi="Arial"/>
                <w:sz w:val="14"/>
                <w:szCs w:val="14"/>
                <w:color w:val="41516E"/>
              </w:rPr>
              <w:t>Chief Sales Officer</w:t>
            </w:r>
          </w:p>
        </w:tc>
        <w:tc>
          <w:tcPr>
            <w:tcW w:w="780" w:type="dxa"/>
            <w:vAlign w:val="bottom"/>
          </w:tcPr>
          <w:p>
            <w:pPr>
              <w:jc w:val="right"/>
              <w:ind w:right="48"/>
              <w:spacing w:after="0"/>
              <w:rPr>
                <w:sz w:val="20"/>
                <w:szCs w:val="20"/>
                <w:color w:val="auto"/>
              </w:rPr>
            </w:pPr>
            <w:r>
              <w:rPr>
                <w:rFonts w:ascii="Arial" w:cs="Arial" w:eastAsia="Arial" w:hAnsi="Arial"/>
                <w:sz w:val="14"/>
                <w:szCs w:val="14"/>
                <w:color w:val="41516E"/>
              </w:rPr>
              <w:t>2022</w:t>
            </w:r>
          </w:p>
        </w:tc>
        <w:tc>
          <w:tcPr>
            <w:tcW w:w="22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08"/>
              <w:spacing w:after="0"/>
              <w:rPr>
                <w:sz w:val="20"/>
                <w:szCs w:val="20"/>
                <w:color w:val="auto"/>
              </w:rPr>
            </w:pPr>
            <w:r>
              <w:rPr>
                <w:rFonts w:ascii="Arial" w:cs="Arial" w:eastAsia="Arial" w:hAnsi="Arial"/>
                <w:sz w:val="14"/>
                <w:szCs w:val="14"/>
                <w:color w:val="41516E"/>
              </w:rPr>
              <w:t>592,640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349"/>
              <w:spacing w:after="0"/>
              <w:rPr>
                <w:sz w:val="20"/>
                <w:szCs w:val="20"/>
                <w:color w:val="auto"/>
              </w:rPr>
            </w:pPr>
            <w:r>
              <w:rPr>
                <w:rFonts w:ascii="Arial" w:cs="Arial" w:eastAsia="Arial" w:hAnsi="Arial"/>
                <w:sz w:val="14"/>
                <w:szCs w:val="14"/>
                <w:color w:val="41516E"/>
              </w:rPr>
              <w:t>142,250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41516E"/>
              </w:rPr>
              <w:t>289,896</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210"/>
              <w:spacing w:after="0" w:line="202" w:lineRule="exact"/>
              <w:rPr>
                <w:sz w:val="20"/>
                <w:szCs w:val="20"/>
                <w:color w:val="auto"/>
              </w:rPr>
            </w:pPr>
            <w:r>
              <w:rPr>
                <w:rFonts w:ascii="Arial" w:cs="Arial" w:eastAsia="Arial" w:hAnsi="Arial"/>
                <w:sz w:val="14"/>
                <w:szCs w:val="14"/>
                <w:color w:val="41516E"/>
              </w:rPr>
              <w:t>289,764</w:t>
            </w:r>
            <w:r>
              <w:rPr>
                <w:rFonts w:ascii="Arial" w:cs="Arial" w:eastAsia="Arial" w:hAnsi="Arial"/>
                <w:sz w:val="23"/>
                <w:szCs w:val="23"/>
                <w:color w:val="41516E"/>
                <w:vertAlign w:val="superscript"/>
              </w:rPr>
              <w:t>(6)</w:t>
            </w:r>
          </w:p>
        </w:tc>
        <w:tc>
          <w:tcPr>
            <w:tcW w:w="380" w:type="dxa"/>
            <w:vAlign w:val="bottom"/>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Pr>
          <w:p>
            <w:pPr>
              <w:jc w:val="right"/>
              <w:ind w:right="368"/>
              <w:spacing w:after="0"/>
              <w:rPr>
                <w:sz w:val="20"/>
                <w:szCs w:val="20"/>
                <w:color w:val="auto"/>
              </w:rPr>
            </w:pPr>
            <w:r>
              <w:rPr>
                <w:rFonts w:ascii="Arial" w:cs="Arial" w:eastAsia="Arial" w:hAnsi="Arial"/>
                <w:sz w:val="14"/>
                <w:szCs w:val="14"/>
                <w:color w:val="41516E"/>
              </w:rPr>
              <w:t>20,717</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41516E"/>
              </w:rPr>
              <w:t>1,335,267</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41516E"/>
            </w:tcBorders>
          </w:tcPr>
          <w:p>
            <w:pPr>
              <w:spacing w:after="0"/>
              <w:rPr>
                <w:sz w:val="19"/>
                <w:szCs w:val="19"/>
                <w:color w:val="auto"/>
              </w:rPr>
            </w:pPr>
          </w:p>
        </w:tc>
        <w:tc>
          <w:tcPr>
            <w:tcW w:w="780" w:type="dxa"/>
            <w:vAlign w:val="bottom"/>
            <w:tcBorders>
              <w:bottom w:val="single" w:sz="8" w:color="41516E"/>
            </w:tcBorders>
            <w:shd w:val="clear" w:color="auto" w:fill="EFF0F1"/>
          </w:tcPr>
          <w:p>
            <w:pPr>
              <w:jc w:val="right"/>
              <w:ind w:right="48"/>
              <w:spacing w:after="0"/>
              <w:rPr>
                <w:sz w:val="20"/>
                <w:szCs w:val="20"/>
                <w:color w:val="auto"/>
              </w:rPr>
            </w:pPr>
            <w:r>
              <w:rPr>
                <w:rFonts w:ascii="Arial" w:cs="Arial" w:eastAsia="Arial" w:hAnsi="Arial"/>
                <w:sz w:val="14"/>
                <w:szCs w:val="14"/>
                <w:color w:val="41516E"/>
              </w:rPr>
              <w:t>2021</w:t>
            </w:r>
          </w:p>
        </w:tc>
        <w:tc>
          <w:tcPr>
            <w:tcW w:w="22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shd w:val="clear" w:color="auto" w:fill="EFF0F1"/>
          </w:tcPr>
          <w:p>
            <w:pPr>
              <w:jc w:val="right"/>
              <w:ind w:right="208"/>
              <w:spacing w:after="0"/>
              <w:rPr>
                <w:sz w:val="20"/>
                <w:szCs w:val="20"/>
                <w:color w:val="auto"/>
              </w:rPr>
            </w:pPr>
            <w:r>
              <w:rPr>
                <w:rFonts w:ascii="Arial" w:cs="Arial" w:eastAsia="Arial" w:hAnsi="Arial"/>
                <w:sz w:val="14"/>
                <w:szCs w:val="14"/>
                <w:color w:val="41516E"/>
              </w:rPr>
              <w:t>575,378</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shd w:val="clear" w:color="auto" w:fill="EFF0F1"/>
          </w:tcPr>
          <w:p>
            <w:pPr>
              <w:jc w:val="right"/>
              <w:ind w:right="349"/>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940" w:type="dxa"/>
            <w:vAlign w:val="bottom"/>
            <w:tcBorders>
              <w:bottom w:val="single" w:sz="8" w:color="41516E"/>
            </w:tcBorders>
            <w:shd w:val="clear" w:color="auto" w:fill="EFF0F1"/>
          </w:tcPr>
          <w:p>
            <w:pPr>
              <w:jc w:val="right"/>
              <w:ind w:right="208"/>
              <w:spacing w:after="0"/>
              <w:rPr>
                <w:sz w:val="20"/>
                <w:szCs w:val="20"/>
                <w:color w:val="auto"/>
              </w:rPr>
            </w:pPr>
            <w:r>
              <w:rPr>
                <w:rFonts w:ascii="Arial" w:cs="Arial" w:eastAsia="Arial" w:hAnsi="Arial"/>
                <w:sz w:val="14"/>
                <w:szCs w:val="14"/>
                <w:color w:val="41516E"/>
              </w:rPr>
              <w:t>281,867</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shd w:val="clear" w:color="auto" w:fill="EFF0F1"/>
          </w:tcPr>
          <w:p>
            <w:pPr>
              <w:jc w:val="right"/>
              <w:ind w:right="210"/>
              <w:spacing w:after="0" w:line="230" w:lineRule="exact"/>
              <w:rPr>
                <w:sz w:val="20"/>
                <w:szCs w:val="20"/>
                <w:color w:val="auto"/>
              </w:rPr>
            </w:pPr>
            <w:r>
              <w:rPr>
                <w:rFonts w:ascii="Arial" w:cs="Arial" w:eastAsia="Arial" w:hAnsi="Arial"/>
                <w:sz w:val="14"/>
                <w:szCs w:val="14"/>
                <w:color w:val="41516E"/>
              </w:rPr>
              <w:t>281,203</w:t>
            </w:r>
            <w:r>
              <w:rPr>
                <w:rFonts w:ascii="Arial" w:cs="Arial" w:eastAsia="Arial" w:hAnsi="Arial"/>
                <w:sz w:val="23"/>
                <w:szCs w:val="23"/>
                <w:color w:val="41516E"/>
                <w:vertAlign w:val="superscript"/>
              </w:rPr>
              <w:t>(8)</w:t>
            </w:r>
          </w:p>
        </w:tc>
        <w:tc>
          <w:tcPr>
            <w:tcW w:w="380" w:type="dxa"/>
            <w:vAlign w:val="bottom"/>
            <w:tcBorders>
              <w:bottom w:val="single" w:sz="8" w:color="41516E"/>
            </w:tcBorders>
            <w:shd w:val="clear" w:color="auto" w:fill="EFF0F1"/>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Borders>
              <w:bottom w:val="single" w:sz="8" w:color="41516E"/>
            </w:tcBorders>
            <w:shd w:val="clear" w:color="auto" w:fill="EFF0F1"/>
          </w:tcPr>
          <w:p>
            <w:pPr>
              <w:jc w:val="right"/>
              <w:ind w:right="368"/>
              <w:spacing w:after="0"/>
              <w:rPr>
                <w:sz w:val="20"/>
                <w:szCs w:val="20"/>
                <w:color w:val="auto"/>
              </w:rPr>
            </w:pPr>
            <w:r>
              <w:rPr>
                <w:rFonts w:ascii="Arial" w:cs="Arial" w:eastAsia="Arial" w:hAnsi="Arial"/>
                <w:sz w:val="14"/>
                <w:szCs w:val="14"/>
                <w:color w:val="41516E"/>
              </w:rPr>
              <w:t>20,735</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shd w:val="clear" w:color="auto" w:fill="EFF0F1"/>
          </w:tcPr>
          <w:p>
            <w:pPr>
              <w:jc w:val="right"/>
              <w:ind w:right="28"/>
              <w:spacing w:after="0"/>
              <w:rPr>
                <w:sz w:val="20"/>
                <w:szCs w:val="20"/>
                <w:color w:val="auto"/>
              </w:rPr>
            </w:pPr>
            <w:r>
              <w:rPr>
                <w:rFonts w:ascii="Arial" w:cs="Arial" w:eastAsia="Arial" w:hAnsi="Arial"/>
                <w:sz w:val="14"/>
                <w:szCs w:val="14"/>
                <w:color w:val="41516E"/>
              </w:rPr>
              <w:t>1,159,183</w:t>
            </w:r>
          </w:p>
        </w:tc>
        <w:tc>
          <w:tcPr>
            <w:tcW w:w="0" w:type="dxa"/>
            <w:vAlign w:val="bottom"/>
          </w:tcPr>
          <w:p>
            <w:pPr>
              <w:spacing w:after="0"/>
              <w:rPr>
                <w:sz w:val="1"/>
                <w:szCs w:val="1"/>
                <w:color w:val="auto"/>
              </w:rPr>
            </w:pPr>
          </w:p>
        </w:tc>
      </w:tr>
      <w:tr>
        <w:trPr>
          <w:trHeight w:val="183"/>
        </w:trPr>
        <w:tc>
          <w:tcPr>
            <w:tcW w:w="2920" w:type="dxa"/>
            <w:vAlign w:val="bottom"/>
          </w:tcPr>
          <w:p>
            <w:pPr>
              <w:ind w:left="60"/>
              <w:spacing w:after="0"/>
              <w:rPr>
                <w:sz w:val="20"/>
                <w:szCs w:val="20"/>
                <w:color w:val="auto"/>
              </w:rPr>
            </w:pPr>
            <w:r>
              <w:rPr>
                <w:rFonts w:ascii="Arial" w:cs="Arial" w:eastAsia="Arial" w:hAnsi="Arial"/>
                <w:sz w:val="14"/>
                <w:szCs w:val="14"/>
                <w:b w:val="1"/>
                <w:bCs w:val="1"/>
                <w:color w:val="41516E"/>
              </w:rPr>
              <w:t>Lesya Lysyj</w:t>
            </w:r>
          </w:p>
        </w:tc>
        <w:tc>
          <w:tcPr>
            <w:tcW w:w="780" w:type="dxa"/>
            <w:vAlign w:val="bottom"/>
          </w:tcPr>
          <w:p>
            <w:pPr>
              <w:jc w:val="right"/>
              <w:ind w:right="48"/>
              <w:spacing w:after="0"/>
              <w:rPr>
                <w:sz w:val="20"/>
                <w:szCs w:val="20"/>
                <w:color w:val="auto"/>
              </w:rPr>
            </w:pPr>
            <w:r>
              <w:rPr>
                <w:rFonts w:ascii="Arial" w:cs="Arial" w:eastAsia="Arial" w:hAnsi="Arial"/>
                <w:sz w:val="14"/>
                <w:szCs w:val="14"/>
                <w:color w:val="41516E"/>
              </w:rPr>
              <w:t>2023</w:t>
            </w:r>
          </w:p>
        </w:tc>
        <w:tc>
          <w:tcPr>
            <w:tcW w:w="22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08"/>
              <w:spacing w:after="0"/>
              <w:rPr>
                <w:sz w:val="20"/>
                <w:szCs w:val="20"/>
                <w:color w:val="auto"/>
              </w:rPr>
            </w:pPr>
            <w:r>
              <w:rPr>
                <w:rFonts w:ascii="Arial" w:cs="Arial" w:eastAsia="Arial" w:hAnsi="Arial"/>
                <w:sz w:val="14"/>
                <w:szCs w:val="14"/>
                <w:color w:val="41516E"/>
              </w:rPr>
              <w:t>527,526</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349"/>
              <w:spacing w:after="0"/>
              <w:rPr>
                <w:sz w:val="20"/>
                <w:szCs w:val="20"/>
                <w:color w:val="auto"/>
              </w:rPr>
            </w:pPr>
            <w:r>
              <w:rPr>
                <w:rFonts w:ascii="Arial" w:cs="Arial" w:eastAsia="Arial" w:hAnsi="Arial"/>
                <w:sz w:val="14"/>
                <w:szCs w:val="14"/>
                <w:color w:val="41516E"/>
              </w:rPr>
              <w:t>332,500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41516E"/>
              </w:rPr>
              <w:t>275,230</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Pr>
          <w:p>
            <w:pPr>
              <w:jc w:val="right"/>
              <w:ind w:right="210"/>
              <w:spacing w:after="0" w:line="183" w:lineRule="exact"/>
              <w:rPr>
                <w:sz w:val="20"/>
                <w:szCs w:val="20"/>
                <w:color w:val="auto"/>
              </w:rPr>
            </w:pPr>
            <w:r>
              <w:rPr>
                <w:rFonts w:ascii="Arial" w:cs="Arial" w:eastAsia="Arial" w:hAnsi="Arial"/>
                <w:sz w:val="13"/>
                <w:szCs w:val="13"/>
                <w:color w:val="41516E"/>
              </w:rPr>
              <w:t>275,162</w:t>
            </w:r>
            <w:r>
              <w:rPr>
                <w:rFonts w:ascii="Arial" w:cs="Arial" w:eastAsia="Arial" w:hAnsi="Arial"/>
                <w:sz w:val="21"/>
                <w:szCs w:val="21"/>
                <w:color w:val="41516E"/>
                <w:vertAlign w:val="superscript"/>
              </w:rPr>
              <w:t>(5)</w:t>
            </w:r>
          </w:p>
        </w:tc>
        <w:tc>
          <w:tcPr>
            <w:tcW w:w="380" w:type="dxa"/>
            <w:vAlign w:val="bottom"/>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Pr>
          <w:p>
            <w:pPr>
              <w:jc w:val="right"/>
              <w:ind w:right="368"/>
              <w:spacing w:after="0"/>
              <w:rPr>
                <w:sz w:val="20"/>
                <w:szCs w:val="20"/>
                <w:color w:val="auto"/>
              </w:rPr>
            </w:pPr>
            <w:r>
              <w:rPr>
                <w:rFonts w:ascii="Arial" w:cs="Arial" w:eastAsia="Arial" w:hAnsi="Arial"/>
                <w:sz w:val="14"/>
                <w:szCs w:val="14"/>
                <w:color w:val="41516E"/>
              </w:rPr>
              <w:t>30,042</w:t>
            </w:r>
          </w:p>
        </w:tc>
        <w:tc>
          <w:tcPr>
            <w:tcW w:w="24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41516E"/>
              </w:rPr>
              <w:t>1,440,460</w:t>
            </w:r>
          </w:p>
        </w:tc>
        <w:tc>
          <w:tcPr>
            <w:tcW w:w="0" w:type="dxa"/>
            <w:vAlign w:val="bottom"/>
          </w:tcPr>
          <w:p>
            <w:pPr>
              <w:spacing w:after="0"/>
              <w:rPr>
                <w:sz w:val="1"/>
                <w:szCs w:val="1"/>
                <w:color w:val="auto"/>
              </w:rPr>
            </w:pPr>
          </w:p>
        </w:tc>
      </w:tr>
      <w:tr>
        <w:trPr>
          <w:trHeight w:val="203"/>
        </w:trPr>
        <w:tc>
          <w:tcPr>
            <w:tcW w:w="2920" w:type="dxa"/>
            <w:vAlign w:val="bottom"/>
          </w:tcPr>
          <w:p>
            <w:pPr>
              <w:ind w:left="60"/>
              <w:spacing w:after="0"/>
              <w:rPr>
                <w:sz w:val="20"/>
                <w:szCs w:val="20"/>
                <w:color w:val="auto"/>
              </w:rPr>
            </w:pPr>
            <w:r>
              <w:rPr>
                <w:rFonts w:ascii="Arial" w:cs="Arial" w:eastAsia="Arial" w:hAnsi="Arial"/>
                <w:sz w:val="14"/>
                <w:szCs w:val="14"/>
                <w:color w:val="41516E"/>
              </w:rPr>
              <w:t>Chief Marketing Officer</w:t>
            </w:r>
          </w:p>
        </w:tc>
        <w:tc>
          <w:tcPr>
            <w:tcW w:w="780" w:type="dxa"/>
            <w:vAlign w:val="bottom"/>
            <w:shd w:val="clear" w:color="auto" w:fill="EFF0F1"/>
          </w:tcPr>
          <w:p>
            <w:pPr>
              <w:jc w:val="right"/>
              <w:ind w:right="48"/>
              <w:spacing w:after="0"/>
              <w:rPr>
                <w:sz w:val="20"/>
                <w:szCs w:val="20"/>
                <w:color w:val="auto"/>
              </w:rPr>
            </w:pPr>
            <w:r>
              <w:rPr>
                <w:rFonts w:ascii="Arial" w:cs="Arial" w:eastAsia="Arial" w:hAnsi="Arial"/>
                <w:sz w:val="14"/>
                <w:szCs w:val="14"/>
                <w:color w:val="41516E"/>
              </w:rPr>
              <w:t>2022</w:t>
            </w:r>
          </w:p>
        </w:tc>
        <w:tc>
          <w:tcPr>
            <w:tcW w:w="22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08"/>
              <w:spacing w:after="0"/>
              <w:rPr>
                <w:sz w:val="20"/>
                <w:szCs w:val="20"/>
                <w:color w:val="auto"/>
              </w:rPr>
            </w:pPr>
            <w:r>
              <w:rPr>
                <w:rFonts w:ascii="Arial" w:cs="Arial" w:eastAsia="Arial" w:hAnsi="Arial"/>
                <w:sz w:val="14"/>
                <w:szCs w:val="14"/>
                <w:color w:val="41516E"/>
              </w:rPr>
              <w:t>515,557</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349"/>
              <w:spacing w:after="0"/>
              <w:rPr>
                <w:sz w:val="20"/>
                <w:szCs w:val="20"/>
                <w:color w:val="auto"/>
              </w:rPr>
            </w:pPr>
            <w:r>
              <w:rPr>
                <w:rFonts w:ascii="Arial" w:cs="Arial" w:eastAsia="Arial" w:hAnsi="Arial"/>
                <w:sz w:val="14"/>
                <w:szCs w:val="14"/>
                <w:color w:val="41516E"/>
              </w:rPr>
              <w:t>84,000</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940" w:type="dxa"/>
            <w:vAlign w:val="bottom"/>
            <w:shd w:val="clear" w:color="auto" w:fill="EFF0F1"/>
          </w:tcPr>
          <w:p>
            <w:pPr>
              <w:jc w:val="right"/>
              <w:ind w:right="208"/>
              <w:spacing w:after="0"/>
              <w:rPr>
                <w:sz w:val="20"/>
                <w:szCs w:val="20"/>
                <w:color w:val="auto"/>
              </w:rPr>
            </w:pPr>
            <w:r>
              <w:rPr>
                <w:rFonts w:ascii="Arial" w:cs="Arial" w:eastAsia="Arial" w:hAnsi="Arial"/>
                <w:sz w:val="14"/>
                <w:szCs w:val="14"/>
                <w:color w:val="41516E"/>
              </w:rPr>
              <w:t>216,655</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080" w:type="dxa"/>
            <w:vAlign w:val="bottom"/>
            <w:shd w:val="clear" w:color="auto" w:fill="EFF0F1"/>
          </w:tcPr>
          <w:p>
            <w:pPr>
              <w:jc w:val="right"/>
              <w:ind w:right="210"/>
              <w:spacing w:after="0" w:line="202" w:lineRule="exact"/>
              <w:rPr>
                <w:sz w:val="20"/>
                <w:szCs w:val="20"/>
                <w:color w:val="auto"/>
              </w:rPr>
            </w:pPr>
            <w:r>
              <w:rPr>
                <w:rFonts w:ascii="Arial" w:cs="Arial" w:eastAsia="Arial" w:hAnsi="Arial"/>
                <w:sz w:val="14"/>
                <w:szCs w:val="14"/>
                <w:color w:val="41516E"/>
              </w:rPr>
              <w:t>216,388</w:t>
            </w:r>
            <w:r>
              <w:rPr>
                <w:rFonts w:ascii="Arial" w:cs="Arial" w:eastAsia="Arial" w:hAnsi="Arial"/>
                <w:sz w:val="23"/>
                <w:szCs w:val="23"/>
                <w:color w:val="41516E"/>
                <w:vertAlign w:val="superscript"/>
              </w:rPr>
              <w:t>(6)</w:t>
            </w:r>
          </w:p>
        </w:tc>
        <w:tc>
          <w:tcPr>
            <w:tcW w:w="380" w:type="dxa"/>
            <w:vAlign w:val="bottom"/>
            <w:shd w:val="clear" w:color="auto" w:fill="EFF0F1"/>
          </w:tcPr>
          <w:p>
            <w:pPr>
              <w:ind w:left="140"/>
              <w:spacing w:after="0"/>
              <w:rPr>
                <w:sz w:val="20"/>
                <w:szCs w:val="20"/>
                <w:color w:val="auto"/>
              </w:rPr>
            </w:pPr>
            <w:r>
              <w:rPr>
                <w:rFonts w:ascii="Arial" w:cs="Arial" w:eastAsia="Arial" w:hAnsi="Arial"/>
                <w:sz w:val="14"/>
                <w:szCs w:val="14"/>
                <w:color w:val="41516E"/>
              </w:rPr>
              <w:t>$</w:t>
            </w:r>
          </w:p>
        </w:tc>
        <w:tc>
          <w:tcPr>
            <w:tcW w:w="1200" w:type="dxa"/>
            <w:vAlign w:val="bottom"/>
            <w:shd w:val="clear" w:color="auto" w:fill="EFF0F1"/>
          </w:tcPr>
          <w:p>
            <w:pPr>
              <w:jc w:val="right"/>
              <w:ind w:right="368"/>
              <w:spacing w:after="0"/>
              <w:rPr>
                <w:sz w:val="20"/>
                <w:szCs w:val="20"/>
                <w:color w:val="auto"/>
              </w:rPr>
            </w:pPr>
            <w:r>
              <w:rPr>
                <w:rFonts w:ascii="Arial" w:cs="Arial" w:eastAsia="Arial" w:hAnsi="Arial"/>
                <w:sz w:val="14"/>
                <w:szCs w:val="14"/>
                <w:color w:val="41516E"/>
              </w:rPr>
              <w:t>28,117</w:t>
            </w:r>
          </w:p>
        </w:tc>
        <w:tc>
          <w:tcPr>
            <w:tcW w:w="2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1,060,717</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41516E"/>
            </w:tcBorders>
          </w:tcPr>
          <w:p>
            <w:pPr>
              <w:spacing w:after="0"/>
              <w:rPr>
                <w:sz w:val="16"/>
                <w:szCs w:val="16"/>
                <w:color w:val="auto"/>
              </w:rPr>
            </w:pPr>
          </w:p>
        </w:tc>
        <w:tc>
          <w:tcPr>
            <w:tcW w:w="780" w:type="dxa"/>
            <w:vAlign w:val="bottom"/>
            <w:tcBorders>
              <w:bottom w:val="single" w:sz="8" w:color="41516E"/>
            </w:tcBorders>
          </w:tcPr>
          <w:p>
            <w:pPr>
              <w:jc w:val="right"/>
              <w:ind w:right="48"/>
              <w:spacing w:after="0"/>
              <w:rPr>
                <w:sz w:val="20"/>
                <w:szCs w:val="20"/>
                <w:color w:val="auto"/>
              </w:rPr>
            </w:pPr>
            <w:r>
              <w:rPr>
                <w:rFonts w:ascii="Arial" w:cs="Arial" w:eastAsia="Arial" w:hAnsi="Arial"/>
                <w:sz w:val="14"/>
                <w:szCs w:val="14"/>
                <w:color w:val="41516E"/>
              </w:rPr>
              <w:t>2021</w:t>
            </w:r>
          </w:p>
        </w:tc>
        <w:tc>
          <w:tcPr>
            <w:tcW w:w="22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color w:val="41516E"/>
              </w:rPr>
              <w:t>500,540</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tcPr>
          <w:p>
            <w:pPr>
              <w:jc w:val="right"/>
              <w:ind w:right="349"/>
              <w:spacing w:after="0"/>
              <w:rPr>
                <w:sz w:val="20"/>
                <w:szCs w:val="20"/>
                <w:color w:val="auto"/>
              </w:rPr>
            </w:pPr>
            <w:r>
              <w:rPr>
                <w:rFonts w:ascii="Arial" w:cs="Arial" w:eastAsia="Arial" w:hAnsi="Arial"/>
                <w:sz w:val="14"/>
                <w:szCs w:val="14"/>
                <w:color w:val="41516E"/>
              </w:rPr>
              <w:t>0</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94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color w:val="41516E"/>
              </w:rPr>
              <w:t>244,833</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1080" w:type="dxa"/>
            <w:vAlign w:val="bottom"/>
            <w:tcBorders>
              <w:bottom w:val="single" w:sz="8" w:color="41516E"/>
            </w:tcBorders>
          </w:tcPr>
          <w:p>
            <w:pPr>
              <w:jc w:val="right"/>
              <w:ind w:right="210"/>
              <w:spacing w:after="0" w:line="189" w:lineRule="exact"/>
              <w:rPr>
                <w:sz w:val="20"/>
                <w:szCs w:val="20"/>
                <w:color w:val="auto"/>
              </w:rPr>
            </w:pPr>
            <w:r>
              <w:rPr>
                <w:rFonts w:ascii="Arial" w:cs="Arial" w:eastAsia="Arial" w:hAnsi="Arial"/>
                <w:sz w:val="13"/>
                <w:szCs w:val="13"/>
                <w:color w:val="41516E"/>
              </w:rPr>
              <w:t>244,759</w:t>
            </w:r>
            <w:r>
              <w:rPr>
                <w:rFonts w:ascii="Arial" w:cs="Arial" w:eastAsia="Arial" w:hAnsi="Arial"/>
                <w:sz w:val="21"/>
                <w:szCs w:val="21"/>
                <w:color w:val="41516E"/>
                <w:vertAlign w:val="superscript"/>
              </w:rPr>
              <w:t>(8)</w:t>
            </w:r>
          </w:p>
        </w:tc>
        <w:tc>
          <w:tcPr>
            <w:tcW w:w="380" w:type="dxa"/>
            <w:vAlign w:val="bottom"/>
            <w:tcBorders>
              <w:bottom w:val="single" w:sz="8" w:color="41516E"/>
            </w:tcBorders>
          </w:tcPr>
          <w:p>
            <w:pPr>
              <w:ind w:left="140"/>
              <w:spacing w:after="0"/>
              <w:rPr>
                <w:sz w:val="20"/>
                <w:szCs w:val="20"/>
                <w:color w:val="auto"/>
              </w:rPr>
            </w:pPr>
            <w:r>
              <w:rPr>
                <w:rFonts w:ascii="Arial" w:cs="Arial" w:eastAsia="Arial" w:hAnsi="Arial"/>
                <w:sz w:val="14"/>
                <w:szCs w:val="14"/>
                <w:color w:val="41516E"/>
              </w:rPr>
              <w:t>$</w:t>
            </w:r>
          </w:p>
        </w:tc>
        <w:tc>
          <w:tcPr>
            <w:tcW w:w="1200" w:type="dxa"/>
            <w:vAlign w:val="bottom"/>
            <w:tcBorders>
              <w:bottom w:val="single" w:sz="8" w:color="41516E"/>
            </w:tcBorders>
          </w:tcPr>
          <w:p>
            <w:pPr>
              <w:jc w:val="right"/>
              <w:ind w:right="368"/>
              <w:spacing w:after="0"/>
              <w:rPr>
                <w:sz w:val="20"/>
                <w:szCs w:val="20"/>
                <w:color w:val="auto"/>
              </w:rPr>
            </w:pPr>
            <w:r>
              <w:rPr>
                <w:rFonts w:ascii="Arial" w:cs="Arial" w:eastAsia="Arial" w:hAnsi="Arial"/>
                <w:sz w:val="14"/>
                <w:szCs w:val="14"/>
                <w:color w:val="41516E"/>
              </w:rPr>
              <w:t>19,268</w:t>
            </w: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84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color w:val="41516E"/>
              </w:rPr>
              <w:t>1,009,400</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i w:val="1"/>
          <w:iCs w:val="1"/>
          <w:color w:val="41516E"/>
        </w:rPr>
      </w:pPr>
      <w:r>
        <w:rPr>
          <w:rFonts w:ascii="Arial" w:cs="Arial" w:eastAsia="Arial" w:hAnsi="Arial"/>
          <w:sz w:val="14"/>
          <w:szCs w:val="14"/>
          <w:i w:val="1"/>
          <w:iCs w:val="1"/>
          <w:color w:val="41516E"/>
        </w:rPr>
        <w:t>Included in this column are amounts earned, although not necessarily received, during the corresponding fiscal year.</w:t>
      </w:r>
    </w:p>
    <w:p>
      <w:pPr>
        <w:spacing w:after="0" w:line="55" w:lineRule="exact"/>
        <w:rPr>
          <w:rFonts w:ascii="Arial" w:cs="Arial" w:eastAsia="Arial" w:hAnsi="Arial"/>
          <w:sz w:val="14"/>
          <w:szCs w:val="14"/>
          <w:i w:val="1"/>
          <w:iCs w:val="1"/>
          <w:color w:val="41516E"/>
        </w:rPr>
      </w:pPr>
    </w:p>
    <w:p>
      <w:pPr>
        <w:ind w:left="340" w:hanging="332"/>
        <w:spacing w:after="0" w:line="281" w:lineRule="auto"/>
        <w:tabs>
          <w:tab w:leader="none" w:pos="340" w:val="left"/>
        </w:tabs>
        <w:numPr>
          <w:ilvl w:val="0"/>
          <w:numId w:val="19"/>
        </w:numPr>
        <w:rPr>
          <w:rFonts w:ascii="Arial" w:cs="Arial" w:eastAsia="Arial" w:hAnsi="Arial"/>
          <w:sz w:val="14"/>
          <w:szCs w:val="14"/>
          <w:i w:val="1"/>
          <w:iCs w:val="1"/>
          <w:color w:val="41516E"/>
        </w:rPr>
      </w:pPr>
      <w:r>
        <w:rPr>
          <w:rFonts w:ascii="Arial" w:cs="Arial" w:eastAsia="Arial" w:hAnsi="Arial"/>
          <w:sz w:val="14"/>
          <w:szCs w:val="14"/>
          <w:i w:val="1"/>
          <w:iCs w:val="1"/>
          <w:color w:val="41516E"/>
        </w:rPr>
        <w:t>The Compensation Committee, on occasion, awards Executive Officers additional discretionary bonus payments outside of the scope of the Executive Officer’s incentive bonus goal plan in recognition of exceptional performance, in connection with hiring, or for other reasons.</w:t>
      </w:r>
    </w:p>
    <w:p>
      <w:pPr>
        <w:spacing w:after="0" w:line="1" w:lineRule="exact"/>
        <w:rPr>
          <w:rFonts w:ascii="Arial" w:cs="Arial" w:eastAsia="Arial" w:hAnsi="Arial"/>
          <w:sz w:val="14"/>
          <w:szCs w:val="14"/>
          <w:i w:val="1"/>
          <w:iCs w:val="1"/>
          <w:color w:val="41516E"/>
        </w:rPr>
      </w:pPr>
    </w:p>
    <w:p>
      <w:pPr>
        <w:jc w:val="both"/>
        <w:ind w:left="340" w:hanging="332"/>
        <w:spacing w:after="0" w:line="255" w:lineRule="auto"/>
        <w:tabs>
          <w:tab w:leader="none" w:pos="340" w:val="left"/>
        </w:tabs>
        <w:numPr>
          <w:ilvl w:val="0"/>
          <w:numId w:val="19"/>
        </w:numPr>
        <w:rPr>
          <w:rFonts w:ascii="Arial" w:cs="Arial" w:eastAsia="Arial" w:hAnsi="Arial"/>
          <w:sz w:val="14"/>
          <w:szCs w:val="14"/>
          <w:i w:val="1"/>
          <w:iCs w:val="1"/>
          <w:color w:val="41516E"/>
        </w:rPr>
      </w:pPr>
      <w:r>
        <w:rPr>
          <w:rFonts w:ascii="Arial" w:cs="Arial" w:eastAsia="Arial" w:hAnsi="Arial"/>
          <w:sz w:val="14"/>
          <w:szCs w:val="14"/>
          <w:i w:val="1"/>
          <w:iCs w:val="1"/>
          <w:color w:val="41516E"/>
        </w:rPr>
        <w:t>Reflects the dollar amount of the aggregate grant date fair value of awards granted during each fiscal year as computed in accordance with Accounting Standards Codification 718, Compensation-Stock Compensation (“ASC 718”). The methods and assumptions used in valuing the stock option and restricted stock awards in accordance with ASC 718 are described in the Company’s audited financial statements for Fiscal Year 2023 included in the Company’s Annual Report on Form 10-K filed with the SEC on February 27, 2024.</w:t>
      </w:r>
    </w:p>
    <w:p>
      <w:pPr>
        <w:spacing w:after="0" w:line="17" w:lineRule="exact"/>
        <w:rPr>
          <w:rFonts w:ascii="Arial" w:cs="Arial" w:eastAsia="Arial" w:hAnsi="Arial"/>
          <w:sz w:val="14"/>
          <w:szCs w:val="14"/>
          <w:i w:val="1"/>
          <w:iCs w:val="1"/>
          <w:color w:val="41516E"/>
        </w:rPr>
      </w:pPr>
    </w:p>
    <w:p>
      <w:pPr>
        <w:jc w:val="both"/>
        <w:ind w:left="340" w:hanging="332"/>
        <w:spacing w:after="0" w:line="248" w:lineRule="auto"/>
        <w:tabs>
          <w:tab w:leader="none" w:pos="340" w:val="left"/>
        </w:tabs>
        <w:numPr>
          <w:ilvl w:val="0"/>
          <w:numId w:val="19"/>
        </w:numPr>
        <w:rPr>
          <w:rFonts w:ascii="Arial" w:cs="Arial" w:eastAsia="Arial" w:hAnsi="Arial"/>
          <w:sz w:val="14"/>
          <w:szCs w:val="14"/>
          <w:i w:val="1"/>
          <w:iCs w:val="1"/>
          <w:color w:val="41516E"/>
        </w:rPr>
      </w:pPr>
      <w:r>
        <w:rPr>
          <w:rFonts w:ascii="Arial" w:cs="Arial" w:eastAsia="Arial" w:hAnsi="Arial"/>
          <w:sz w:val="14"/>
          <w:szCs w:val="14"/>
          <w:i w:val="1"/>
          <w:iCs w:val="1"/>
          <w:color w:val="41516E"/>
        </w:rPr>
        <w:t>Includes annual group life insurance premium, Company matching contributions under the Company’s 401(k) plan paid in the respective year, car allowances as applicable, Company health savings contributions under the Company’s medical plan paid in the respective year, accrued but unused paid time off paid to former employees, fitness reimbursements, and Relocation Assistance if applicable. For Fiscal Year 2023, Mr. Burwick, Mr. Murphy, Mr. Hodges, Mr. Geist, and Ms. Lysyj each received 401(k) plan matching contributions in the amount of $13,200. Mr. Smalla received 401(k) plan matching contributions in the amount of $13.089. Mr. Reynoso received 401(k) plan matching contributions of $8,077. As explained above under the heading “Executive Benefits”, Mr. Reynoso received $600,000 and Mr. Hodges received $9,016 in Relocation Assistance in 2023. As explained above under the heading “Consulting Fees to Mr. Hodges”, prior to his full-time hiring, the Company paid $645,500 in consulting fees to Mr. Hodges in 2023.</w:t>
      </w:r>
    </w:p>
    <w:p>
      <w:pPr>
        <w:spacing w:after="0" w:line="23" w:lineRule="exact"/>
        <w:rPr>
          <w:rFonts w:ascii="Arial" w:cs="Arial" w:eastAsia="Arial" w:hAnsi="Arial"/>
          <w:sz w:val="14"/>
          <w:szCs w:val="14"/>
          <w:i w:val="1"/>
          <w:iCs w:val="1"/>
          <w:color w:val="41516E"/>
        </w:rPr>
      </w:pPr>
    </w:p>
    <w:p>
      <w:pPr>
        <w:jc w:val="both"/>
        <w:ind w:left="340" w:hanging="332"/>
        <w:spacing w:after="0" w:line="255" w:lineRule="auto"/>
        <w:tabs>
          <w:tab w:leader="none" w:pos="340" w:val="left"/>
        </w:tabs>
        <w:numPr>
          <w:ilvl w:val="0"/>
          <w:numId w:val="19"/>
        </w:numPr>
        <w:rPr>
          <w:rFonts w:ascii="Arial" w:cs="Arial" w:eastAsia="Arial" w:hAnsi="Arial"/>
          <w:sz w:val="14"/>
          <w:szCs w:val="14"/>
          <w:i w:val="1"/>
          <w:iCs w:val="1"/>
          <w:color w:val="41516E"/>
        </w:rPr>
      </w:pPr>
      <w:r>
        <w:rPr>
          <w:rFonts w:ascii="Arial" w:cs="Arial" w:eastAsia="Arial" w:hAnsi="Arial"/>
          <w:sz w:val="14"/>
          <w:szCs w:val="14"/>
          <w:i w:val="1"/>
          <w:iCs w:val="1"/>
          <w:color w:val="41516E"/>
        </w:rPr>
        <w:t>Grant contains performance-based vesting conditions based on depletions growth as fully described under the heading “Long-Term Equity Awards - Stock Option Awards” above; the value reported above reflects the value of the award at the grant date and is consistent with the estimate of aggregate compensation cost to be recognized over the service period determined as of the grant date under ASC 718, excluding the effect of estimated forfeitures. The Compensation Committee will determine if the performance criteria have been met prior to March 1, 2025.</w:t>
      </w:r>
    </w:p>
    <w:p>
      <w:pPr>
        <w:spacing w:after="0" w:line="17" w:lineRule="exact"/>
        <w:rPr>
          <w:rFonts w:ascii="Arial" w:cs="Arial" w:eastAsia="Arial" w:hAnsi="Arial"/>
          <w:sz w:val="14"/>
          <w:szCs w:val="14"/>
          <w:i w:val="1"/>
          <w:iCs w:val="1"/>
          <w:color w:val="41516E"/>
        </w:rPr>
      </w:pPr>
    </w:p>
    <w:p>
      <w:pPr>
        <w:jc w:val="both"/>
        <w:ind w:left="340" w:hanging="332"/>
        <w:spacing w:after="0" w:line="255" w:lineRule="auto"/>
        <w:tabs>
          <w:tab w:leader="none" w:pos="340" w:val="left"/>
        </w:tabs>
        <w:numPr>
          <w:ilvl w:val="0"/>
          <w:numId w:val="19"/>
        </w:numPr>
        <w:rPr>
          <w:rFonts w:ascii="Arial" w:cs="Arial" w:eastAsia="Arial" w:hAnsi="Arial"/>
          <w:sz w:val="14"/>
          <w:szCs w:val="14"/>
          <w:i w:val="1"/>
          <w:iCs w:val="1"/>
          <w:color w:val="41516E"/>
        </w:rPr>
      </w:pPr>
      <w:r>
        <w:rPr>
          <w:rFonts w:ascii="Arial" w:cs="Arial" w:eastAsia="Arial" w:hAnsi="Arial"/>
          <w:sz w:val="14"/>
          <w:szCs w:val="14"/>
          <w:i w:val="1"/>
          <w:iCs w:val="1"/>
          <w:color w:val="41516E"/>
        </w:rPr>
        <w:t>Grant contains performance-based vesting conditions based on depletions growth as fully described under the heading “Long-Term Equity Awards - Stock Option Awards” above; the value reported above reflects the value of the award at the grant date and is consistent with the estimate of aggregate compensation cost to be recognized over the service period determined as of the grant date under ASC 718, excluding the effect of estimated forfeitures. In February 2024, the Compensation Committee determined that the performance criteria had not been achieved.</w:t>
      </w:r>
    </w:p>
    <w:p>
      <w:pPr>
        <w:spacing w:after="0" w:line="17" w:lineRule="exact"/>
        <w:rPr>
          <w:rFonts w:ascii="Arial" w:cs="Arial" w:eastAsia="Arial" w:hAnsi="Arial"/>
          <w:sz w:val="14"/>
          <w:szCs w:val="14"/>
          <w:i w:val="1"/>
          <w:iCs w:val="1"/>
          <w:color w:val="41516E"/>
        </w:rPr>
      </w:pPr>
    </w:p>
    <w:p>
      <w:pPr>
        <w:jc w:val="both"/>
        <w:ind w:left="340" w:hanging="332"/>
        <w:spacing w:after="0" w:line="269" w:lineRule="auto"/>
        <w:tabs>
          <w:tab w:leader="none" w:pos="340" w:val="left"/>
        </w:tabs>
        <w:numPr>
          <w:ilvl w:val="0"/>
          <w:numId w:val="19"/>
        </w:numPr>
        <w:rPr>
          <w:rFonts w:ascii="Arial" w:cs="Arial" w:eastAsia="Arial" w:hAnsi="Arial"/>
          <w:sz w:val="14"/>
          <w:szCs w:val="14"/>
          <w:i w:val="1"/>
          <w:iCs w:val="1"/>
          <w:color w:val="41516E"/>
        </w:rPr>
      </w:pPr>
      <w:r>
        <w:rPr>
          <w:rFonts w:ascii="Arial" w:cs="Arial" w:eastAsia="Arial" w:hAnsi="Arial"/>
          <w:sz w:val="14"/>
          <w:szCs w:val="14"/>
          <w:i w:val="1"/>
          <w:iCs w:val="1"/>
          <w:color w:val="41516E"/>
        </w:rPr>
        <w:t>Grant contains long-term service-based vesting conditions; as such, the value reported above reflects the value of the award at the grant date and is consistent with the estimate of aggregate compensation cost to be recognized over the service period determined as of the grant date under ASC 718, excluding the effect of estimated forfeitures.</w:t>
      </w:r>
    </w:p>
    <w:p>
      <w:pPr>
        <w:spacing w:after="0" w:line="179" w:lineRule="exact"/>
        <w:rPr>
          <w:rFonts w:ascii="Arial" w:cs="Arial" w:eastAsia="Arial" w:hAnsi="Arial"/>
          <w:sz w:val="14"/>
          <w:szCs w:val="14"/>
          <w:i w:val="1"/>
          <w:iCs w:val="1"/>
          <w:color w:val="41516E"/>
        </w:rPr>
      </w:pPr>
    </w:p>
    <w:p>
      <w:pPr>
        <w:jc w:val="both"/>
        <w:ind w:left="340" w:hanging="332"/>
        <w:spacing w:after="0" w:line="255" w:lineRule="auto"/>
        <w:tabs>
          <w:tab w:leader="none" w:pos="340" w:val="left"/>
        </w:tabs>
        <w:numPr>
          <w:ilvl w:val="0"/>
          <w:numId w:val="19"/>
        </w:numPr>
        <w:rPr>
          <w:rFonts w:ascii="Arial" w:cs="Arial" w:eastAsia="Arial" w:hAnsi="Arial"/>
          <w:sz w:val="14"/>
          <w:szCs w:val="14"/>
          <w:i w:val="1"/>
          <w:iCs w:val="1"/>
          <w:color w:val="41516E"/>
        </w:rPr>
      </w:pPr>
      <w:r>
        <w:rPr>
          <w:rFonts w:ascii="Arial" w:cs="Arial" w:eastAsia="Arial" w:hAnsi="Arial"/>
          <w:sz w:val="14"/>
          <w:szCs w:val="14"/>
          <w:i w:val="1"/>
          <w:iCs w:val="1"/>
          <w:color w:val="41516E"/>
        </w:rPr>
        <w:t>Grant contains performance-based vesting conditions based on depletions growth as fully described under the heading “Long-Term Equity Awards - Stock Option Awards” above; the value reported above reflects the value of the award at the grant date and is consistent with the estimate of aggregate compensation cost to be recognized over the service period determined as of the grant date under ASC 718, excluding the effect of estimated forfeitures. In February 2023, the Compensation Committee determined that the performance criteria had been achieved.</w:t>
      </w:r>
    </w:p>
    <w:p>
      <w:pPr>
        <w:spacing w:after="0" w:line="17" w:lineRule="exact"/>
        <w:rPr>
          <w:rFonts w:ascii="Arial" w:cs="Arial" w:eastAsia="Arial" w:hAnsi="Arial"/>
          <w:sz w:val="14"/>
          <w:szCs w:val="14"/>
          <w:i w:val="1"/>
          <w:iCs w:val="1"/>
          <w:color w:val="41516E"/>
        </w:rPr>
      </w:pPr>
    </w:p>
    <w:p>
      <w:pPr>
        <w:jc w:val="both"/>
        <w:ind w:left="340" w:hanging="332"/>
        <w:spacing w:after="0" w:line="255" w:lineRule="auto"/>
        <w:tabs>
          <w:tab w:leader="none" w:pos="340" w:val="left"/>
        </w:tabs>
        <w:numPr>
          <w:ilvl w:val="0"/>
          <w:numId w:val="19"/>
        </w:numPr>
        <w:rPr>
          <w:rFonts w:ascii="Arial" w:cs="Arial" w:eastAsia="Arial" w:hAnsi="Arial"/>
          <w:sz w:val="14"/>
          <w:szCs w:val="14"/>
          <w:i w:val="1"/>
          <w:iCs w:val="1"/>
          <w:color w:val="41516E"/>
        </w:rPr>
      </w:pPr>
      <w:r>
        <w:rPr>
          <w:rFonts w:ascii="Arial" w:cs="Arial" w:eastAsia="Arial" w:hAnsi="Arial"/>
          <w:sz w:val="14"/>
          <w:szCs w:val="14"/>
          <w:i w:val="1"/>
          <w:iCs w:val="1"/>
          <w:color w:val="41516E"/>
        </w:rPr>
        <w:t>Grant contains performance-based vesting conditions based on delivered gross margin and net promoter score metrics as fully described under the heading “Long-Term Equity Awards - Stock Option Awards” above; the value reported above reflects the value of the award at the grant date and is consistent with the estimate of aggregate compensation cost to be recognized over the service period determined as of the grant date under ASC 718, excluding the effect of estimated forfeitures. The Compensation Committee will determine if the performance criteria have been met prior to March 1, 2027.</w:t>
      </w:r>
    </w:p>
    <w:p>
      <w:pPr>
        <w:spacing w:after="0" w:line="140"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Except as noted in the “All Other Compensation” column, we have not paid or provided any perquisites to any of our Executive Officers, either individually or in the aggregate, in excess of $10,000. Investment Shares of the Company’s Class A Common Stock purchased by Executive Officers at a discount under the ISP are not included in the Summary Compensation Table. The Chairman and the CEO are not eligible for the ISP. Executive Officers other than the Chairman and the CEO receive the same opportunity under the ISP as other ISP Eligible Employees. On December 30, 2023, Mr. Murphy held unvested Investment Shares.</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Grants of Plan-Based Awards in Fiscal Year 2023</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The following table describes the potential range of annual cash incentive awards and potential payouts under equity incentive awards for Fiscal Year 2023 performance, the actual stock option awards granted during Fiscal Year 2023, the actual RSUs granted during Fiscal Year 2023, and the grant date fair value of the equity awards.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41516E"/>
              </w:rPr>
              <w:t>Estimated</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41516E"/>
              </w:rPr>
              <w:t>Future Payouts</w:t>
            </w:r>
          </w:p>
        </w:tc>
        <w:tc>
          <w:tcPr>
            <w:tcW w:w="176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41516E"/>
              </w:rPr>
              <w:t>Estimated Future</w:t>
            </w: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41516E"/>
              </w:rPr>
              <w:t>All Other</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41516E"/>
              </w:rPr>
              <w:t>Exercise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41516E"/>
              </w:rPr>
              <w:t>Grant Date</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41516E"/>
              </w:rPr>
              <w:t>Under Non-Equity</w:t>
            </w:r>
          </w:p>
        </w:tc>
        <w:tc>
          <w:tcPr>
            <w:tcW w:w="176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41516E"/>
              </w:rPr>
              <w:t>Payouts Under</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41516E"/>
              </w:rPr>
              <w:t>Stock</w:t>
            </w:r>
          </w:p>
        </w:tc>
        <w:tc>
          <w:tcPr>
            <w:tcW w:w="80" w:type="dxa"/>
            <w:vAlign w:val="bottom"/>
          </w:tcPr>
          <w:p>
            <w:pPr>
              <w:spacing w:after="0"/>
              <w:rPr>
                <w:sz w:val="14"/>
                <w:szCs w:val="14"/>
                <w:color w:val="auto"/>
              </w:rPr>
            </w:pPr>
          </w:p>
        </w:tc>
        <w:tc>
          <w:tcPr>
            <w:tcW w:w="800" w:type="dxa"/>
            <w:vAlign w:val="bottom"/>
          </w:tcPr>
          <w:p>
            <w:pPr>
              <w:jc w:val="right"/>
              <w:ind w:right="150"/>
              <w:spacing w:after="0"/>
              <w:rPr>
                <w:sz w:val="20"/>
                <w:szCs w:val="20"/>
                <w:color w:val="auto"/>
              </w:rPr>
            </w:pPr>
            <w:r>
              <w:rPr>
                <w:rFonts w:ascii="Arial" w:cs="Arial" w:eastAsia="Arial" w:hAnsi="Arial"/>
                <w:sz w:val="14"/>
                <w:szCs w:val="14"/>
                <w:b w:val="1"/>
                <w:bCs w:val="1"/>
                <w:color w:val="41516E"/>
              </w:rPr>
              <w:t>or Base</w:t>
            </w:r>
          </w:p>
        </w:tc>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41516E"/>
              </w:rPr>
              <w:t>Closing</w:t>
            </w:r>
          </w:p>
        </w:tc>
        <w:tc>
          <w:tcPr>
            <w:tcW w:w="180" w:type="dxa"/>
            <w:vAlign w:val="bottom"/>
          </w:tcPr>
          <w:p>
            <w:pPr>
              <w:spacing w:after="0"/>
              <w:rPr>
                <w:sz w:val="14"/>
                <w:szCs w:val="14"/>
                <w:color w:val="auto"/>
              </w:rPr>
            </w:pPr>
          </w:p>
        </w:tc>
        <w:tc>
          <w:tcPr>
            <w:tcW w:w="7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41516E"/>
                <w:w w:val="98"/>
              </w:rPr>
              <w:t>Fair Value</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41516E"/>
              </w:rPr>
              <w:t>Incentive Plan</w:t>
            </w:r>
          </w:p>
        </w:tc>
        <w:tc>
          <w:tcPr>
            <w:tcW w:w="176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41516E"/>
              </w:rPr>
              <w:t>Equity Incentive</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41516E"/>
              </w:rPr>
              <w:t>Awards:</w:t>
            </w:r>
          </w:p>
        </w:tc>
        <w:tc>
          <w:tcPr>
            <w:tcW w:w="80" w:type="dxa"/>
            <w:vAlign w:val="bottom"/>
          </w:tcPr>
          <w:p>
            <w:pPr>
              <w:spacing w:after="0"/>
              <w:rPr>
                <w:sz w:val="14"/>
                <w:szCs w:val="14"/>
                <w:color w:val="auto"/>
              </w:rPr>
            </w:pPr>
          </w:p>
        </w:tc>
        <w:tc>
          <w:tcPr>
            <w:tcW w:w="800" w:type="dxa"/>
            <w:vAlign w:val="bottom"/>
          </w:tcPr>
          <w:p>
            <w:pPr>
              <w:jc w:val="right"/>
              <w:ind w:right="150"/>
              <w:spacing w:after="0"/>
              <w:rPr>
                <w:sz w:val="20"/>
                <w:szCs w:val="20"/>
                <w:color w:val="auto"/>
              </w:rPr>
            </w:pPr>
            <w:r>
              <w:rPr>
                <w:rFonts w:ascii="Arial" w:cs="Arial" w:eastAsia="Arial" w:hAnsi="Arial"/>
                <w:sz w:val="14"/>
                <w:szCs w:val="14"/>
                <w:b w:val="1"/>
                <w:bCs w:val="1"/>
                <w:color w:val="41516E"/>
              </w:rPr>
              <w:t>Price</w:t>
            </w:r>
          </w:p>
        </w:tc>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41516E"/>
                <w:w w:val="97"/>
              </w:rPr>
              <w:t>Price on</w:t>
            </w:r>
          </w:p>
        </w:tc>
        <w:tc>
          <w:tcPr>
            <w:tcW w:w="180" w:type="dxa"/>
            <w:vAlign w:val="bottom"/>
          </w:tcPr>
          <w:p>
            <w:pPr>
              <w:spacing w:after="0"/>
              <w:rPr>
                <w:sz w:val="14"/>
                <w:szCs w:val="14"/>
                <w:color w:val="auto"/>
              </w:rPr>
            </w:pPr>
          </w:p>
        </w:tc>
        <w:tc>
          <w:tcPr>
            <w:tcW w:w="7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41516E"/>
              </w:rPr>
              <w:t>of Stock</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41516E"/>
            </w:tcBorders>
          </w:tcPr>
          <w:p>
            <w:pPr>
              <w:spacing w:after="0"/>
              <w:rPr>
                <w:sz w:val="16"/>
                <w:szCs w:val="16"/>
                <w:color w:val="auto"/>
              </w:rPr>
            </w:pPr>
          </w:p>
        </w:tc>
        <w:tc>
          <w:tcPr>
            <w:tcW w:w="680" w:type="dxa"/>
            <w:vAlign w:val="bottom"/>
            <w:tcBorders>
              <w:bottom w:val="single" w:sz="8" w:color="41516E"/>
            </w:tcBorders>
          </w:tcPr>
          <w:p>
            <w:pPr>
              <w:spacing w:after="0"/>
              <w:rPr>
                <w:sz w:val="16"/>
                <w:szCs w:val="16"/>
                <w:color w:val="auto"/>
              </w:rPr>
            </w:pPr>
          </w:p>
        </w:tc>
        <w:tc>
          <w:tcPr>
            <w:tcW w:w="340" w:type="dxa"/>
            <w:vAlign w:val="bottom"/>
            <w:tcBorders>
              <w:bottom w:val="single" w:sz="8" w:color="41516E"/>
            </w:tcBorders>
          </w:tcPr>
          <w:p>
            <w:pPr>
              <w:spacing w:after="0"/>
              <w:rPr>
                <w:sz w:val="16"/>
                <w:szCs w:val="16"/>
                <w:color w:val="auto"/>
              </w:rPr>
            </w:pPr>
          </w:p>
        </w:tc>
        <w:tc>
          <w:tcPr>
            <w:tcW w:w="840" w:type="dxa"/>
            <w:vAlign w:val="bottom"/>
            <w:tcBorders>
              <w:bottom w:val="single" w:sz="8" w:color="41516E"/>
            </w:tcBorders>
          </w:tcPr>
          <w:p>
            <w:pPr>
              <w:jc w:val="right"/>
              <w:ind w:right="109"/>
              <w:spacing w:after="0" w:line="189" w:lineRule="exact"/>
              <w:rPr>
                <w:sz w:val="20"/>
                <w:szCs w:val="20"/>
                <w:color w:val="auto"/>
              </w:rPr>
            </w:pPr>
            <w:r>
              <w:rPr>
                <w:rFonts w:ascii="Arial" w:cs="Arial" w:eastAsia="Arial" w:hAnsi="Arial"/>
                <w:sz w:val="13"/>
                <w:szCs w:val="13"/>
                <w:b w:val="1"/>
                <w:bCs w:val="1"/>
                <w:color w:val="41516E"/>
                <w:w w:val="99"/>
              </w:rPr>
              <w:t>Awards</w:t>
            </w:r>
            <w:r>
              <w:rPr>
                <w:rFonts w:ascii="Arial" w:cs="Arial" w:eastAsia="Arial" w:hAnsi="Arial"/>
                <w:sz w:val="21"/>
                <w:szCs w:val="21"/>
                <w:b w:val="1"/>
                <w:bCs w:val="1"/>
                <w:color w:val="41516E"/>
                <w:w w:val="99"/>
                <w:vertAlign w:val="superscript"/>
              </w:rPr>
              <w:t>(1)</w:t>
            </w:r>
          </w:p>
        </w:tc>
        <w:tc>
          <w:tcPr>
            <w:tcW w:w="1760" w:type="dxa"/>
            <w:vAlign w:val="bottom"/>
            <w:tcBorders>
              <w:bottom w:val="single" w:sz="8" w:color="41516E"/>
            </w:tcBorders>
            <w:gridSpan w:val="2"/>
          </w:tcPr>
          <w:p>
            <w:pPr>
              <w:jc w:val="right"/>
              <w:ind w:right="111"/>
              <w:spacing w:after="0" w:line="189" w:lineRule="exact"/>
              <w:rPr>
                <w:sz w:val="20"/>
                <w:szCs w:val="20"/>
                <w:color w:val="auto"/>
              </w:rPr>
            </w:pPr>
            <w:r>
              <w:rPr>
                <w:rFonts w:ascii="Arial" w:cs="Arial" w:eastAsia="Arial" w:hAnsi="Arial"/>
                <w:sz w:val="13"/>
                <w:szCs w:val="13"/>
                <w:b w:val="1"/>
                <w:bCs w:val="1"/>
                <w:color w:val="41516E"/>
              </w:rPr>
              <w:t>Plan Awards</w:t>
            </w:r>
            <w:r>
              <w:rPr>
                <w:rFonts w:ascii="Arial" w:cs="Arial" w:eastAsia="Arial" w:hAnsi="Arial"/>
                <w:sz w:val="21"/>
                <w:szCs w:val="21"/>
                <w:b w:val="1"/>
                <w:bCs w:val="1"/>
                <w:color w:val="41516E"/>
                <w:vertAlign w:val="superscript"/>
              </w:rPr>
              <w:t>(1)</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41516E"/>
              </w:rPr>
              <w:t>Number</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41516E"/>
              </w:rPr>
              <w:t>of Option</w:t>
            </w:r>
          </w:p>
        </w:tc>
        <w:tc>
          <w:tcPr>
            <w:tcW w:w="1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41516E"/>
              </w:rPr>
              <w:t>Date of</w:t>
            </w: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41516E"/>
              </w:rPr>
              <w:t>and Option</w:t>
            </w:r>
          </w:p>
        </w:tc>
        <w:tc>
          <w:tcPr>
            <w:tcW w:w="0" w:type="dxa"/>
            <w:vAlign w:val="bottom"/>
          </w:tcPr>
          <w:p>
            <w:pPr>
              <w:spacing w:after="0"/>
              <w:rPr>
                <w:sz w:val="1"/>
                <w:szCs w:val="1"/>
                <w:color w:val="auto"/>
              </w:rPr>
            </w:pPr>
          </w:p>
        </w:tc>
      </w:tr>
      <w:tr>
        <w:trPr>
          <w:trHeight w:val="142"/>
        </w:trPr>
        <w:tc>
          <w:tcPr>
            <w:tcW w:w="1720" w:type="dxa"/>
            <w:vAlign w:val="bottom"/>
          </w:tcPr>
          <w:p>
            <w:pPr>
              <w:ind w:left="60"/>
              <w:spacing w:after="0" w:line="142" w:lineRule="exact"/>
              <w:rPr>
                <w:sz w:val="20"/>
                <w:szCs w:val="20"/>
                <w:color w:val="auto"/>
              </w:rPr>
            </w:pPr>
            <w:r>
              <w:rPr>
                <w:rFonts w:ascii="Arial" w:cs="Arial" w:eastAsia="Arial" w:hAnsi="Arial"/>
                <w:sz w:val="14"/>
                <w:szCs w:val="14"/>
                <w:b w:val="1"/>
                <w:bCs w:val="1"/>
                <w:color w:val="41516E"/>
              </w:rPr>
              <w:t>Name/Type of</w:t>
            </w:r>
          </w:p>
        </w:tc>
        <w:tc>
          <w:tcPr>
            <w:tcW w:w="11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41516E"/>
              </w:rPr>
              <w:t>Grant</w:t>
            </w:r>
          </w:p>
        </w:tc>
        <w:tc>
          <w:tcPr>
            <w:tcW w:w="8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41516E"/>
              </w:rPr>
              <w:t>Approval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41516E"/>
              </w:rPr>
              <w:t>Target</w:t>
            </w:r>
          </w:p>
        </w:tc>
        <w:tc>
          <w:tcPr>
            <w:tcW w:w="340" w:type="dxa"/>
            <w:vAlign w:val="bottom"/>
          </w:tcPr>
          <w:p>
            <w:pPr>
              <w:spacing w:after="0"/>
              <w:rPr>
                <w:sz w:val="12"/>
                <w:szCs w:val="12"/>
                <w:color w:val="auto"/>
              </w:rPr>
            </w:pPr>
          </w:p>
        </w:tc>
        <w:tc>
          <w:tcPr>
            <w:tcW w:w="840" w:type="dxa"/>
            <w:vAlign w:val="bottom"/>
          </w:tcPr>
          <w:p>
            <w:pPr>
              <w:jc w:val="right"/>
              <w:ind w:right="109"/>
              <w:spacing w:after="0" w:line="142" w:lineRule="exact"/>
              <w:rPr>
                <w:sz w:val="20"/>
                <w:szCs w:val="20"/>
                <w:color w:val="auto"/>
              </w:rPr>
            </w:pPr>
            <w:r>
              <w:rPr>
                <w:rFonts w:ascii="Arial" w:cs="Arial" w:eastAsia="Arial" w:hAnsi="Arial"/>
                <w:sz w:val="14"/>
                <w:szCs w:val="14"/>
                <w:b w:val="1"/>
                <w:bCs w:val="1"/>
                <w:color w:val="41516E"/>
                <w:w w:val="99"/>
              </w:rPr>
              <w:t>Maximum</w:t>
            </w:r>
          </w:p>
        </w:tc>
        <w:tc>
          <w:tcPr>
            <w:tcW w:w="8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41516E"/>
              </w:rPr>
              <w:t>Target</w:t>
            </w:r>
          </w:p>
        </w:tc>
        <w:tc>
          <w:tcPr>
            <w:tcW w:w="9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41516E"/>
              </w:rPr>
              <w:t>Maximum</w:t>
            </w:r>
          </w:p>
        </w:tc>
        <w:tc>
          <w:tcPr>
            <w:tcW w:w="108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41516E"/>
              </w:rPr>
              <w:t>of Shares</w:t>
            </w:r>
          </w:p>
        </w:tc>
        <w:tc>
          <w:tcPr>
            <w:tcW w:w="80" w:type="dxa"/>
            <w:vAlign w:val="bottom"/>
          </w:tcPr>
          <w:p>
            <w:pPr>
              <w:spacing w:after="0"/>
              <w:rPr>
                <w:sz w:val="12"/>
                <w:szCs w:val="12"/>
                <w:color w:val="auto"/>
              </w:rPr>
            </w:pPr>
          </w:p>
        </w:tc>
        <w:tc>
          <w:tcPr>
            <w:tcW w:w="800" w:type="dxa"/>
            <w:vAlign w:val="bottom"/>
          </w:tcPr>
          <w:p>
            <w:pPr>
              <w:ind w:left="20"/>
              <w:spacing w:after="0" w:line="142" w:lineRule="exact"/>
              <w:rPr>
                <w:sz w:val="20"/>
                <w:szCs w:val="20"/>
                <w:color w:val="auto"/>
              </w:rPr>
            </w:pPr>
            <w:r>
              <w:rPr>
                <w:rFonts w:ascii="Arial" w:cs="Arial" w:eastAsia="Arial" w:hAnsi="Arial"/>
                <w:sz w:val="14"/>
                <w:szCs w:val="14"/>
                <w:b w:val="1"/>
                <w:bCs w:val="1"/>
                <w:color w:val="41516E"/>
              </w:rPr>
              <w:t>Awards</w:t>
            </w:r>
          </w:p>
        </w:tc>
        <w:tc>
          <w:tcPr>
            <w:tcW w:w="140" w:type="dxa"/>
            <w:vAlign w:val="bottom"/>
          </w:tcPr>
          <w:p>
            <w:pPr>
              <w:spacing w:after="0"/>
              <w:rPr>
                <w:sz w:val="12"/>
                <w:szCs w:val="12"/>
                <w:color w:val="auto"/>
              </w:rPr>
            </w:pPr>
          </w:p>
        </w:tc>
        <w:tc>
          <w:tcPr>
            <w:tcW w:w="6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41516E"/>
              </w:rPr>
              <w:t>Grant</w:t>
            </w:r>
          </w:p>
        </w:tc>
        <w:tc>
          <w:tcPr>
            <w:tcW w:w="180" w:type="dxa"/>
            <w:vAlign w:val="bottom"/>
          </w:tcPr>
          <w:p>
            <w:pPr>
              <w:spacing w:after="0"/>
              <w:rPr>
                <w:sz w:val="12"/>
                <w:szCs w:val="12"/>
                <w:color w:val="auto"/>
              </w:rPr>
            </w:pPr>
          </w:p>
        </w:tc>
        <w:tc>
          <w:tcPr>
            <w:tcW w:w="780" w:type="dxa"/>
            <w:vAlign w:val="bottom"/>
            <w:gridSpan w:val="2"/>
          </w:tcPr>
          <w:p>
            <w:pPr>
              <w:jc w:val="right"/>
              <w:ind w:right="19"/>
              <w:spacing w:after="0" w:line="142" w:lineRule="exact"/>
              <w:rPr>
                <w:sz w:val="20"/>
                <w:szCs w:val="20"/>
                <w:color w:val="auto"/>
              </w:rPr>
            </w:pPr>
            <w:r>
              <w:rPr>
                <w:rFonts w:ascii="Arial" w:cs="Arial" w:eastAsia="Arial" w:hAnsi="Arial"/>
                <w:sz w:val="14"/>
                <w:szCs w:val="14"/>
                <w:b w:val="1"/>
                <w:bCs w:val="1"/>
                <w:color w:val="41516E"/>
              </w:rPr>
              <w:t>Awards</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41516E"/>
            </w:tcBorders>
          </w:tcPr>
          <w:p>
            <w:pPr>
              <w:ind w:left="60"/>
              <w:spacing w:after="0"/>
              <w:rPr>
                <w:sz w:val="20"/>
                <w:szCs w:val="20"/>
                <w:color w:val="auto"/>
              </w:rPr>
            </w:pPr>
            <w:r>
              <w:rPr>
                <w:rFonts w:ascii="Arial" w:cs="Arial" w:eastAsia="Arial" w:hAnsi="Arial"/>
                <w:sz w:val="14"/>
                <w:szCs w:val="14"/>
                <w:b w:val="1"/>
                <w:bCs w:val="1"/>
                <w:color w:val="41516E"/>
              </w:rPr>
              <w:t>Award</w:t>
            </w:r>
          </w:p>
        </w:tc>
        <w:tc>
          <w:tcPr>
            <w:tcW w:w="114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b w:val="1"/>
                <w:bCs w:val="1"/>
                <w:color w:val="41516E"/>
              </w:rPr>
              <w:t>Date</w:t>
            </w:r>
          </w:p>
        </w:tc>
        <w:tc>
          <w:tcPr>
            <w:tcW w:w="880" w:type="dxa"/>
            <w:vAlign w:val="bottom"/>
            <w:tcBorders>
              <w:bottom w:val="single" w:sz="8" w:color="41516E"/>
            </w:tcBorders>
            <w:gridSpan w:val="2"/>
          </w:tcPr>
          <w:p>
            <w:pPr>
              <w:jc w:val="right"/>
              <w:ind w:right="160"/>
              <w:spacing w:after="0"/>
              <w:rPr>
                <w:sz w:val="20"/>
                <w:szCs w:val="20"/>
                <w:color w:val="auto"/>
              </w:rPr>
            </w:pPr>
            <w:r>
              <w:rPr>
                <w:rFonts w:ascii="Arial" w:cs="Arial" w:eastAsia="Arial" w:hAnsi="Arial"/>
                <w:sz w:val="14"/>
                <w:szCs w:val="14"/>
                <w:b w:val="1"/>
                <w:bCs w:val="1"/>
                <w:color w:val="41516E"/>
              </w:rPr>
              <w:t>Date</w:t>
            </w:r>
          </w:p>
        </w:tc>
        <w:tc>
          <w:tcPr>
            <w:tcW w:w="60" w:type="dxa"/>
            <w:vAlign w:val="bottom"/>
            <w:tcBorders>
              <w:bottom w:val="single" w:sz="8" w:color="41516E"/>
            </w:tcBorders>
          </w:tcPr>
          <w:p>
            <w:pPr>
              <w:spacing w:after="0"/>
              <w:rPr>
                <w:sz w:val="16"/>
                <w:szCs w:val="16"/>
                <w:color w:val="auto"/>
              </w:rPr>
            </w:pPr>
          </w:p>
        </w:tc>
        <w:tc>
          <w:tcPr>
            <w:tcW w:w="100" w:type="dxa"/>
            <w:vAlign w:val="bottom"/>
            <w:tcBorders>
              <w:bottom w:val="single" w:sz="8" w:color="41516E"/>
            </w:tcBorders>
          </w:tcPr>
          <w:p>
            <w:pPr>
              <w:spacing w:after="0"/>
              <w:rPr>
                <w:sz w:val="16"/>
                <w:szCs w:val="16"/>
                <w:color w:val="auto"/>
              </w:rPr>
            </w:pPr>
          </w:p>
        </w:tc>
        <w:tc>
          <w:tcPr>
            <w:tcW w:w="680" w:type="dxa"/>
            <w:vAlign w:val="bottom"/>
            <w:tcBorders>
              <w:bottom w:val="single" w:sz="8" w:color="41516E"/>
            </w:tcBorders>
          </w:tcPr>
          <w:p>
            <w:pPr>
              <w:jc w:val="right"/>
              <w:spacing w:after="0"/>
              <w:rPr>
                <w:sz w:val="20"/>
                <w:szCs w:val="20"/>
                <w:color w:val="auto"/>
              </w:rPr>
            </w:pPr>
            <w:r>
              <w:rPr>
                <w:rFonts w:ascii="Arial" w:cs="Arial" w:eastAsia="Arial" w:hAnsi="Arial"/>
                <w:sz w:val="14"/>
                <w:szCs w:val="14"/>
                <w:b w:val="1"/>
                <w:bCs w:val="1"/>
                <w:color w:val="41516E"/>
              </w:rPr>
              <w:t>($)</w:t>
            </w:r>
          </w:p>
        </w:tc>
        <w:tc>
          <w:tcPr>
            <w:tcW w:w="340" w:type="dxa"/>
            <w:vAlign w:val="bottom"/>
            <w:tcBorders>
              <w:bottom w:val="single" w:sz="8" w:color="41516E"/>
            </w:tcBorders>
          </w:tcPr>
          <w:p>
            <w:pPr>
              <w:spacing w:after="0"/>
              <w:rPr>
                <w:sz w:val="16"/>
                <w:szCs w:val="16"/>
                <w:color w:val="auto"/>
              </w:rPr>
            </w:pPr>
          </w:p>
        </w:tc>
        <w:tc>
          <w:tcPr>
            <w:tcW w:w="840" w:type="dxa"/>
            <w:vAlign w:val="bottom"/>
            <w:tcBorders>
              <w:bottom w:val="single" w:sz="8" w:color="41516E"/>
            </w:tcBorders>
          </w:tcPr>
          <w:p>
            <w:pPr>
              <w:jc w:val="right"/>
              <w:ind w:right="109"/>
              <w:spacing w:after="0"/>
              <w:rPr>
                <w:sz w:val="20"/>
                <w:szCs w:val="20"/>
                <w:color w:val="auto"/>
              </w:rPr>
            </w:pPr>
            <w:r>
              <w:rPr>
                <w:rFonts w:ascii="Arial" w:cs="Arial" w:eastAsia="Arial" w:hAnsi="Arial"/>
                <w:sz w:val="14"/>
                <w:szCs w:val="14"/>
                <w:b w:val="1"/>
                <w:bCs w:val="1"/>
                <w:color w:val="41516E"/>
              </w:rPr>
              <w:t>($)</w:t>
            </w:r>
          </w:p>
        </w:tc>
        <w:tc>
          <w:tcPr>
            <w:tcW w:w="860" w:type="dxa"/>
            <w:vAlign w:val="bottom"/>
            <w:tcBorders>
              <w:bottom w:val="single" w:sz="8" w:color="41516E"/>
            </w:tcBorders>
          </w:tcPr>
          <w:p>
            <w:pPr>
              <w:jc w:val="right"/>
              <w:ind w:right="152"/>
              <w:spacing w:after="0"/>
              <w:rPr>
                <w:sz w:val="20"/>
                <w:szCs w:val="20"/>
                <w:color w:val="auto"/>
              </w:rPr>
            </w:pPr>
            <w:r>
              <w:rPr>
                <w:rFonts w:ascii="Arial" w:cs="Arial" w:eastAsia="Arial" w:hAnsi="Arial"/>
                <w:sz w:val="14"/>
                <w:szCs w:val="14"/>
                <w:b w:val="1"/>
                <w:bCs w:val="1"/>
                <w:color w:val="41516E"/>
              </w:rPr>
              <w:t>(sh)</w:t>
            </w:r>
          </w:p>
        </w:tc>
        <w:tc>
          <w:tcPr>
            <w:tcW w:w="900" w:type="dxa"/>
            <w:vAlign w:val="bottom"/>
            <w:tcBorders>
              <w:bottom w:val="single" w:sz="8" w:color="41516E"/>
            </w:tcBorders>
          </w:tcPr>
          <w:p>
            <w:pPr>
              <w:jc w:val="right"/>
              <w:ind w:right="111"/>
              <w:spacing w:after="0"/>
              <w:rPr>
                <w:sz w:val="20"/>
                <w:szCs w:val="20"/>
                <w:color w:val="auto"/>
              </w:rPr>
            </w:pPr>
            <w:r>
              <w:rPr>
                <w:rFonts w:ascii="Arial" w:cs="Arial" w:eastAsia="Arial" w:hAnsi="Arial"/>
                <w:sz w:val="14"/>
                <w:szCs w:val="14"/>
                <w:b w:val="1"/>
                <w:bCs w:val="1"/>
                <w:color w:val="41516E"/>
              </w:rPr>
              <w:t>(sh)</w:t>
            </w:r>
          </w:p>
        </w:tc>
        <w:tc>
          <w:tcPr>
            <w:tcW w:w="108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b w:val="1"/>
                <w:bCs w:val="1"/>
                <w:color w:val="41516E"/>
              </w:rPr>
              <w:t>of Stock</w:t>
            </w:r>
          </w:p>
        </w:tc>
        <w:tc>
          <w:tcPr>
            <w:tcW w:w="80" w:type="dxa"/>
            <w:vAlign w:val="bottom"/>
            <w:tcBorders>
              <w:bottom w:val="single" w:sz="8" w:color="41516E"/>
            </w:tcBorders>
          </w:tcPr>
          <w:p>
            <w:pPr>
              <w:spacing w:after="0"/>
              <w:rPr>
                <w:sz w:val="16"/>
                <w:szCs w:val="16"/>
                <w:color w:val="auto"/>
              </w:rPr>
            </w:pPr>
          </w:p>
        </w:tc>
        <w:tc>
          <w:tcPr>
            <w:tcW w:w="800" w:type="dxa"/>
            <w:vAlign w:val="bottom"/>
            <w:tcBorders>
              <w:bottom w:val="single" w:sz="8" w:color="41516E"/>
            </w:tcBorders>
          </w:tcPr>
          <w:p>
            <w:pPr>
              <w:jc w:val="right"/>
              <w:ind w:right="150"/>
              <w:spacing w:after="0"/>
              <w:rPr>
                <w:sz w:val="20"/>
                <w:szCs w:val="20"/>
                <w:color w:val="auto"/>
              </w:rPr>
            </w:pPr>
            <w:r>
              <w:rPr>
                <w:rFonts w:ascii="Arial" w:cs="Arial" w:eastAsia="Arial" w:hAnsi="Arial"/>
                <w:sz w:val="14"/>
                <w:szCs w:val="14"/>
                <w:b w:val="1"/>
                <w:bCs w:val="1"/>
                <w:color w:val="41516E"/>
              </w:rPr>
              <w:t>($/sh)</w:t>
            </w:r>
          </w:p>
        </w:tc>
        <w:tc>
          <w:tcPr>
            <w:tcW w:w="140" w:type="dxa"/>
            <w:vAlign w:val="bottom"/>
            <w:tcBorders>
              <w:bottom w:val="single" w:sz="8" w:color="41516E"/>
            </w:tcBorders>
          </w:tcPr>
          <w:p>
            <w:pPr>
              <w:spacing w:after="0"/>
              <w:rPr>
                <w:sz w:val="16"/>
                <w:szCs w:val="16"/>
                <w:color w:val="auto"/>
              </w:rPr>
            </w:pPr>
          </w:p>
        </w:tc>
        <w:tc>
          <w:tcPr>
            <w:tcW w:w="66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b w:val="1"/>
                <w:bCs w:val="1"/>
                <w:color w:val="41516E"/>
              </w:rPr>
              <w:t>($/sh)</w:t>
            </w:r>
          </w:p>
        </w:tc>
        <w:tc>
          <w:tcPr>
            <w:tcW w:w="180" w:type="dxa"/>
            <w:vAlign w:val="bottom"/>
            <w:tcBorders>
              <w:bottom w:val="single" w:sz="8" w:color="41516E"/>
            </w:tcBorders>
          </w:tcPr>
          <w:p>
            <w:pPr>
              <w:spacing w:after="0"/>
              <w:rPr>
                <w:sz w:val="16"/>
                <w:szCs w:val="16"/>
                <w:color w:val="auto"/>
              </w:rPr>
            </w:pPr>
          </w:p>
        </w:tc>
        <w:tc>
          <w:tcPr>
            <w:tcW w:w="780" w:type="dxa"/>
            <w:vAlign w:val="bottom"/>
            <w:tcBorders>
              <w:bottom w:val="single" w:sz="8" w:color="41516E"/>
            </w:tcBorders>
            <w:gridSpan w:val="2"/>
          </w:tcPr>
          <w:p>
            <w:pPr>
              <w:jc w:val="right"/>
              <w:ind w:right="79"/>
              <w:spacing w:after="0" w:line="189" w:lineRule="exact"/>
              <w:rPr>
                <w:sz w:val="20"/>
                <w:szCs w:val="20"/>
                <w:color w:val="auto"/>
              </w:rPr>
            </w:pPr>
            <w:r>
              <w:rPr>
                <w:rFonts w:ascii="Arial" w:cs="Arial" w:eastAsia="Arial" w:hAnsi="Arial"/>
                <w:sz w:val="13"/>
                <w:szCs w:val="13"/>
                <w:b w:val="1"/>
                <w:bCs w:val="1"/>
                <w:color w:val="41516E"/>
              </w:rPr>
              <w:t>($)</w:t>
            </w:r>
            <w:r>
              <w:rPr>
                <w:rFonts w:ascii="Arial" w:cs="Arial" w:eastAsia="Arial" w:hAnsi="Arial"/>
                <w:sz w:val="21"/>
                <w:szCs w:val="21"/>
                <w:b w:val="1"/>
                <w:bCs w:val="1"/>
                <w:color w:val="41516E"/>
                <w:vertAlign w:val="superscript"/>
              </w:rPr>
              <w:t>(2)</w:t>
            </w:r>
          </w:p>
        </w:tc>
        <w:tc>
          <w:tcPr>
            <w:tcW w:w="0" w:type="dxa"/>
            <w:vAlign w:val="bottom"/>
          </w:tcPr>
          <w:p>
            <w:pPr>
              <w:spacing w:after="0"/>
              <w:rPr>
                <w:sz w:val="1"/>
                <w:szCs w:val="1"/>
                <w:color w:val="auto"/>
              </w:rPr>
            </w:pPr>
          </w:p>
        </w:tc>
      </w:tr>
      <w:tr>
        <w:trPr>
          <w:trHeight w:val="156"/>
        </w:trPr>
        <w:tc>
          <w:tcPr>
            <w:tcW w:w="1720" w:type="dxa"/>
            <w:vAlign w:val="bottom"/>
          </w:tcPr>
          <w:p>
            <w:pPr>
              <w:ind w:left="60"/>
              <w:spacing w:after="0" w:line="155" w:lineRule="exact"/>
              <w:rPr>
                <w:sz w:val="20"/>
                <w:szCs w:val="20"/>
                <w:color w:val="auto"/>
              </w:rPr>
            </w:pPr>
            <w:r>
              <w:rPr>
                <w:rFonts w:ascii="Arial" w:cs="Arial" w:eastAsia="Arial" w:hAnsi="Arial"/>
                <w:sz w:val="14"/>
                <w:szCs w:val="14"/>
                <w:b w:val="1"/>
                <w:bCs w:val="1"/>
                <w:color w:val="41516E"/>
              </w:rPr>
              <w:t>David A. Burwick</w:t>
            </w: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Annual Incentive</w:t>
            </w:r>
          </w:p>
        </w:tc>
        <w:tc>
          <w:tcPr>
            <w:tcW w:w="1140" w:type="dxa"/>
            <w:vAlign w:val="bottom"/>
            <w:shd w:val="clear" w:color="auto" w:fill="EFF0F1"/>
          </w:tcPr>
          <w:p>
            <w:pPr>
              <w:spacing w:after="0"/>
              <w:rPr>
                <w:sz w:val="14"/>
                <w:szCs w:val="14"/>
                <w:color w:val="auto"/>
              </w:rPr>
            </w:pPr>
          </w:p>
        </w:tc>
        <w:tc>
          <w:tcPr>
            <w:tcW w:w="800" w:type="dxa"/>
            <w:vAlign w:val="bottom"/>
            <w:shd w:val="clear" w:color="auto" w:fill="EFF0F1"/>
          </w:tcPr>
          <w:p>
            <w:pPr>
              <w:spacing w:after="0"/>
              <w:rPr>
                <w:sz w:val="14"/>
                <w:szCs w:val="14"/>
                <w:color w:val="auto"/>
              </w:rPr>
            </w:pPr>
          </w:p>
        </w:tc>
        <w:tc>
          <w:tcPr>
            <w:tcW w:w="80" w:type="dxa"/>
            <w:vAlign w:val="bottom"/>
            <w:shd w:val="clear" w:color="auto" w:fill="EFF0F1"/>
          </w:tcPr>
          <w:p>
            <w:pPr>
              <w:spacing w:after="0"/>
              <w:rPr>
                <w:sz w:val="14"/>
                <w:szCs w:val="14"/>
                <w:color w:val="auto"/>
              </w:rPr>
            </w:pPr>
          </w:p>
        </w:tc>
        <w:tc>
          <w:tcPr>
            <w:tcW w:w="160" w:type="dxa"/>
            <w:vAlign w:val="bottom"/>
            <w:gridSpan w:val="2"/>
            <w:shd w:val="clear" w:color="auto" w:fill="EFF0F1"/>
          </w:tcPr>
          <w:p>
            <w:pPr>
              <w:jc w:val="right"/>
              <w:ind w:right="20"/>
              <w:spacing w:after="0"/>
              <w:rPr>
                <w:sz w:val="20"/>
                <w:szCs w:val="20"/>
                <w:color w:val="auto"/>
              </w:rPr>
            </w:pPr>
            <w:r>
              <w:rPr>
                <w:rFonts w:ascii="Arial" w:cs="Arial" w:eastAsia="Arial" w:hAnsi="Arial"/>
                <w:sz w:val="14"/>
                <w:szCs w:val="14"/>
                <w:color w:val="41516E"/>
              </w:rPr>
              <w:t>$</w:t>
            </w:r>
          </w:p>
        </w:tc>
        <w:tc>
          <w:tcPr>
            <w:tcW w:w="68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1,032,604</w:t>
            </w:r>
          </w:p>
        </w:tc>
        <w:tc>
          <w:tcPr>
            <w:tcW w:w="3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109"/>
              <w:spacing w:after="0"/>
              <w:rPr>
                <w:sz w:val="20"/>
                <w:szCs w:val="20"/>
                <w:color w:val="auto"/>
              </w:rPr>
            </w:pPr>
            <w:r>
              <w:rPr>
                <w:rFonts w:ascii="Arial" w:cs="Arial" w:eastAsia="Arial" w:hAnsi="Arial"/>
                <w:sz w:val="14"/>
                <w:szCs w:val="14"/>
                <w:color w:val="41516E"/>
              </w:rPr>
              <w:t>2,581,509</w:t>
            </w:r>
          </w:p>
        </w:tc>
        <w:tc>
          <w:tcPr>
            <w:tcW w:w="860" w:type="dxa"/>
            <w:vAlign w:val="bottom"/>
            <w:shd w:val="clear" w:color="auto" w:fill="EFF0F1"/>
          </w:tcPr>
          <w:p>
            <w:pPr>
              <w:spacing w:after="0"/>
              <w:rPr>
                <w:sz w:val="14"/>
                <w:szCs w:val="14"/>
                <w:color w:val="auto"/>
              </w:rPr>
            </w:pPr>
          </w:p>
        </w:tc>
        <w:tc>
          <w:tcPr>
            <w:tcW w:w="900" w:type="dxa"/>
            <w:vAlign w:val="bottom"/>
            <w:shd w:val="clear" w:color="auto" w:fill="EFF0F1"/>
          </w:tcPr>
          <w:p>
            <w:pPr>
              <w:spacing w:after="0"/>
              <w:rPr>
                <w:sz w:val="14"/>
                <w:szCs w:val="14"/>
                <w:color w:val="auto"/>
              </w:rPr>
            </w:pPr>
          </w:p>
        </w:tc>
        <w:tc>
          <w:tcPr>
            <w:tcW w:w="1080" w:type="dxa"/>
            <w:vAlign w:val="bottom"/>
            <w:shd w:val="clear" w:color="auto" w:fill="EFF0F1"/>
          </w:tcPr>
          <w:p>
            <w:pPr>
              <w:spacing w:after="0"/>
              <w:rPr>
                <w:sz w:val="14"/>
                <w:szCs w:val="14"/>
                <w:color w:val="auto"/>
              </w:rPr>
            </w:pPr>
          </w:p>
        </w:tc>
        <w:tc>
          <w:tcPr>
            <w:tcW w:w="80" w:type="dxa"/>
            <w:vAlign w:val="bottom"/>
            <w:shd w:val="clear" w:color="auto" w:fill="EFF0F1"/>
          </w:tcPr>
          <w:p>
            <w:pPr>
              <w:spacing w:after="0"/>
              <w:rPr>
                <w:sz w:val="14"/>
                <w:szCs w:val="14"/>
                <w:color w:val="auto"/>
              </w:rPr>
            </w:pPr>
          </w:p>
        </w:tc>
        <w:tc>
          <w:tcPr>
            <w:tcW w:w="800" w:type="dxa"/>
            <w:vAlign w:val="bottom"/>
            <w:shd w:val="clear" w:color="auto" w:fill="EFF0F1"/>
          </w:tcPr>
          <w:p>
            <w:pPr>
              <w:spacing w:after="0"/>
              <w:rPr>
                <w:sz w:val="14"/>
                <w:szCs w:val="14"/>
                <w:color w:val="auto"/>
              </w:rPr>
            </w:pPr>
          </w:p>
        </w:tc>
        <w:tc>
          <w:tcPr>
            <w:tcW w:w="140" w:type="dxa"/>
            <w:vAlign w:val="bottom"/>
            <w:shd w:val="clear" w:color="auto" w:fill="EFF0F1"/>
          </w:tcPr>
          <w:p>
            <w:pPr>
              <w:spacing w:after="0"/>
              <w:rPr>
                <w:sz w:val="14"/>
                <w:szCs w:val="14"/>
                <w:color w:val="auto"/>
              </w:rPr>
            </w:pPr>
          </w:p>
        </w:tc>
        <w:tc>
          <w:tcPr>
            <w:tcW w:w="660" w:type="dxa"/>
            <w:vAlign w:val="bottom"/>
            <w:shd w:val="clear" w:color="auto" w:fill="EFF0F1"/>
          </w:tcPr>
          <w:p>
            <w:pPr>
              <w:spacing w:after="0"/>
              <w:rPr>
                <w:sz w:val="14"/>
                <w:szCs w:val="14"/>
                <w:color w:val="auto"/>
              </w:rPr>
            </w:pPr>
          </w:p>
        </w:tc>
        <w:tc>
          <w:tcPr>
            <w:tcW w:w="180" w:type="dxa"/>
            <w:vAlign w:val="bottom"/>
            <w:shd w:val="clear" w:color="auto" w:fill="EFF0F1"/>
          </w:tcPr>
          <w:p>
            <w:pPr>
              <w:spacing w:after="0"/>
              <w:rPr>
                <w:sz w:val="14"/>
                <w:szCs w:val="14"/>
                <w:color w:val="auto"/>
              </w:rPr>
            </w:pPr>
          </w:p>
        </w:tc>
        <w:tc>
          <w:tcPr>
            <w:tcW w:w="360" w:type="dxa"/>
            <w:vAlign w:val="bottom"/>
            <w:shd w:val="clear" w:color="auto" w:fill="EFF0F1"/>
          </w:tcPr>
          <w:p>
            <w:pPr>
              <w:spacing w:after="0"/>
              <w:rPr>
                <w:sz w:val="14"/>
                <w:szCs w:val="14"/>
                <w:color w:val="auto"/>
              </w:rPr>
            </w:pPr>
          </w:p>
        </w:tc>
        <w:tc>
          <w:tcPr>
            <w:tcW w:w="420" w:type="dxa"/>
            <w:vAlign w:val="bottom"/>
            <w:shd w:val="clear" w:color="auto" w:fill="EFF0F1"/>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tcPr>
          <w:p>
            <w:pPr>
              <w:ind w:left="60"/>
              <w:spacing w:after="0"/>
              <w:rPr>
                <w:sz w:val="20"/>
                <w:szCs w:val="20"/>
                <w:color w:val="auto"/>
              </w:rPr>
            </w:pPr>
            <w:r>
              <w:rPr>
                <w:rFonts w:ascii="Arial" w:cs="Arial" w:eastAsia="Arial" w:hAnsi="Arial"/>
                <w:sz w:val="14"/>
                <w:szCs w:val="14"/>
                <w:color w:val="41516E"/>
              </w:rPr>
              <w:t>Performance Option</w:t>
            </w:r>
          </w:p>
        </w:tc>
        <w:tc>
          <w:tcPr>
            <w:tcW w:w="1140" w:type="dxa"/>
            <w:vAlign w:val="bottom"/>
          </w:tcPr>
          <w:p>
            <w:pPr>
              <w:jc w:val="right"/>
              <w:ind w:right="28"/>
              <w:spacing w:after="0"/>
              <w:rPr>
                <w:sz w:val="20"/>
                <w:szCs w:val="20"/>
                <w:color w:val="auto"/>
              </w:rPr>
            </w:pPr>
            <w:r>
              <w:rPr>
                <w:rFonts w:ascii="Arial" w:cs="Arial" w:eastAsia="Arial" w:hAnsi="Arial"/>
                <w:sz w:val="14"/>
                <w:szCs w:val="14"/>
                <w:color w:val="41516E"/>
              </w:rPr>
              <w:t>3/1/2023</w:t>
            </w:r>
          </w:p>
        </w:tc>
        <w:tc>
          <w:tcPr>
            <w:tcW w:w="880" w:type="dxa"/>
            <w:vAlign w:val="bottom"/>
            <w:gridSpan w:val="2"/>
          </w:tcPr>
          <w:p>
            <w:pPr>
              <w:jc w:val="right"/>
              <w:spacing w:after="0" w:line="189" w:lineRule="exact"/>
              <w:rPr>
                <w:sz w:val="20"/>
                <w:szCs w:val="20"/>
                <w:color w:val="auto"/>
              </w:rPr>
            </w:pPr>
            <w:r>
              <w:rPr>
                <w:rFonts w:ascii="Arial" w:cs="Arial" w:eastAsia="Arial" w:hAnsi="Arial"/>
                <w:sz w:val="13"/>
                <w:szCs w:val="13"/>
                <w:color w:val="41516E"/>
              </w:rPr>
              <w:t>2/6/2023</w:t>
            </w:r>
            <w:r>
              <w:rPr>
                <w:rFonts w:ascii="Arial" w:cs="Arial" w:eastAsia="Arial" w:hAnsi="Arial"/>
                <w:sz w:val="21"/>
                <w:szCs w:val="21"/>
                <w:color w:val="41516E"/>
                <w:vertAlign w:val="superscript"/>
              </w:rPr>
              <w:t>(3)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jc w:val="right"/>
              <w:ind w:right="12"/>
              <w:spacing w:after="0" w:line="189" w:lineRule="exact"/>
              <w:rPr>
                <w:sz w:val="20"/>
                <w:szCs w:val="20"/>
                <w:color w:val="auto"/>
              </w:rPr>
            </w:pPr>
            <w:r>
              <w:rPr>
                <w:rFonts w:ascii="Arial" w:cs="Arial" w:eastAsia="Arial" w:hAnsi="Arial"/>
                <w:sz w:val="13"/>
                <w:szCs w:val="13"/>
                <w:color w:val="41516E"/>
              </w:rPr>
              <w:t>12,430</w:t>
            </w:r>
            <w:r>
              <w:rPr>
                <w:rFonts w:ascii="Arial" w:cs="Arial" w:eastAsia="Arial" w:hAnsi="Arial"/>
                <w:sz w:val="21"/>
                <w:szCs w:val="21"/>
                <w:color w:val="41516E"/>
                <w:vertAlign w:val="superscript"/>
              </w:rPr>
              <w:t>(4)</w:t>
            </w:r>
          </w:p>
        </w:tc>
        <w:tc>
          <w:tcPr>
            <w:tcW w:w="900" w:type="dxa"/>
            <w:vAlign w:val="bottom"/>
          </w:tcPr>
          <w:p>
            <w:pPr>
              <w:jc w:val="right"/>
              <w:spacing w:after="0" w:line="189" w:lineRule="exact"/>
              <w:rPr>
                <w:sz w:val="20"/>
                <w:szCs w:val="20"/>
                <w:color w:val="auto"/>
              </w:rPr>
            </w:pPr>
            <w:r>
              <w:rPr>
                <w:rFonts w:ascii="Arial" w:cs="Arial" w:eastAsia="Arial" w:hAnsi="Arial"/>
                <w:sz w:val="13"/>
                <w:szCs w:val="13"/>
                <w:color w:val="41516E"/>
              </w:rPr>
              <w:t>12,430</w:t>
            </w:r>
            <w:r>
              <w:rPr>
                <w:rFonts w:ascii="Arial" w:cs="Arial" w:eastAsia="Arial" w:hAnsi="Arial"/>
                <w:sz w:val="21"/>
                <w:szCs w:val="21"/>
                <w:color w:val="41516E"/>
                <w:vertAlign w:val="superscript"/>
              </w:rPr>
              <w:t>(4)</w:t>
            </w:r>
          </w:p>
        </w:tc>
        <w:tc>
          <w:tcPr>
            <w:tcW w:w="10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41516E"/>
                <w:w w:val="76"/>
              </w:rPr>
              <w:t>$</w:t>
            </w:r>
          </w:p>
        </w:tc>
        <w:tc>
          <w:tcPr>
            <w:tcW w:w="800" w:type="dxa"/>
            <w:vAlign w:val="bottom"/>
          </w:tcPr>
          <w:p>
            <w:pPr>
              <w:ind w:left="140"/>
              <w:spacing w:after="0" w:line="189" w:lineRule="exact"/>
              <w:rPr>
                <w:sz w:val="20"/>
                <w:szCs w:val="20"/>
                <w:color w:val="auto"/>
              </w:rPr>
            </w:pPr>
            <w:r>
              <w:rPr>
                <w:rFonts w:ascii="Arial" w:cs="Arial" w:eastAsia="Arial" w:hAnsi="Arial"/>
                <w:sz w:val="13"/>
                <w:szCs w:val="13"/>
                <w:color w:val="41516E"/>
              </w:rPr>
              <w:t>323.80</w:t>
            </w:r>
            <w:r>
              <w:rPr>
                <w:rFonts w:ascii="Arial" w:cs="Arial" w:eastAsia="Arial" w:hAnsi="Arial"/>
                <w:sz w:val="21"/>
                <w:szCs w:val="21"/>
                <w:color w:val="41516E"/>
                <w:vertAlign w:val="superscript"/>
              </w:rPr>
              <w:t>(3)</w:t>
            </w:r>
          </w:p>
        </w:tc>
        <w:tc>
          <w:tcPr>
            <w:tcW w:w="140" w:type="dxa"/>
            <w:vAlign w:val="bottom"/>
          </w:tcPr>
          <w:p>
            <w:pPr>
              <w:jc w:val="right"/>
              <w:spacing w:after="0"/>
              <w:rPr>
                <w:sz w:val="20"/>
                <w:szCs w:val="20"/>
                <w:color w:val="auto"/>
              </w:rPr>
            </w:pPr>
            <w:r>
              <w:rPr>
                <w:rFonts w:ascii="Arial" w:cs="Arial" w:eastAsia="Arial" w:hAnsi="Arial"/>
                <w:sz w:val="14"/>
                <w:szCs w:val="14"/>
                <w:color w:val="41516E"/>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41516E"/>
              </w:rPr>
              <w:t>323.80</w:t>
            </w:r>
          </w:p>
        </w:tc>
        <w:tc>
          <w:tcPr>
            <w:tcW w:w="180" w:type="dxa"/>
            <w:vAlign w:val="bottom"/>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gridSpan w:val="2"/>
          </w:tcPr>
          <w:p>
            <w:pPr>
              <w:jc w:val="right"/>
              <w:ind w:right="19"/>
              <w:spacing w:after="0"/>
              <w:rPr>
                <w:sz w:val="20"/>
                <w:szCs w:val="20"/>
                <w:color w:val="auto"/>
              </w:rPr>
            </w:pPr>
            <w:r>
              <w:rPr>
                <w:rFonts w:ascii="Arial" w:cs="Arial" w:eastAsia="Arial" w:hAnsi="Arial"/>
                <w:sz w:val="14"/>
                <w:szCs w:val="14"/>
                <w:color w:val="41516E"/>
              </w:rPr>
              <w:t>2,000,007</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41516E"/>
            </w:tcBorders>
            <w:shd w:val="clear" w:color="auto" w:fill="EFF0F1"/>
          </w:tcPr>
          <w:p>
            <w:pPr>
              <w:ind w:left="60"/>
              <w:spacing w:after="0"/>
              <w:rPr>
                <w:sz w:val="20"/>
                <w:szCs w:val="20"/>
                <w:color w:val="auto"/>
              </w:rPr>
            </w:pPr>
            <w:r>
              <w:rPr>
                <w:rFonts w:ascii="Arial" w:cs="Arial" w:eastAsia="Arial" w:hAnsi="Arial"/>
                <w:sz w:val="14"/>
                <w:szCs w:val="14"/>
                <w:color w:val="41516E"/>
              </w:rPr>
              <w:t>RSU</w:t>
            </w:r>
          </w:p>
        </w:tc>
        <w:tc>
          <w:tcPr>
            <w:tcW w:w="1140" w:type="dxa"/>
            <w:vAlign w:val="bottom"/>
            <w:tcBorders>
              <w:bottom w:val="single" w:sz="8" w:color="41516E"/>
            </w:tcBorders>
            <w:shd w:val="clear" w:color="auto" w:fill="EFF0F1"/>
          </w:tcPr>
          <w:p>
            <w:pPr>
              <w:jc w:val="right"/>
              <w:ind w:right="28"/>
              <w:spacing w:after="0"/>
              <w:rPr>
                <w:sz w:val="20"/>
                <w:szCs w:val="20"/>
                <w:color w:val="auto"/>
              </w:rPr>
            </w:pPr>
            <w:r>
              <w:rPr>
                <w:rFonts w:ascii="Arial" w:cs="Arial" w:eastAsia="Arial" w:hAnsi="Arial"/>
                <w:sz w:val="14"/>
                <w:szCs w:val="14"/>
                <w:color w:val="41516E"/>
              </w:rPr>
              <w:t>3/1/2023</w:t>
            </w:r>
          </w:p>
        </w:tc>
        <w:tc>
          <w:tcPr>
            <w:tcW w:w="880" w:type="dxa"/>
            <w:vAlign w:val="bottom"/>
            <w:tcBorders>
              <w:bottom w:val="single" w:sz="8" w:color="41516E"/>
            </w:tcBorders>
            <w:gridSpan w:val="2"/>
            <w:shd w:val="clear" w:color="auto" w:fill="EFF0F1"/>
          </w:tcPr>
          <w:p>
            <w:pPr>
              <w:jc w:val="right"/>
              <w:spacing w:after="0" w:line="189" w:lineRule="exact"/>
              <w:rPr>
                <w:sz w:val="20"/>
                <w:szCs w:val="20"/>
                <w:color w:val="auto"/>
              </w:rPr>
            </w:pPr>
            <w:r>
              <w:rPr>
                <w:rFonts w:ascii="Arial" w:cs="Arial" w:eastAsia="Arial" w:hAnsi="Arial"/>
                <w:sz w:val="13"/>
                <w:szCs w:val="13"/>
                <w:color w:val="41516E"/>
              </w:rPr>
              <w:t>2/6/2023</w:t>
            </w:r>
            <w:r>
              <w:rPr>
                <w:rFonts w:ascii="Arial" w:cs="Arial" w:eastAsia="Arial" w:hAnsi="Arial"/>
                <w:sz w:val="21"/>
                <w:szCs w:val="21"/>
                <w:color w:val="41516E"/>
                <w:vertAlign w:val="superscript"/>
              </w:rPr>
              <w:t>(3)</w:t>
            </w:r>
          </w:p>
        </w:tc>
        <w:tc>
          <w:tcPr>
            <w:tcW w:w="60" w:type="dxa"/>
            <w:vAlign w:val="bottom"/>
            <w:tcBorders>
              <w:bottom w:val="single" w:sz="8" w:color="41516E"/>
            </w:tcBorders>
            <w:shd w:val="clear" w:color="auto" w:fill="EFF0F1"/>
          </w:tcPr>
          <w:p>
            <w:pPr>
              <w:spacing w:after="0"/>
              <w:rPr>
                <w:sz w:val="16"/>
                <w:szCs w:val="16"/>
                <w:color w:val="auto"/>
              </w:rPr>
            </w:pPr>
          </w:p>
        </w:tc>
        <w:tc>
          <w:tcPr>
            <w:tcW w:w="100" w:type="dxa"/>
            <w:vAlign w:val="bottom"/>
            <w:tcBorders>
              <w:bottom w:val="single" w:sz="8" w:color="41516E"/>
            </w:tcBorders>
            <w:shd w:val="clear" w:color="auto" w:fill="EFF0F1"/>
          </w:tcPr>
          <w:p>
            <w:pPr>
              <w:spacing w:after="0"/>
              <w:rPr>
                <w:sz w:val="16"/>
                <w:szCs w:val="16"/>
                <w:color w:val="auto"/>
              </w:rPr>
            </w:pPr>
          </w:p>
        </w:tc>
        <w:tc>
          <w:tcPr>
            <w:tcW w:w="680" w:type="dxa"/>
            <w:vAlign w:val="bottom"/>
            <w:tcBorders>
              <w:bottom w:val="single" w:sz="8" w:color="41516E"/>
            </w:tcBorders>
            <w:shd w:val="clear" w:color="auto" w:fill="EFF0F1"/>
          </w:tcPr>
          <w:p>
            <w:pPr>
              <w:spacing w:after="0"/>
              <w:rPr>
                <w:sz w:val="16"/>
                <w:szCs w:val="16"/>
                <w:color w:val="auto"/>
              </w:rPr>
            </w:pPr>
          </w:p>
        </w:tc>
        <w:tc>
          <w:tcPr>
            <w:tcW w:w="340" w:type="dxa"/>
            <w:vAlign w:val="bottom"/>
            <w:tcBorders>
              <w:bottom w:val="single" w:sz="8" w:color="41516E"/>
            </w:tcBorders>
            <w:shd w:val="clear" w:color="auto" w:fill="EFF0F1"/>
          </w:tcPr>
          <w:p>
            <w:pPr>
              <w:spacing w:after="0"/>
              <w:rPr>
                <w:sz w:val="16"/>
                <w:szCs w:val="16"/>
                <w:color w:val="auto"/>
              </w:rPr>
            </w:pPr>
          </w:p>
        </w:tc>
        <w:tc>
          <w:tcPr>
            <w:tcW w:w="840" w:type="dxa"/>
            <w:vAlign w:val="bottom"/>
            <w:tcBorders>
              <w:bottom w:val="single" w:sz="8" w:color="41516E"/>
            </w:tcBorders>
            <w:shd w:val="clear" w:color="auto" w:fill="EFF0F1"/>
          </w:tcPr>
          <w:p>
            <w:pPr>
              <w:spacing w:after="0"/>
              <w:rPr>
                <w:sz w:val="16"/>
                <w:szCs w:val="16"/>
                <w:color w:val="auto"/>
              </w:rPr>
            </w:pPr>
          </w:p>
        </w:tc>
        <w:tc>
          <w:tcPr>
            <w:tcW w:w="860" w:type="dxa"/>
            <w:vAlign w:val="bottom"/>
            <w:tcBorders>
              <w:bottom w:val="single" w:sz="8" w:color="41516E"/>
            </w:tcBorders>
            <w:shd w:val="clear" w:color="auto" w:fill="EFF0F1"/>
          </w:tcPr>
          <w:p>
            <w:pPr>
              <w:spacing w:after="0"/>
              <w:rPr>
                <w:sz w:val="16"/>
                <w:szCs w:val="16"/>
                <w:color w:val="auto"/>
              </w:rPr>
            </w:pPr>
          </w:p>
        </w:tc>
        <w:tc>
          <w:tcPr>
            <w:tcW w:w="900" w:type="dxa"/>
            <w:vAlign w:val="bottom"/>
            <w:tcBorders>
              <w:bottom w:val="single" w:sz="8" w:color="41516E"/>
            </w:tcBorders>
            <w:shd w:val="clear" w:color="auto" w:fill="EFF0F1"/>
          </w:tcPr>
          <w:p>
            <w:pPr>
              <w:spacing w:after="0"/>
              <w:rPr>
                <w:sz w:val="16"/>
                <w:szCs w:val="16"/>
                <w:color w:val="auto"/>
              </w:rPr>
            </w:pPr>
          </w:p>
        </w:tc>
        <w:tc>
          <w:tcPr>
            <w:tcW w:w="1080" w:type="dxa"/>
            <w:vAlign w:val="bottom"/>
            <w:tcBorders>
              <w:bottom w:val="single" w:sz="8" w:color="41516E"/>
            </w:tcBorders>
            <w:shd w:val="clear" w:color="auto" w:fill="EFF0F1"/>
          </w:tcPr>
          <w:p>
            <w:pPr>
              <w:jc w:val="right"/>
              <w:ind w:right="208"/>
              <w:spacing w:after="0"/>
              <w:rPr>
                <w:sz w:val="20"/>
                <w:szCs w:val="20"/>
                <w:color w:val="auto"/>
              </w:rPr>
            </w:pPr>
            <w:r>
              <w:rPr>
                <w:rFonts w:ascii="Arial" w:cs="Arial" w:eastAsia="Arial" w:hAnsi="Arial"/>
                <w:sz w:val="14"/>
                <w:szCs w:val="14"/>
                <w:color w:val="41516E"/>
              </w:rPr>
              <w:t>6,177</w:t>
            </w:r>
          </w:p>
        </w:tc>
        <w:tc>
          <w:tcPr>
            <w:tcW w:w="80" w:type="dxa"/>
            <w:vAlign w:val="bottom"/>
            <w:tcBorders>
              <w:bottom w:val="single" w:sz="8" w:color="41516E"/>
            </w:tcBorders>
            <w:shd w:val="clear" w:color="auto" w:fill="EFF0F1"/>
          </w:tcPr>
          <w:p>
            <w:pPr>
              <w:spacing w:after="0"/>
              <w:rPr>
                <w:sz w:val="16"/>
                <w:szCs w:val="16"/>
                <w:color w:val="auto"/>
              </w:rPr>
            </w:pPr>
          </w:p>
        </w:tc>
        <w:tc>
          <w:tcPr>
            <w:tcW w:w="800" w:type="dxa"/>
            <w:vAlign w:val="bottom"/>
            <w:tcBorders>
              <w:bottom w:val="single" w:sz="8" w:color="41516E"/>
            </w:tcBorders>
            <w:shd w:val="clear" w:color="auto" w:fill="EFF0F1"/>
          </w:tcPr>
          <w:p>
            <w:pPr>
              <w:spacing w:after="0"/>
              <w:rPr>
                <w:sz w:val="16"/>
                <w:szCs w:val="16"/>
                <w:color w:val="auto"/>
              </w:rPr>
            </w:pPr>
          </w:p>
        </w:tc>
        <w:tc>
          <w:tcPr>
            <w:tcW w:w="140" w:type="dxa"/>
            <w:vAlign w:val="bottom"/>
            <w:tcBorders>
              <w:bottom w:val="single" w:sz="8" w:color="41516E"/>
            </w:tcBorders>
            <w:shd w:val="clear" w:color="auto" w:fill="EFF0F1"/>
          </w:tcPr>
          <w:p>
            <w:pPr>
              <w:spacing w:after="0"/>
              <w:rPr>
                <w:sz w:val="16"/>
                <w:szCs w:val="16"/>
                <w:color w:val="auto"/>
              </w:rPr>
            </w:pPr>
          </w:p>
        </w:tc>
        <w:tc>
          <w:tcPr>
            <w:tcW w:w="660" w:type="dxa"/>
            <w:vAlign w:val="bottom"/>
            <w:tcBorders>
              <w:bottom w:val="single" w:sz="8" w:color="41516E"/>
            </w:tcBorders>
            <w:shd w:val="clear" w:color="auto" w:fill="EFF0F1"/>
          </w:tcPr>
          <w:p>
            <w:pPr>
              <w:spacing w:after="0"/>
              <w:rPr>
                <w:sz w:val="16"/>
                <w:szCs w:val="16"/>
                <w:color w:val="auto"/>
              </w:rPr>
            </w:pPr>
          </w:p>
        </w:tc>
        <w:tc>
          <w:tcPr>
            <w:tcW w:w="180" w:type="dxa"/>
            <w:vAlign w:val="bottom"/>
            <w:tcBorders>
              <w:bottom w:val="single" w:sz="8" w:color="41516E"/>
            </w:tcBorders>
            <w:shd w:val="clear" w:color="auto" w:fill="EFF0F1"/>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tcBorders>
              <w:bottom w:val="single" w:sz="8" w:color="41516E"/>
            </w:tcBorders>
            <w:gridSpan w:val="2"/>
            <w:shd w:val="clear" w:color="auto" w:fill="EFF0F1"/>
          </w:tcPr>
          <w:p>
            <w:pPr>
              <w:jc w:val="right"/>
              <w:ind w:right="19"/>
              <w:spacing w:after="0"/>
              <w:rPr>
                <w:sz w:val="20"/>
                <w:szCs w:val="20"/>
                <w:color w:val="auto"/>
              </w:rPr>
            </w:pPr>
            <w:r>
              <w:rPr>
                <w:rFonts w:ascii="Arial" w:cs="Arial" w:eastAsia="Arial" w:hAnsi="Arial"/>
                <w:sz w:val="14"/>
                <w:szCs w:val="14"/>
                <w:color w:val="41516E"/>
              </w:rPr>
              <w:t>2,000,113</w:t>
            </w:r>
          </w:p>
        </w:tc>
        <w:tc>
          <w:tcPr>
            <w:tcW w:w="0" w:type="dxa"/>
            <w:vAlign w:val="bottom"/>
          </w:tcPr>
          <w:p>
            <w:pPr>
              <w:spacing w:after="0"/>
              <w:rPr>
                <w:sz w:val="1"/>
                <w:szCs w:val="1"/>
                <w:color w:val="auto"/>
              </w:rPr>
            </w:pPr>
          </w:p>
        </w:tc>
      </w:tr>
      <w:tr>
        <w:trPr>
          <w:trHeight w:val="155"/>
        </w:trPr>
        <w:tc>
          <w:tcPr>
            <w:tcW w:w="1720" w:type="dxa"/>
            <w:vAlign w:val="bottom"/>
          </w:tcPr>
          <w:p>
            <w:pPr>
              <w:ind w:left="60"/>
              <w:spacing w:after="0" w:line="155" w:lineRule="exact"/>
              <w:rPr>
                <w:sz w:val="20"/>
                <w:szCs w:val="20"/>
                <w:color w:val="auto"/>
              </w:rPr>
            </w:pPr>
            <w:r>
              <w:rPr>
                <w:rFonts w:ascii="Arial" w:cs="Arial" w:eastAsia="Arial" w:hAnsi="Arial"/>
                <w:sz w:val="14"/>
                <w:szCs w:val="14"/>
                <w:b w:val="1"/>
                <w:bCs w:val="1"/>
                <w:color w:val="41516E"/>
              </w:rPr>
              <w:t>Diego Reynoso</w:t>
            </w: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Annual Incentive</w:t>
            </w:r>
          </w:p>
        </w:tc>
        <w:tc>
          <w:tcPr>
            <w:tcW w:w="1140" w:type="dxa"/>
            <w:vAlign w:val="bottom"/>
            <w:shd w:val="clear" w:color="auto" w:fill="EFF0F1"/>
          </w:tcPr>
          <w:p>
            <w:pPr>
              <w:spacing w:after="0"/>
              <w:rPr>
                <w:sz w:val="14"/>
                <w:szCs w:val="14"/>
                <w:color w:val="auto"/>
              </w:rPr>
            </w:pPr>
          </w:p>
        </w:tc>
        <w:tc>
          <w:tcPr>
            <w:tcW w:w="800" w:type="dxa"/>
            <w:vAlign w:val="bottom"/>
            <w:shd w:val="clear" w:color="auto" w:fill="EFF0F1"/>
          </w:tcPr>
          <w:p>
            <w:pPr>
              <w:spacing w:after="0"/>
              <w:rPr>
                <w:sz w:val="14"/>
                <w:szCs w:val="14"/>
                <w:color w:val="auto"/>
              </w:rPr>
            </w:pPr>
          </w:p>
        </w:tc>
        <w:tc>
          <w:tcPr>
            <w:tcW w:w="80" w:type="dxa"/>
            <w:vAlign w:val="bottom"/>
            <w:shd w:val="clear" w:color="auto" w:fill="EFF0F1"/>
          </w:tcPr>
          <w:p>
            <w:pPr>
              <w:spacing w:after="0"/>
              <w:rPr>
                <w:sz w:val="14"/>
                <w:szCs w:val="14"/>
                <w:color w:val="auto"/>
              </w:rPr>
            </w:pPr>
          </w:p>
        </w:tc>
        <w:tc>
          <w:tcPr>
            <w:tcW w:w="160" w:type="dxa"/>
            <w:vAlign w:val="bottom"/>
            <w:gridSpan w:val="2"/>
            <w:shd w:val="clear" w:color="auto" w:fill="EFF0F1"/>
          </w:tcPr>
          <w:p>
            <w:pPr>
              <w:jc w:val="right"/>
              <w:ind w:right="20"/>
              <w:spacing w:after="0"/>
              <w:rPr>
                <w:sz w:val="20"/>
                <w:szCs w:val="20"/>
                <w:color w:val="auto"/>
              </w:rPr>
            </w:pPr>
            <w:r>
              <w:rPr>
                <w:rFonts w:ascii="Arial" w:cs="Arial" w:eastAsia="Arial" w:hAnsi="Arial"/>
                <w:sz w:val="14"/>
                <w:szCs w:val="14"/>
                <w:color w:val="41516E"/>
              </w:rPr>
              <w:t>$</w:t>
            </w:r>
          </w:p>
        </w:tc>
        <w:tc>
          <w:tcPr>
            <w:tcW w:w="68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360,000</w:t>
            </w:r>
          </w:p>
        </w:tc>
        <w:tc>
          <w:tcPr>
            <w:tcW w:w="3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109"/>
              <w:spacing w:after="0"/>
              <w:rPr>
                <w:sz w:val="20"/>
                <w:szCs w:val="20"/>
                <w:color w:val="auto"/>
              </w:rPr>
            </w:pPr>
            <w:r>
              <w:rPr>
                <w:rFonts w:ascii="Arial" w:cs="Arial" w:eastAsia="Arial" w:hAnsi="Arial"/>
                <w:sz w:val="14"/>
                <w:szCs w:val="14"/>
                <w:color w:val="41516E"/>
              </w:rPr>
              <w:t>900,000</w:t>
            </w:r>
          </w:p>
        </w:tc>
        <w:tc>
          <w:tcPr>
            <w:tcW w:w="860" w:type="dxa"/>
            <w:vAlign w:val="bottom"/>
            <w:shd w:val="clear" w:color="auto" w:fill="EFF0F1"/>
          </w:tcPr>
          <w:p>
            <w:pPr>
              <w:spacing w:after="0"/>
              <w:rPr>
                <w:sz w:val="14"/>
                <w:szCs w:val="14"/>
                <w:color w:val="auto"/>
              </w:rPr>
            </w:pPr>
          </w:p>
        </w:tc>
        <w:tc>
          <w:tcPr>
            <w:tcW w:w="900" w:type="dxa"/>
            <w:vAlign w:val="bottom"/>
            <w:shd w:val="clear" w:color="auto" w:fill="EFF0F1"/>
          </w:tcPr>
          <w:p>
            <w:pPr>
              <w:spacing w:after="0"/>
              <w:rPr>
                <w:sz w:val="14"/>
                <w:szCs w:val="14"/>
                <w:color w:val="auto"/>
              </w:rPr>
            </w:pPr>
          </w:p>
        </w:tc>
        <w:tc>
          <w:tcPr>
            <w:tcW w:w="1080" w:type="dxa"/>
            <w:vAlign w:val="bottom"/>
            <w:shd w:val="clear" w:color="auto" w:fill="EFF0F1"/>
          </w:tcPr>
          <w:p>
            <w:pPr>
              <w:spacing w:after="0"/>
              <w:rPr>
                <w:sz w:val="14"/>
                <w:szCs w:val="14"/>
                <w:color w:val="auto"/>
              </w:rPr>
            </w:pPr>
          </w:p>
        </w:tc>
        <w:tc>
          <w:tcPr>
            <w:tcW w:w="80" w:type="dxa"/>
            <w:vAlign w:val="bottom"/>
            <w:shd w:val="clear" w:color="auto" w:fill="EFF0F1"/>
          </w:tcPr>
          <w:p>
            <w:pPr>
              <w:spacing w:after="0"/>
              <w:rPr>
                <w:sz w:val="14"/>
                <w:szCs w:val="14"/>
                <w:color w:val="auto"/>
              </w:rPr>
            </w:pPr>
          </w:p>
        </w:tc>
        <w:tc>
          <w:tcPr>
            <w:tcW w:w="800" w:type="dxa"/>
            <w:vAlign w:val="bottom"/>
            <w:shd w:val="clear" w:color="auto" w:fill="EFF0F1"/>
          </w:tcPr>
          <w:p>
            <w:pPr>
              <w:spacing w:after="0"/>
              <w:rPr>
                <w:sz w:val="14"/>
                <w:szCs w:val="14"/>
                <w:color w:val="auto"/>
              </w:rPr>
            </w:pPr>
          </w:p>
        </w:tc>
        <w:tc>
          <w:tcPr>
            <w:tcW w:w="140" w:type="dxa"/>
            <w:vAlign w:val="bottom"/>
            <w:shd w:val="clear" w:color="auto" w:fill="EFF0F1"/>
          </w:tcPr>
          <w:p>
            <w:pPr>
              <w:spacing w:after="0"/>
              <w:rPr>
                <w:sz w:val="14"/>
                <w:szCs w:val="14"/>
                <w:color w:val="auto"/>
              </w:rPr>
            </w:pPr>
          </w:p>
        </w:tc>
        <w:tc>
          <w:tcPr>
            <w:tcW w:w="660" w:type="dxa"/>
            <w:vAlign w:val="bottom"/>
            <w:shd w:val="clear" w:color="auto" w:fill="EFF0F1"/>
          </w:tcPr>
          <w:p>
            <w:pPr>
              <w:spacing w:after="0"/>
              <w:rPr>
                <w:sz w:val="14"/>
                <w:szCs w:val="14"/>
                <w:color w:val="auto"/>
              </w:rPr>
            </w:pPr>
          </w:p>
        </w:tc>
        <w:tc>
          <w:tcPr>
            <w:tcW w:w="180" w:type="dxa"/>
            <w:vAlign w:val="bottom"/>
            <w:shd w:val="clear" w:color="auto" w:fill="EFF0F1"/>
          </w:tcPr>
          <w:p>
            <w:pPr>
              <w:spacing w:after="0"/>
              <w:rPr>
                <w:sz w:val="14"/>
                <w:szCs w:val="14"/>
                <w:color w:val="auto"/>
              </w:rPr>
            </w:pPr>
          </w:p>
        </w:tc>
        <w:tc>
          <w:tcPr>
            <w:tcW w:w="360" w:type="dxa"/>
            <w:vAlign w:val="bottom"/>
            <w:shd w:val="clear" w:color="auto" w:fill="EFF0F1"/>
          </w:tcPr>
          <w:p>
            <w:pPr>
              <w:spacing w:after="0"/>
              <w:rPr>
                <w:sz w:val="14"/>
                <w:szCs w:val="14"/>
                <w:color w:val="auto"/>
              </w:rPr>
            </w:pPr>
          </w:p>
        </w:tc>
        <w:tc>
          <w:tcPr>
            <w:tcW w:w="420" w:type="dxa"/>
            <w:vAlign w:val="bottom"/>
            <w:shd w:val="clear" w:color="auto" w:fill="EFF0F1"/>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tcPr>
          <w:p>
            <w:pPr>
              <w:ind w:left="60"/>
              <w:spacing w:after="0"/>
              <w:rPr>
                <w:sz w:val="20"/>
                <w:szCs w:val="20"/>
                <w:color w:val="auto"/>
              </w:rPr>
            </w:pPr>
            <w:r>
              <w:rPr>
                <w:rFonts w:ascii="Arial" w:cs="Arial" w:eastAsia="Arial" w:hAnsi="Arial"/>
                <w:sz w:val="14"/>
                <w:szCs w:val="14"/>
                <w:color w:val="41516E"/>
              </w:rPr>
              <w:t>Service Option</w:t>
            </w:r>
          </w:p>
        </w:tc>
        <w:tc>
          <w:tcPr>
            <w:tcW w:w="1140" w:type="dxa"/>
            <w:vAlign w:val="bottom"/>
          </w:tcPr>
          <w:p>
            <w:pPr>
              <w:jc w:val="right"/>
              <w:ind w:right="28"/>
              <w:spacing w:after="0"/>
              <w:rPr>
                <w:sz w:val="20"/>
                <w:szCs w:val="20"/>
                <w:color w:val="auto"/>
              </w:rPr>
            </w:pPr>
            <w:r>
              <w:rPr>
                <w:rFonts w:ascii="Arial" w:cs="Arial" w:eastAsia="Arial" w:hAnsi="Arial"/>
                <w:sz w:val="14"/>
                <w:szCs w:val="14"/>
                <w:color w:val="41516E"/>
              </w:rPr>
              <w:t>10/31/2023</w:t>
            </w:r>
          </w:p>
        </w:tc>
        <w:tc>
          <w:tcPr>
            <w:tcW w:w="880" w:type="dxa"/>
            <w:vAlign w:val="bottom"/>
            <w:gridSpan w:val="2"/>
          </w:tcPr>
          <w:p>
            <w:pPr>
              <w:jc w:val="right"/>
              <w:spacing w:after="0" w:line="189" w:lineRule="exact"/>
              <w:rPr>
                <w:sz w:val="20"/>
                <w:szCs w:val="20"/>
                <w:color w:val="auto"/>
              </w:rPr>
            </w:pPr>
            <w:r>
              <w:rPr>
                <w:rFonts w:ascii="Arial" w:cs="Arial" w:eastAsia="Arial" w:hAnsi="Arial"/>
                <w:sz w:val="13"/>
                <w:szCs w:val="13"/>
                <w:color w:val="41516E"/>
              </w:rPr>
              <w:t>6/23/2023</w:t>
            </w:r>
            <w:r>
              <w:rPr>
                <w:rFonts w:ascii="Arial" w:cs="Arial" w:eastAsia="Arial" w:hAnsi="Arial"/>
                <w:sz w:val="21"/>
                <w:szCs w:val="21"/>
                <w:color w:val="41516E"/>
                <w:vertAlign w:val="superscript"/>
              </w:rPr>
              <w:t>(9)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color w:val="41516E"/>
              </w:rPr>
              <w:t>9,717</w:t>
            </w:r>
          </w:p>
        </w:tc>
        <w:tc>
          <w:tcPr>
            <w:tcW w:w="900" w:type="dxa"/>
            <w:vAlign w:val="bottom"/>
          </w:tcPr>
          <w:p>
            <w:pPr>
              <w:jc w:val="right"/>
              <w:ind w:right="111"/>
              <w:spacing w:after="0"/>
              <w:rPr>
                <w:sz w:val="20"/>
                <w:szCs w:val="20"/>
                <w:color w:val="auto"/>
              </w:rPr>
            </w:pPr>
            <w:r>
              <w:rPr>
                <w:rFonts w:ascii="Arial" w:cs="Arial" w:eastAsia="Arial" w:hAnsi="Arial"/>
                <w:sz w:val="14"/>
                <w:szCs w:val="14"/>
                <w:color w:val="41516E"/>
              </w:rPr>
              <w:t>9,717</w:t>
            </w:r>
          </w:p>
        </w:tc>
        <w:tc>
          <w:tcPr>
            <w:tcW w:w="10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41516E"/>
                <w:w w:val="76"/>
              </w:rPr>
              <w:t>$</w:t>
            </w:r>
          </w:p>
        </w:tc>
        <w:tc>
          <w:tcPr>
            <w:tcW w:w="800" w:type="dxa"/>
            <w:vAlign w:val="bottom"/>
          </w:tcPr>
          <w:p>
            <w:pPr>
              <w:ind w:left="140"/>
              <w:spacing w:after="0"/>
              <w:rPr>
                <w:sz w:val="20"/>
                <w:szCs w:val="20"/>
                <w:color w:val="auto"/>
              </w:rPr>
            </w:pPr>
            <w:r>
              <w:rPr>
                <w:rFonts w:ascii="Arial" w:cs="Arial" w:eastAsia="Arial" w:hAnsi="Arial"/>
                <w:sz w:val="14"/>
                <w:szCs w:val="14"/>
                <w:color w:val="41516E"/>
              </w:rPr>
              <w:t>333.50</w:t>
            </w:r>
          </w:p>
        </w:tc>
        <w:tc>
          <w:tcPr>
            <w:tcW w:w="140" w:type="dxa"/>
            <w:vAlign w:val="bottom"/>
          </w:tcPr>
          <w:p>
            <w:pPr>
              <w:jc w:val="right"/>
              <w:spacing w:after="0"/>
              <w:rPr>
                <w:sz w:val="20"/>
                <w:szCs w:val="20"/>
                <w:color w:val="auto"/>
              </w:rPr>
            </w:pPr>
            <w:r>
              <w:rPr>
                <w:rFonts w:ascii="Arial" w:cs="Arial" w:eastAsia="Arial" w:hAnsi="Arial"/>
                <w:sz w:val="14"/>
                <w:szCs w:val="14"/>
                <w:color w:val="41516E"/>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41516E"/>
              </w:rPr>
              <w:t>333.50</w:t>
            </w:r>
          </w:p>
        </w:tc>
        <w:tc>
          <w:tcPr>
            <w:tcW w:w="180" w:type="dxa"/>
            <w:vAlign w:val="bottom"/>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gridSpan w:val="2"/>
          </w:tcPr>
          <w:p>
            <w:pPr>
              <w:jc w:val="right"/>
              <w:ind w:right="19"/>
              <w:spacing w:after="0"/>
              <w:rPr>
                <w:sz w:val="20"/>
                <w:szCs w:val="20"/>
                <w:color w:val="auto"/>
              </w:rPr>
            </w:pPr>
            <w:r>
              <w:rPr>
                <w:rFonts w:ascii="Arial" w:cs="Arial" w:eastAsia="Arial" w:hAnsi="Arial"/>
                <w:sz w:val="14"/>
                <w:szCs w:val="14"/>
                <w:color w:val="41516E"/>
              </w:rPr>
              <w:t>1,500,110</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41516E"/>
            </w:tcBorders>
            <w:shd w:val="clear" w:color="auto" w:fill="EFF0F1"/>
          </w:tcPr>
          <w:p>
            <w:pPr>
              <w:ind w:left="60"/>
              <w:spacing w:after="0"/>
              <w:rPr>
                <w:sz w:val="20"/>
                <w:szCs w:val="20"/>
                <w:color w:val="auto"/>
              </w:rPr>
            </w:pPr>
            <w:r>
              <w:rPr>
                <w:rFonts w:ascii="Arial" w:cs="Arial" w:eastAsia="Arial" w:hAnsi="Arial"/>
                <w:sz w:val="14"/>
                <w:szCs w:val="14"/>
                <w:color w:val="41516E"/>
              </w:rPr>
              <w:t>RSU</w:t>
            </w:r>
          </w:p>
        </w:tc>
        <w:tc>
          <w:tcPr>
            <w:tcW w:w="1140" w:type="dxa"/>
            <w:vAlign w:val="bottom"/>
            <w:tcBorders>
              <w:bottom w:val="single" w:sz="8" w:color="41516E"/>
            </w:tcBorders>
            <w:shd w:val="clear" w:color="auto" w:fill="EFF0F1"/>
          </w:tcPr>
          <w:p>
            <w:pPr>
              <w:jc w:val="right"/>
              <w:ind w:right="28"/>
              <w:spacing w:after="0"/>
              <w:rPr>
                <w:sz w:val="20"/>
                <w:szCs w:val="20"/>
                <w:color w:val="auto"/>
              </w:rPr>
            </w:pPr>
            <w:r>
              <w:rPr>
                <w:rFonts w:ascii="Arial" w:cs="Arial" w:eastAsia="Arial" w:hAnsi="Arial"/>
                <w:sz w:val="14"/>
                <w:szCs w:val="14"/>
                <w:color w:val="41516E"/>
              </w:rPr>
              <w:t>10/31/2023</w:t>
            </w:r>
          </w:p>
        </w:tc>
        <w:tc>
          <w:tcPr>
            <w:tcW w:w="880" w:type="dxa"/>
            <w:vAlign w:val="bottom"/>
            <w:tcBorders>
              <w:bottom w:val="single" w:sz="8" w:color="41516E"/>
            </w:tcBorders>
            <w:gridSpan w:val="2"/>
            <w:shd w:val="clear" w:color="auto" w:fill="EFF0F1"/>
          </w:tcPr>
          <w:p>
            <w:pPr>
              <w:jc w:val="right"/>
              <w:spacing w:after="0" w:line="189" w:lineRule="exact"/>
              <w:rPr>
                <w:sz w:val="20"/>
                <w:szCs w:val="20"/>
                <w:color w:val="auto"/>
              </w:rPr>
            </w:pPr>
            <w:r>
              <w:rPr>
                <w:rFonts w:ascii="Arial" w:cs="Arial" w:eastAsia="Arial" w:hAnsi="Arial"/>
                <w:sz w:val="13"/>
                <w:szCs w:val="13"/>
                <w:color w:val="41516E"/>
              </w:rPr>
              <w:t>6/23/2023</w:t>
            </w:r>
            <w:r>
              <w:rPr>
                <w:rFonts w:ascii="Arial" w:cs="Arial" w:eastAsia="Arial" w:hAnsi="Arial"/>
                <w:sz w:val="21"/>
                <w:szCs w:val="21"/>
                <w:color w:val="41516E"/>
                <w:vertAlign w:val="superscript"/>
              </w:rPr>
              <w:t>(9)</w:t>
            </w:r>
          </w:p>
        </w:tc>
        <w:tc>
          <w:tcPr>
            <w:tcW w:w="60" w:type="dxa"/>
            <w:vAlign w:val="bottom"/>
            <w:tcBorders>
              <w:bottom w:val="single" w:sz="8" w:color="41516E"/>
            </w:tcBorders>
            <w:shd w:val="clear" w:color="auto" w:fill="EFF0F1"/>
          </w:tcPr>
          <w:p>
            <w:pPr>
              <w:spacing w:after="0"/>
              <w:rPr>
                <w:sz w:val="16"/>
                <w:szCs w:val="16"/>
                <w:color w:val="auto"/>
              </w:rPr>
            </w:pPr>
          </w:p>
        </w:tc>
        <w:tc>
          <w:tcPr>
            <w:tcW w:w="100" w:type="dxa"/>
            <w:vAlign w:val="bottom"/>
            <w:tcBorders>
              <w:bottom w:val="single" w:sz="8" w:color="41516E"/>
            </w:tcBorders>
            <w:shd w:val="clear" w:color="auto" w:fill="EFF0F1"/>
          </w:tcPr>
          <w:p>
            <w:pPr>
              <w:spacing w:after="0"/>
              <w:rPr>
                <w:sz w:val="16"/>
                <w:szCs w:val="16"/>
                <w:color w:val="auto"/>
              </w:rPr>
            </w:pPr>
          </w:p>
        </w:tc>
        <w:tc>
          <w:tcPr>
            <w:tcW w:w="680" w:type="dxa"/>
            <w:vAlign w:val="bottom"/>
            <w:tcBorders>
              <w:bottom w:val="single" w:sz="8" w:color="41516E"/>
            </w:tcBorders>
            <w:shd w:val="clear" w:color="auto" w:fill="EFF0F1"/>
          </w:tcPr>
          <w:p>
            <w:pPr>
              <w:spacing w:after="0"/>
              <w:rPr>
                <w:sz w:val="16"/>
                <w:szCs w:val="16"/>
                <w:color w:val="auto"/>
              </w:rPr>
            </w:pPr>
          </w:p>
        </w:tc>
        <w:tc>
          <w:tcPr>
            <w:tcW w:w="340" w:type="dxa"/>
            <w:vAlign w:val="bottom"/>
            <w:tcBorders>
              <w:bottom w:val="single" w:sz="8" w:color="41516E"/>
            </w:tcBorders>
            <w:shd w:val="clear" w:color="auto" w:fill="EFF0F1"/>
          </w:tcPr>
          <w:p>
            <w:pPr>
              <w:spacing w:after="0"/>
              <w:rPr>
                <w:sz w:val="16"/>
                <w:szCs w:val="16"/>
                <w:color w:val="auto"/>
              </w:rPr>
            </w:pPr>
          </w:p>
        </w:tc>
        <w:tc>
          <w:tcPr>
            <w:tcW w:w="840" w:type="dxa"/>
            <w:vAlign w:val="bottom"/>
            <w:tcBorders>
              <w:bottom w:val="single" w:sz="8" w:color="41516E"/>
            </w:tcBorders>
            <w:shd w:val="clear" w:color="auto" w:fill="EFF0F1"/>
          </w:tcPr>
          <w:p>
            <w:pPr>
              <w:spacing w:after="0"/>
              <w:rPr>
                <w:sz w:val="16"/>
                <w:szCs w:val="16"/>
                <w:color w:val="auto"/>
              </w:rPr>
            </w:pPr>
          </w:p>
        </w:tc>
        <w:tc>
          <w:tcPr>
            <w:tcW w:w="860" w:type="dxa"/>
            <w:vAlign w:val="bottom"/>
            <w:tcBorders>
              <w:bottom w:val="single" w:sz="8" w:color="41516E"/>
            </w:tcBorders>
            <w:shd w:val="clear" w:color="auto" w:fill="EFF0F1"/>
          </w:tcPr>
          <w:p>
            <w:pPr>
              <w:spacing w:after="0"/>
              <w:rPr>
                <w:sz w:val="16"/>
                <w:szCs w:val="16"/>
                <w:color w:val="auto"/>
              </w:rPr>
            </w:pPr>
          </w:p>
        </w:tc>
        <w:tc>
          <w:tcPr>
            <w:tcW w:w="900" w:type="dxa"/>
            <w:vAlign w:val="bottom"/>
            <w:tcBorders>
              <w:bottom w:val="single" w:sz="8" w:color="41516E"/>
            </w:tcBorders>
            <w:shd w:val="clear" w:color="auto" w:fill="EFF0F1"/>
          </w:tcPr>
          <w:p>
            <w:pPr>
              <w:spacing w:after="0"/>
              <w:rPr>
                <w:sz w:val="16"/>
                <w:szCs w:val="16"/>
                <w:color w:val="auto"/>
              </w:rPr>
            </w:pPr>
          </w:p>
        </w:tc>
        <w:tc>
          <w:tcPr>
            <w:tcW w:w="1080" w:type="dxa"/>
            <w:vAlign w:val="bottom"/>
            <w:tcBorders>
              <w:bottom w:val="single" w:sz="8" w:color="41516E"/>
            </w:tcBorders>
            <w:shd w:val="clear" w:color="auto" w:fill="EFF0F1"/>
          </w:tcPr>
          <w:p>
            <w:pPr>
              <w:jc w:val="right"/>
              <w:ind w:right="208"/>
              <w:spacing w:after="0"/>
              <w:rPr>
                <w:sz w:val="20"/>
                <w:szCs w:val="20"/>
                <w:color w:val="auto"/>
              </w:rPr>
            </w:pPr>
            <w:r>
              <w:rPr>
                <w:rFonts w:ascii="Arial" w:cs="Arial" w:eastAsia="Arial" w:hAnsi="Arial"/>
                <w:sz w:val="14"/>
                <w:szCs w:val="14"/>
                <w:color w:val="41516E"/>
              </w:rPr>
              <w:t>4,498</w:t>
            </w:r>
          </w:p>
        </w:tc>
        <w:tc>
          <w:tcPr>
            <w:tcW w:w="80" w:type="dxa"/>
            <w:vAlign w:val="bottom"/>
            <w:tcBorders>
              <w:bottom w:val="single" w:sz="8" w:color="41516E"/>
            </w:tcBorders>
            <w:shd w:val="clear" w:color="auto" w:fill="EFF0F1"/>
          </w:tcPr>
          <w:p>
            <w:pPr>
              <w:spacing w:after="0"/>
              <w:rPr>
                <w:sz w:val="16"/>
                <w:szCs w:val="16"/>
                <w:color w:val="auto"/>
              </w:rPr>
            </w:pPr>
          </w:p>
        </w:tc>
        <w:tc>
          <w:tcPr>
            <w:tcW w:w="800" w:type="dxa"/>
            <w:vAlign w:val="bottom"/>
            <w:tcBorders>
              <w:bottom w:val="single" w:sz="8" w:color="41516E"/>
            </w:tcBorders>
            <w:shd w:val="clear" w:color="auto" w:fill="EFF0F1"/>
          </w:tcPr>
          <w:p>
            <w:pPr>
              <w:spacing w:after="0"/>
              <w:rPr>
                <w:sz w:val="16"/>
                <w:szCs w:val="16"/>
                <w:color w:val="auto"/>
              </w:rPr>
            </w:pPr>
          </w:p>
        </w:tc>
        <w:tc>
          <w:tcPr>
            <w:tcW w:w="140" w:type="dxa"/>
            <w:vAlign w:val="bottom"/>
            <w:tcBorders>
              <w:bottom w:val="single" w:sz="8" w:color="41516E"/>
            </w:tcBorders>
            <w:shd w:val="clear" w:color="auto" w:fill="EFF0F1"/>
          </w:tcPr>
          <w:p>
            <w:pPr>
              <w:spacing w:after="0"/>
              <w:rPr>
                <w:sz w:val="16"/>
                <w:szCs w:val="16"/>
                <w:color w:val="auto"/>
              </w:rPr>
            </w:pPr>
          </w:p>
        </w:tc>
        <w:tc>
          <w:tcPr>
            <w:tcW w:w="660" w:type="dxa"/>
            <w:vAlign w:val="bottom"/>
            <w:tcBorders>
              <w:bottom w:val="single" w:sz="8" w:color="41516E"/>
            </w:tcBorders>
            <w:shd w:val="clear" w:color="auto" w:fill="EFF0F1"/>
          </w:tcPr>
          <w:p>
            <w:pPr>
              <w:spacing w:after="0"/>
              <w:rPr>
                <w:sz w:val="16"/>
                <w:szCs w:val="16"/>
                <w:color w:val="auto"/>
              </w:rPr>
            </w:pPr>
          </w:p>
        </w:tc>
        <w:tc>
          <w:tcPr>
            <w:tcW w:w="180" w:type="dxa"/>
            <w:vAlign w:val="bottom"/>
            <w:tcBorders>
              <w:bottom w:val="single" w:sz="8" w:color="41516E"/>
            </w:tcBorders>
            <w:shd w:val="clear" w:color="auto" w:fill="EFF0F1"/>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tcBorders>
              <w:bottom w:val="single" w:sz="8" w:color="41516E"/>
            </w:tcBorders>
            <w:gridSpan w:val="2"/>
            <w:shd w:val="clear" w:color="auto" w:fill="EFF0F1"/>
          </w:tcPr>
          <w:p>
            <w:pPr>
              <w:jc w:val="right"/>
              <w:ind w:right="19"/>
              <w:spacing w:after="0"/>
              <w:rPr>
                <w:sz w:val="20"/>
                <w:szCs w:val="20"/>
                <w:color w:val="auto"/>
              </w:rPr>
            </w:pPr>
            <w:r>
              <w:rPr>
                <w:rFonts w:ascii="Arial" w:cs="Arial" w:eastAsia="Arial" w:hAnsi="Arial"/>
                <w:sz w:val="14"/>
                <w:szCs w:val="14"/>
                <w:color w:val="41516E"/>
              </w:rPr>
              <w:t>1,500,083</w:t>
            </w:r>
          </w:p>
        </w:tc>
        <w:tc>
          <w:tcPr>
            <w:tcW w:w="0" w:type="dxa"/>
            <w:vAlign w:val="bottom"/>
          </w:tcPr>
          <w:p>
            <w:pPr>
              <w:spacing w:after="0"/>
              <w:rPr>
                <w:sz w:val="1"/>
                <w:szCs w:val="1"/>
                <w:color w:val="auto"/>
              </w:rPr>
            </w:pPr>
          </w:p>
        </w:tc>
      </w:tr>
      <w:tr>
        <w:trPr>
          <w:trHeight w:val="156"/>
        </w:trPr>
        <w:tc>
          <w:tcPr>
            <w:tcW w:w="1720" w:type="dxa"/>
            <w:vAlign w:val="bottom"/>
          </w:tcPr>
          <w:p>
            <w:pPr>
              <w:ind w:left="60"/>
              <w:spacing w:after="0" w:line="155" w:lineRule="exact"/>
              <w:rPr>
                <w:sz w:val="20"/>
                <w:szCs w:val="20"/>
                <w:color w:val="auto"/>
              </w:rPr>
            </w:pPr>
            <w:r>
              <w:rPr>
                <w:rFonts w:ascii="Arial" w:cs="Arial" w:eastAsia="Arial" w:hAnsi="Arial"/>
                <w:sz w:val="14"/>
                <w:szCs w:val="14"/>
                <w:b w:val="1"/>
                <w:bCs w:val="1"/>
                <w:color w:val="41516E"/>
              </w:rPr>
              <w:t>Frank H. Smalla</w:t>
            </w: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Annual Incentive</w:t>
            </w:r>
          </w:p>
        </w:tc>
        <w:tc>
          <w:tcPr>
            <w:tcW w:w="1140" w:type="dxa"/>
            <w:vAlign w:val="bottom"/>
            <w:shd w:val="clear" w:color="auto" w:fill="EFF0F1"/>
          </w:tcPr>
          <w:p>
            <w:pPr>
              <w:spacing w:after="0"/>
              <w:rPr>
                <w:sz w:val="14"/>
                <w:szCs w:val="14"/>
                <w:color w:val="auto"/>
              </w:rPr>
            </w:pPr>
          </w:p>
        </w:tc>
        <w:tc>
          <w:tcPr>
            <w:tcW w:w="800" w:type="dxa"/>
            <w:vAlign w:val="bottom"/>
            <w:shd w:val="clear" w:color="auto" w:fill="EFF0F1"/>
          </w:tcPr>
          <w:p>
            <w:pPr>
              <w:spacing w:after="0"/>
              <w:rPr>
                <w:sz w:val="14"/>
                <w:szCs w:val="14"/>
                <w:color w:val="auto"/>
              </w:rPr>
            </w:pPr>
          </w:p>
        </w:tc>
        <w:tc>
          <w:tcPr>
            <w:tcW w:w="80" w:type="dxa"/>
            <w:vAlign w:val="bottom"/>
            <w:shd w:val="clear" w:color="auto" w:fill="EFF0F1"/>
          </w:tcPr>
          <w:p>
            <w:pPr>
              <w:spacing w:after="0"/>
              <w:rPr>
                <w:sz w:val="14"/>
                <w:szCs w:val="14"/>
                <w:color w:val="auto"/>
              </w:rPr>
            </w:pPr>
          </w:p>
        </w:tc>
        <w:tc>
          <w:tcPr>
            <w:tcW w:w="160" w:type="dxa"/>
            <w:vAlign w:val="bottom"/>
            <w:gridSpan w:val="2"/>
            <w:shd w:val="clear" w:color="auto" w:fill="EFF0F1"/>
          </w:tcPr>
          <w:p>
            <w:pPr>
              <w:jc w:val="right"/>
              <w:ind w:right="20"/>
              <w:spacing w:after="0"/>
              <w:rPr>
                <w:sz w:val="20"/>
                <w:szCs w:val="20"/>
                <w:color w:val="auto"/>
              </w:rPr>
            </w:pPr>
            <w:r>
              <w:rPr>
                <w:rFonts w:ascii="Arial" w:cs="Arial" w:eastAsia="Arial" w:hAnsi="Arial"/>
                <w:sz w:val="14"/>
                <w:szCs w:val="14"/>
                <w:color w:val="41516E"/>
              </w:rPr>
              <w:t>$</w:t>
            </w:r>
          </w:p>
        </w:tc>
        <w:tc>
          <w:tcPr>
            <w:tcW w:w="68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456,488</w:t>
            </w:r>
          </w:p>
        </w:tc>
        <w:tc>
          <w:tcPr>
            <w:tcW w:w="3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109"/>
              <w:spacing w:after="0"/>
              <w:rPr>
                <w:sz w:val="20"/>
                <w:szCs w:val="20"/>
                <w:color w:val="auto"/>
              </w:rPr>
            </w:pPr>
            <w:r>
              <w:rPr>
                <w:rFonts w:ascii="Arial" w:cs="Arial" w:eastAsia="Arial" w:hAnsi="Arial"/>
                <w:sz w:val="14"/>
                <w:szCs w:val="14"/>
                <w:color w:val="41516E"/>
              </w:rPr>
              <w:t>1,141,219</w:t>
            </w:r>
          </w:p>
        </w:tc>
        <w:tc>
          <w:tcPr>
            <w:tcW w:w="860" w:type="dxa"/>
            <w:vAlign w:val="bottom"/>
            <w:shd w:val="clear" w:color="auto" w:fill="EFF0F1"/>
          </w:tcPr>
          <w:p>
            <w:pPr>
              <w:spacing w:after="0"/>
              <w:rPr>
                <w:sz w:val="14"/>
                <w:szCs w:val="14"/>
                <w:color w:val="auto"/>
              </w:rPr>
            </w:pPr>
          </w:p>
        </w:tc>
        <w:tc>
          <w:tcPr>
            <w:tcW w:w="900" w:type="dxa"/>
            <w:vAlign w:val="bottom"/>
            <w:shd w:val="clear" w:color="auto" w:fill="EFF0F1"/>
          </w:tcPr>
          <w:p>
            <w:pPr>
              <w:spacing w:after="0"/>
              <w:rPr>
                <w:sz w:val="14"/>
                <w:szCs w:val="14"/>
                <w:color w:val="auto"/>
              </w:rPr>
            </w:pPr>
          </w:p>
        </w:tc>
        <w:tc>
          <w:tcPr>
            <w:tcW w:w="1080" w:type="dxa"/>
            <w:vAlign w:val="bottom"/>
            <w:shd w:val="clear" w:color="auto" w:fill="EFF0F1"/>
          </w:tcPr>
          <w:p>
            <w:pPr>
              <w:spacing w:after="0"/>
              <w:rPr>
                <w:sz w:val="14"/>
                <w:szCs w:val="14"/>
                <w:color w:val="auto"/>
              </w:rPr>
            </w:pPr>
          </w:p>
        </w:tc>
        <w:tc>
          <w:tcPr>
            <w:tcW w:w="80" w:type="dxa"/>
            <w:vAlign w:val="bottom"/>
            <w:shd w:val="clear" w:color="auto" w:fill="EFF0F1"/>
          </w:tcPr>
          <w:p>
            <w:pPr>
              <w:spacing w:after="0"/>
              <w:rPr>
                <w:sz w:val="14"/>
                <w:szCs w:val="14"/>
                <w:color w:val="auto"/>
              </w:rPr>
            </w:pPr>
          </w:p>
        </w:tc>
        <w:tc>
          <w:tcPr>
            <w:tcW w:w="800" w:type="dxa"/>
            <w:vAlign w:val="bottom"/>
            <w:shd w:val="clear" w:color="auto" w:fill="EFF0F1"/>
          </w:tcPr>
          <w:p>
            <w:pPr>
              <w:spacing w:after="0"/>
              <w:rPr>
                <w:sz w:val="14"/>
                <w:szCs w:val="14"/>
                <w:color w:val="auto"/>
              </w:rPr>
            </w:pPr>
          </w:p>
        </w:tc>
        <w:tc>
          <w:tcPr>
            <w:tcW w:w="140" w:type="dxa"/>
            <w:vAlign w:val="bottom"/>
            <w:shd w:val="clear" w:color="auto" w:fill="EFF0F1"/>
          </w:tcPr>
          <w:p>
            <w:pPr>
              <w:spacing w:after="0"/>
              <w:rPr>
                <w:sz w:val="14"/>
                <w:szCs w:val="14"/>
                <w:color w:val="auto"/>
              </w:rPr>
            </w:pPr>
          </w:p>
        </w:tc>
        <w:tc>
          <w:tcPr>
            <w:tcW w:w="660" w:type="dxa"/>
            <w:vAlign w:val="bottom"/>
            <w:shd w:val="clear" w:color="auto" w:fill="EFF0F1"/>
          </w:tcPr>
          <w:p>
            <w:pPr>
              <w:spacing w:after="0"/>
              <w:rPr>
                <w:sz w:val="14"/>
                <w:szCs w:val="14"/>
                <w:color w:val="auto"/>
              </w:rPr>
            </w:pPr>
          </w:p>
        </w:tc>
        <w:tc>
          <w:tcPr>
            <w:tcW w:w="180" w:type="dxa"/>
            <w:vAlign w:val="bottom"/>
            <w:shd w:val="clear" w:color="auto" w:fill="EFF0F1"/>
          </w:tcPr>
          <w:p>
            <w:pPr>
              <w:spacing w:after="0"/>
              <w:rPr>
                <w:sz w:val="14"/>
                <w:szCs w:val="14"/>
                <w:color w:val="auto"/>
              </w:rPr>
            </w:pPr>
          </w:p>
        </w:tc>
        <w:tc>
          <w:tcPr>
            <w:tcW w:w="360" w:type="dxa"/>
            <w:vAlign w:val="bottom"/>
            <w:shd w:val="clear" w:color="auto" w:fill="EFF0F1"/>
          </w:tcPr>
          <w:p>
            <w:pPr>
              <w:spacing w:after="0"/>
              <w:rPr>
                <w:sz w:val="14"/>
                <w:szCs w:val="14"/>
                <w:color w:val="auto"/>
              </w:rPr>
            </w:pPr>
          </w:p>
        </w:tc>
        <w:tc>
          <w:tcPr>
            <w:tcW w:w="420" w:type="dxa"/>
            <w:vAlign w:val="bottom"/>
            <w:shd w:val="clear" w:color="auto" w:fill="EFF0F1"/>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tcPr>
          <w:p>
            <w:pPr>
              <w:ind w:left="60"/>
              <w:spacing w:after="0"/>
              <w:rPr>
                <w:sz w:val="20"/>
                <w:szCs w:val="20"/>
                <w:color w:val="auto"/>
              </w:rPr>
            </w:pPr>
            <w:r>
              <w:rPr>
                <w:rFonts w:ascii="Arial" w:cs="Arial" w:eastAsia="Arial" w:hAnsi="Arial"/>
                <w:sz w:val="14"/>
                <w:szCs w:val="14"/>
                <w:color w:val="41516E"/>
              </w:rPr>
              <w:t>Performance Option</w:t>
            </w:r>
          </w:p>
        </w:tc>
        <w:tc>
          <w:tcPr>
            <w:tcW w:w="1140" w:type="dxa"/>
            <w:vAlign w:val="bottom"/>
          </w:tcPr>
          <w:p>
            <w:pPr>
              <w:jc w:val="right"/>
              <w:ind w:right="28"/>
              <w:spacing w:after="0"/>
              <w:rPr>
                <w:sz w:val="20"/>
                <w:szCs w:val="20"/>
                <w:color w:val="auto"/>
              </w:rPr>
            </w:pPr>
            <w:r>
              <w:rPr>
                <w:rFonts w:ascii="Arial" w:cs="Arial" w:eastAsia="Arial" w:hAnsi="Arial"/>
                <w:sz w:val="14"/>
                <w:szCs w:val="14"/>
                <w:color w:val="41516E"/>
              </w:rPr>
              <w:t>3/1/2023</w:t>
            </w:r>
          </w:p>
        </w:tc>
        <w:tc>
          <w:tcPr>
            <w:tcW w:w="880" w:type="dxa"/>
            <w:vAlign w:val="bottom"/>
            <w:gridSpan w:val="2"/>
          </w:tcPr>
          <w:p>
            <w:pPr>
              <w:jc w:val="right"/>
              <w:spacing w:after="0" w:line="189" w:lineRule="exact"/>
              <w:rPr>
                <w:sz w:val="20"/>
                <w:szCs w:val="20"/>
                <w:color w:val="auto"/>
              </w:rPr>
            </w:pPr>
            <w:r>
              <w:rPr>
                <w:rFonts w:ascii="Arial" w:cs="Arial" w:eastAsia="Arial" w:hAnsi="Arial"/>
                <w:sz w:val="13"/>
                <w:szCs w:val="13"/>
                <w:color w:val="41516E"/>
              </w:rPr>
              <w:t>2/6/2023</w:t>
            </w:r>
            <w:r>
              <w:rPr>
                <w:rFonts w:ascii="Arial" w:cs="Arial" w:eastAsia="Arial" w:hAnsi="Arial"/>
                <w:sz w:val="21"/>
                <w:szCs w:val="21"/>
                <w:color w:val="41516E"/>
                <w:vertAlign w:val="superscript"/>
              </w:rPr>
              <w:t>(3)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jc w:val="right"/>
              <w:ind w:right="12"/>
              <w:spacing w:after="0" w:line="189" w:lineRule="exact"/>
              <w:rPr>
                <w:sz w:val="20"/>
                <w:szCs w:val="20"/>
                <w:color w:val="auto"/>
              </w:rPr>
            </w:pPr>
            <w:r>
              <w:rPr>
                <w:rFonts w:ascii="Arial" w:cs="Arial" w:eastAsia="Arial" w:hAnsi="Arial"/>
                <w:sz w:val="13"/>
                <w:szCs w:val="13"/>
                <w:color w:val="41516E"/>
              </w:rPr>
              <w:t>3,084</w:t>
            </w:r>
            <w:r>
              <w:rPr>
                <w:rFonts w:ascii="Arial" w:cs="Arial" w:eastAsia="Arial" w:hAnsi="Arial"/>
                <w:sz w:val="21"/>
                <w:szCs w:val="21"/>
                <w:color w:val="41516E"/>
                <w:vertAlign w:val="superscript"/>
              </w:rPr>
              <w:t>(5)</w:t>
            </w:r>
          </w:p>
        </w:tc>
        <w:tc>
          <w:tcPr>
            <w:tcW w:w="900" w:type="dxa"/>
            <w:vAlign w:val="bottom"/>
          </w:tcPr>
          <w:p>
            <w:pPr>
              <w:jc w:val="right"/>
              <w:spacing w:after="0" w:line="189" w:lineRule="exact"/>
              <w:rPr>
                <w:sz w:val="20"/>
                <w:szCs w:val="20"/>
                <w:color w:val="auto"/>
              </w:rPr>
            </w:pPr>
            <w:r>
              <w:rPr>
                <w:rFonts w:ascii="Arial" w:cs="Arial" w:eastAsia="Arial" w:hAnsi="Arial"/>
                <w:sz w:val="13"/>
                <w:szCs w:val="13"/>
                <w:color w:val="41516E"/>
              </w:rPr>
              <w:t>3,084</w:t>
            </w:r>
            <w:r>
              <w:rPr>
                <w:rFonts w:ascii="Arial" w:cs="Arial" w:eastAsia="Arial" w:hAnsi="Arial"/>
                <w:sz w:val="21"/>
                <w:szCs w:val="21"/>
                <w:color w:val="41516E"/>
                <w:vertAlign w:val="superscript"/>
              </w:rPr>
              <w:t>(5)</w:t>
            </w:r>
          </w:p>
        </w:tc>
        <w:tc>
          <w:tcPr>
            <w:tcW w:w="10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41516E"/>
                <w:w w:val="76"/>
              </w:rPr>
              <w:t>$</w:t>
            </w:r>
          </w:p>
        </w:tc>
        <w:tc>
          <w:tcPr>
            <w:tcW w:w="800" w:type="dxa"/>
            <w:vAlign w:val="bottom"/>
          </w:tcPr>
          <w:p>
            <w:pPr>
              <w:ind w:left="140"/>
              <w:spacing w:after="0" w:line="189" w:lineRule="exact"/>
              <w:rPr>
                <w:sz w:val="20"/>
                <w:szCs w:val="20"/>
                <w:color w:val="auto"/>
              </w:rPr>
            </w:pPr>
            <w:r>
              <w:rPr>
                <w:rFonts w:ascii="Arial" w:cs="Arial" w:eastAsia="Arial" w:hAnsi="Arial"/>
                <w:sz w:val="13"/>
                <w:szCs w:val="13"/>
                <w:color w:val="41516E"/>
              </w:rPr>
              <w:t>323.80</w:t>
            </w:r>
            <w:r>
              <w:rPr>
                <w:rFonts w:ascii="Arial" w:cs="Arial" w:eastAsia="Arial" w:hAnsi="Arial"/>
                <w:sz w:val="21"/>
                <w:szCs w:val="21"/>
                <w:color w:val="41516E"/>
                <w:vertAlign w:val="superscript"/>
              </w:rPr>
              <w:t>(3)</w:t>
            </w:r>
          </w:p>
        </w:tc>
        <w:tc>
          <w:tcPr>
            <w:tcW w:w="140" w:type="dxa"/>
            <w:vAlign w:val="bottom"/>
          </w:tcPr>
          <w:p>
            <w:pPr>
              <w:jc w:val="right"/>
              <w:spacing w:after="0"/>
              <w:rPr>
                <w:sz w:val="20"/>
                <w:szCs w:val="20"/>
                <w:color w:val="auto"/>
              </w:rPr>
            </w:pPr>
            <w:r>
              <w:rPr>
                <w:rFonts w:ascii="Arial" w:cs="Arial" w:eastAsia="Arial" w:hAnsi="Arial"/>
                <w:sz w:val="14"/>
                <w:szCs w:val="14"/>
                <w:color w:val="41516E"/>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41516E"/>
              </w:rPr>
              <w:t>323.80</w:t>
            </w:r>
          </w:p>
        </w:tc>
        <w:tc>
          <w:tcPr>
            <w:tcW w:w="180" w:type="dxa"/>
            <w:vAlign w:val="bottom"/>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gridSpan w:val="2"/>
          </w:tcPr>
          <w:p>
            <w:pPr>
              <w:jc w:val="right"/>
              <w:ind w:right="19"/>
              <w:spacing w:after="0"/>
              <w:rPr>
                <w:sz w:val="20"/>
                <w:szCs w:val="20"/>
                <w:color w:val="auto"/>
              </w:rPr>
            </w:pPr>
            <w:r>
              <w:rPr>
                <w:rFonts w:ascii="Arial" w:cs="Arial" w:eastAsia="Arial" w:hAnsi="Arial"/>
                <w:sz w:val="14"/>
                <w:szCs w:val="14"/>
                <w:color w:val="41516E"/>
              </w:rPr>
              <w:t>500,058</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41516E"/>
            </w:tcBorders>
            <w:shd w:val="clear" w:color="auto" w:fill="EFF0F1"/>
          </w:tcPr>
          <w:p>
            <w:pPr>
              <w:ind w:left="60"/>
              <w:spacing w:after="0"/>
              <w:rPr>
                <w:sz w:val="20"/>
                <w:szCs w:val="20"/>
                <w:color w:val="auto"/>
              </w:rPr>
            </w:pPr>
            <w:r>
              <w:rPr>
                <w:rFonts w:ascii="Arial" w:cs="Arial" w:eastAsia="Arial" w:hAnsi="Arial"/>
                <w:sz w:val="14"/>
                <w:szCs w:val="14"/>
                <w:color w:val="41516E"/>
              </w:rPr>
              <w:t>RSU</w:t>
            </w:r>
          </w:p>
        </w:tc>
        <w:tc>
          <w:tcPr>
            <w:tcW w:w="1140" w:type="dxa"/>
            <w:vAlign w:val="bottom"/>
            <w:tcBorders>
              <w:bottom w:val="single" w:sz="8" w:color="41516E"/>
            </w:tcBorders>
            <w:shd w:val="clear" w:color="auto" w:fill="EFF0F1"/>
          </w:tcPr>
          <w:p>
            <w:pPr>
              <w:jc w:val="right"/>
              <w:ind w:right="28"/>
              <w:spacing w:after="0"/>
              <w:rPr>
                <w:sz w:val="20"/>
                <w:szCs w:val="20"/>
                <w:color w:val="auto"/>
              </w:rPr>
            </w:pPr>
            <w:r>
              <w:rPr>
                <w:rFonts w:ascii="Arial" w:cs="Arial" w:eastAsia="Arial" w:hAnsi="Arial"/>
                <w:sz w:val="14"/>
                <w:szCs w:val="14"/>
                <w:color w:val="41516E"/>
              </w:rPr>
              <w:t>3/1/2023</w:t>
            </w:r>
          </w:p>
        </w:tc>
        <w:tc>
          <w:tcPr>
            <w:tcW w:w="880" w:type="dxa"/>
            <w:vAlign w:val="bottom"/>
            <w:tcBorders>
              <w:bottom w:val="single" w:sz="8" w:color="41516E"/>
            </w:tcBorders>
            <w:gridSpan w:val="2"/>
            <w:shd w:val="clear" w:color="auto" w:fill="EFF0F1"/>
          </w:tcPr>
          <w:p>
            <w:pPr>
              <w:jc w:val="right"/>
              <w:spacing w:after="0" w:line="189" w:lineRule="exact"/>
              <w:rPr>
                <w:sz w:val="20"/>
                <w:szCs w:val="20"/>
                <w:color w:val="auto"/>
              </w:rPr>
            </w:pPr>
            <w:r>
              <w:rPr>
                <w:rFonts w:ascii="Arial" w:cs="Arial" w:eastAsia="Arial" w:hAnsi="Arial"/>
                <w:sz w:val="13"/>
                <w:szCs w:val="13"/>
                <w:color w:val="41516E"/>
              </w:rPr>
              <w:t>2/6/2023</w:t>
            </w:r>
            <w:r>
              <w:rPr>
                <w:rFonts w:ascii="Arial" w:cs="Arial" w:eastAsia="Arial" w:hAnsi="Arial"/>
                <w:sz w:val="21"/>
                <w:szCs w:val="21"/>
                <w:color w:val="41516E"/>
                <w:vertAlign w:val="superscript"/>
              </w:rPr>
              <w:t>(3)</w:t>
            </w:r>
          </w:p>
        </w:tc>
        <w:tc>
          <w:tcPr>
            <w:tcW w:w="60" w:type="dxa"/>
            <w:vAlign w:val="bottom"/>
            <w:tcBorders>
              <w:bottom w:val="single" w:sz="8" w:color="41516E"/>
            </w:tcBorders>
            <w:shd w:val="clear" w:color="auto" w:fill="EFF0F1"/>
          </w:tcPr>
          <w:p>
            <w:pPr>
              <w:spacing w:after="0"/>
              <w:rPr>
                <w:sz w:val="16"/>
                <w:szCs w:val="16"/>
                <w:color w:val="auto"/>
              </w:rPr>
            </w:pPr>
          </w:p>
        </w:tc>
        <w:tc>
          <w:tcPr>
            <w:tcW w:w="100" w:type="dxa"/>
            <w:vAlign w:val="bottom"/>
            <w:tcBorders>
              <w:bottom w:val="single" w:sz="8" w:color="41516E"/>
            </w:tcBorders>
            <w:shd w:val="clear" w:color="auto" w:fill="EFF0F1"/>
          </w:tcPr>
          <w:p>
            <w:pPr>
              <w:spacing w:after="0"/>
              <w:rPr>
                <w:sz w:val="16"/>
                <w:szCs w:val="16"/>
                <w:color w:val="auto"/>
              </w:rPr>
            </w:pPr>
          </w:p>
        </w:tc>
        <w:tc>
          <w:tcPr>
            <w:tcW w:w="680" w:type="dxa"/>
            <w:vAlign w:val="bottom"/>
            <w:tcBorders>
              <w:bottom w:val="single" w:sz="8" w:color="41516E"/>
            </w:tcBorders>
            <w:shd w:val="clear" w:color="auto" w:fill="EFF0F1"/>
          </w:tcPr>
          <w:p>
            <w:pPr>
              <w:spacing w:after="0"/>
              <w:rPr>
                <w:sz w:val="16"/>
                <w:szCs w:val="16"/>
                <w:color w:val="auto"/>
              </w:rPr>
            </w:pPr>
          </w:p>
        </w:tc>
        <w:tc>
          <w:tcPr>
            <w:tcW w:w="340" w:type="dxa"/>
            <w:vAlign w:val="bottom"/>
            <w:tcBorders>
              <w:bottom w:val="single" w:sz="8" w:color="41516E"/>
            </w:tcBorders>
            <w:shd w:val="clear" w:color="auto" w:fill="EFF0F1"/>
          </w:tcPr>
          <w:p>
            <w:pPr>
              <w:spacing w:after="0"/>
              <w:rPr>
                <w:sz w:val="16"/>
                <w:szCs w:val="16"/>
                <w:color w:val="auto"/>
              </w:rPr>
            </w:pPr>
          </w:p>
        </w:tc>
        <w:tc>
          <w:tcPr>
            <w:tcW w:w="840" w:type="dxa"/>
            <w:vAlign w:val="bottom"/>
            <w:tcBorders>
              <w:bottom w:val="single" w:sz="8" w:color="41516E"/>
            </w:tcBorders>
            <w:shd w:val="clear" w:color="auto" w:fill="EFF0F1"/>
          </w:tcPr>
          <w:p>
            <w:pPr>
              <w:spacing w:after="0"/>
              <w:rPr>
                <w:sz w:val="16"/>
                <w:szCs w:val="16"/>
                <w:color w:val="auto"/>
              </w:rPr>
            </w:pPr>
          </w:p>
        </w:tc>
        <w:tc>
          <w:tcPr>
            <w:tcW w:w="860" w:type="dxa"/>
            <w:vAlign w:val="bottom"/>
            <w:tcBorders>
              <w:bottom w:val="single" w:sz="8" w:color="41516E"/>
            </w:tcBorders>
            <w:shd w:val="clear" w:color="auto" w:fill="EFF0F1"/>
          </w:tcPr>
          <w:p>
            <w:pPr>
              <w:spacing w:after="0"/>
              <w:rPr>
                <w:sz w:val="16"/>
                <w:szCs w:val="16"/>
                <w:color w:val="auto"/>
              </w:rPr>
            </w:pPr>
          </w:p>
        </w:tc>
        <w:tc>
          <w:tcPr>
            <w:tcW w:w="900" w:type="dxa"/>
            <w:vAlign w:val="bottom"/>
            <w:tcBorders>
              <w:bottom w:val="single" w:sz="8" w:color="41516E"/>
            </w:tcBorders>
            <w:shd w:val="clear" w:color="auto" w:fill="EFF0F1"/>
          </w:tcPr>
          <w:p>
            <w:pPr>
              <w:spacing w:after="0"/>
              <w:rPr>
                <w:sz w:val="16"/>
                <w:szCs w:val="16"/>
                <w:color w:val="auto"/>
              </w:rPr>
            </w:pPr>
          </w:p>
        </w:tc>
        <w:tc>
          <w:tcPr>
            <w:tcW w:w="1080" w:type="dxa"/>
            <w:vAlign w:val="bottom"/>
            <w:tcBorders>
              <w:bottom w:val="single" w:sz="8" w:color="41516E"/>
            </w:tcBorders>
            <w:shd w:val="clear" w:color="auto" w:fill="EFF0F1"/>
          </w:tcPr>
          <w:p>
            <w:pPr>
              <w:jc w:val="right"/>
              <w:ind w:right="208"/>
              <w:spacing w:after="0"/>
              <w:rPr>
                <w:sz w:val="20"/>
                <w:szCs w:val="20"/>
                <w:color w:val="auto"/>
              </w:rPr>
            </w:pPr>
            <w:r>
              <w:rPr>
                <w:rFonts w:ascii="Arial" w:cs="Arial" w:eastAsia="Arial" w:hAnsi="Arial"/>
                <w:sz w:val="14"/>
                <w:szCs w:val="14"/>
                <w:color w:val="41516E"/>
              </w:rPr>
              <w:t>1,545</w:t>
            </w:r>
          </w:p>
        </w:tc>
        <w:tc>
          <w:tcPr>
            <w:tcW w:w="80" w:type="dxa"/>
            <w:vAlign w:val="bottom"/>
            <w:tcBorders>
              <w:bottom w:val="single" w:sz="8" w:color="41516E"/>
            </w:tcBorders>
            <w:shd w:val="clear" w:color="auto" w:fill="EFF0F1"/>
          </w:tcPr>
          <w:p>
            <w:pPr>
              <w:spacing w:after="0"/>
              <w:rPr>
                <w:sz w:val="16"/>
                <w:szCs w:val="16"/>
                <w:color w:val="auto"/>
              </w:rPr>
            </w:pPr>
          </w:p>
        </w:tc>
        <w:tc>
          <w:tcPr>
            <w:tcW w:w="800" w:type="dxa"/>
            <w:vAlign w:val="bottom"/>
            <w:tcBorders>
              <w:bottom w:val="single" w:sz="8" w:color="41516E"/>
            </w:tcBorders>
            <w:shd w:val="clear" w:color="auto" w:fill="EFF0F1"/>
          </w:tcPr>
          <w:p>
            <w:pPr>
              <w:spacing w:after="0"/>
              <w:rPr>
                <w:sz w:val="16"/>
                <w:szCs w:val="16"/>
                <w:color w:val="auto"/>
              </w:rPr>
            </w:pPr>
          </w:p>
        </w:tc>
        <w:tc>
          <w:tcPr>
            <w:tcW w:w="140" w:type="dxa"/>
            <w:vAlign w:val="bottom"/>
            <w:tcBorders>
              <w:bottom w:val="single" w:sz="8" w:color="41516E"/>
            </w:tcBorders>
            <w:shd w:val="clear" w:color="auto" w:fill="EFF0F1"/>
          </w:tcPr>
          <w:p>
            <w:pPr>
              <w:spacing w:after="0"/>
              <w:rPr>
                <w:sz w:val="16"/>
                <w:szCs w:val="16"/>
                <w:color w:val="auto"/>
              </w:rPr>
            </w:pPr>
          </w:p>
        </w:tc>
        <w:tc>
          <w:tcPr>
            <w:tcW w:w="660" w:type="dxa"/>
            <w:vAlign w:val="bottom"/>
            <w:tcBorders>
              <w:bottom w:val="single" w:sz="8" w:color="41516E"/>
            </w:tcBorders>
            <w:shd w:val="clear" w:color="auto" w:fill="EFF0F1"/>
          </w:tcPr>
          <w:p>
            <w:pPr>
              <w:spacing w:after="0"/>
              <w:rPr>
                <w:sz w:val="16"/>
                <w:szCs w:val="16"/>
                <w:color w:val="auto"/>
              </w:rPr>
            </w:pPr>
          </w:p>
        </w:tc>
        <w:tc>
          <w:tcPr>
            <w:tcW w:w="180" w:type="dxa"/>
            <w:vAlign w:val="bottom"/>
            <w:tcBorders>
              <w:bottom w:val="single" w:sz="8" w:color="41516E"/>
            </w:tcBorders>
            <w:shd w:val="clear" w:color="auto" w:fill="EFF0F1"/>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tcBorders>
              <w:bottom w:val="single" w:sz="8" w:color="41516E"/>
            </w:tcBorders>
            <w:gridSpan w:val="2"/>
            <w:shd w:val="clear" w:color="auto" w:fill="EFF0F1"/>
          </w:tcPr>
          <w:p>
            <w:pPr>
              <w:jc w:val="right"/>
              <w:ind w:right="19"/>
              <w:spacing w:after="0"/>
              <w:rPr>
                <w:sz w:val="20"/>
                <w:szCs w:val="20"/>
                <w:color w:val="auto"/>
              </w:rPr>
            </w:pPr>
            <w:r>
              <w:rPr>
                <w:rFonts w:ascii="Arial" w:cs="Arial" w:eastAsia="Arial" w:hAnsi="Arial"/>
                <w:sz w:val="14"/>
                <w:szCs w:val="14"/>
                <w:color w:val="41516E"/>
              </w:rPr>
              <w:t>500,271</w:t>
            </w:r>
          </w:p>
        </w:tc>
        <w:tc>
          <w:tcPr>
            <w:tcW w:w="0" w:type="dxa"/>
            <w:vAlign w:val="bottom"/>
          </w:tcPr>
          <w:p>
            <w:pPr>
              <w:spacing w:after="0"/>
              <w:rPr>
                <w:sz w:val="1"/>
                <w:szCs w:val="1"/>
                <w:color w:val="auto"/>
              </w:rPr>
            </w:pPr>
          </w:p>
        </w:tc>
      </w:tr>
      <w:tr>
        <w:trPr>
          <w:trHeight w:val="155"/>
        </w:trPr>
        <w:tc>
          <w:tcPr>
            <w:tcW w:w="1720" w:type="dxa"/>
            <w:vAlign w:val="bottom"/>
          </w:tcPr>
          <w:p>
            <w:pPr>
              <w:ind w:left="60"/>
              <w:spacing w:after="0" w:line="155" w:lineRule="exact"/>
              <w:rPr>
                <w:sz w:val="20"/>
                <w:szCs w:val="20"/>
                <w:color w:val="auto"/>
              </w:rPr>
            </w:pPr>
            <w:r>
              <w:rPr>
                <w:rFonts w:ascii="Arial" w:cs="Arial" w:eastAsia="Arial" w:hAnsi="Arial"/>
                <w:sz w:val="14"/>
                <w:szCs w:val="14"/>
                <w:b w:val="1"/>
                <w:bCs w:val="1"/>
                <w:color w:val="41516E"/>
              </w:rPr>
              <w:t>Matthew D. Murphy</w:t>
            </w: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Annual Incentive</w:t>
            </w:r>
          </w:p>
        </w:tc>
        <w:tc>
          <w:tcPr>
            <w:tcW w:w="1140" w:type="dxa"/>
            <w:vAlign w:val="bottom"/>
            <w:shd w:val="clear" w:color="auto" w:fill="EFF0F1"/>
          </w:tcPr>
          <w:p>
            <w:pPr>
              <w:spacing w:after="0"/>
              <w:rPr>
                <w:sz w:val="14"/>
                <w:szCs w:val="14"/>
                <w:color w:val="auto"/>
              </w:rPr>
            </w:pPr>
          </w:p>
        </w:tc>
        <w:tc>
          <w:tcPr>
            <w:tcW w:w="800" w:type="dxa"/>
            <w:vAlign w:val="bottom"/>
            <w:shd w:val="clear" w:color="auto" w:fill="EFF0F1"/>
          </w:tcPr>
          <w:p>
            <w:pPr>
              <w:spacing w:after="0"/>
              <w:rPr>
                <w:sz w:val="14"/>
                <w:szCs w:val="14"/>
                <w:color w:val="auto"/>
              </w:rPr>
            </w:pPr>
          </w:p>
        </w:tc>
        <w:tc>
          <w:tcPr>
            <w:tcW w:w="80" w:type="dxa"/>
            <w:vAlign w:val="bottom"/>
            <w:shd w:val="clear" w:color="auto" w:fill="EFF0F1"/>
          </w:tcPr>
          <w:p>
            <w:pPr>
              <w:spacing w:after="0"/>
              <w:rPr>
                <w:sz w:val="14"/>
                <w:szCs w:val="14"/>
                <w:color w:val="auto"/>
              </w:rPr>
            </w:pPr>
          </w:p>
        </w:tc>
        <w:tc>
          <w:tcPr>
            <w:tcW w:w="160" w:type="dxa"/>
            <w:vAlign w:val="bottom"/>
            <w:gridSpan w:val="2"/>
            <w:shd w:val="clear" w:color="auto" w:fill="EFF0F1"/>
          </w:tcPr>
          <w:p>
            <w:pPr>
              <w:jc w:val="right"/>
              <w:ind w:right="20"/>
              <w:spacing w:after="0"/>
              <w:rPr>
                <w:sz w:val="20"/>
                <w:szCs w:val="20"/>
                <w:color w:val="auto"/>
              </w:rPr>
            </w:pPr>
            <w:r>
              <w:rPr>
                <w:rFonts w:ascii="Arial" w:cs="Arial" w:eastAsia="Arial" w:hAnsi="Arial"/>
                <w:sz w:val="14"/>
                <w:szCs w:val="14"/>
                <w:color w:val="41516E"/>
              </w:rPr>
              <w:t>$</w:t>
            </w:r>
          </w:p>
        </w:tc>
        <w:tc>
          <w:tcPr>
            <w:tcW w:w="68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191,144</w:t>
            </w:r>
          </w:p>
        </w:tc>
        <w:tc>
          <w:tcPr>
            <w:tcW w:w="3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840" w:type="dxa"/>
            <w:vAlign w:val="bottom"/>
            <w:shd w:val="clear" w:color="auto" w:fill="EFF0F1"/>
          </w:tcPr>
          <w:p>
            <w:pPr>
              <w:jc w:val="right"/>
              <w:ind w:right="109"/>
              <w:spacing w:after="0"/>
              <w:rPr>
                <w:sz w:val="20"/>
                <w:szCs w:val="20"/>
                <w:color w:val="auto"/>
              </w:rPr>
            </w:pPr>
            <w:r>
              <w:rPr>
                <w:rFonts w:ascii="Arial" w:cs="Arial" w:eastAsia="Arial" w:hAnsi="Arial"/>
                <w:sz w:val="14"/>
                <w:szCs w:val="14"/>
                <w:color w:val="41516E"/>
              </w:rPr>
              <w:t>477,860</w:t>
            </w:r>
          </w:p>
        </w:tc>
        <w:tc>
          <w:tcPr>
            <w:tcW w:w="860" w:type="dxa"/>
            <w:vAlign w:val="bottom"/>
            <w:shd w:val="clear" w:color="auto" w:fill="EFF0F1"/>
          </w:tcPr>
          <w:p>
            <w:pPr>
              <w:spacing w:after="0"/>
              <w:rPr>
                <w:sz w:val="14"/>
                <w:szCs w:val="14"/>
                <w:color w:val="auto"/>
              </w:rPr>
            </w:pPr>
          </w:p>
        </w:tc>
        <w:tc>
          <w:tcPr>
            <w:tcW w:w="900" w:type="dxa"/>
            <w:vAlign w:val="bottom"/>
            <w:shd w:val="clear" w:color="auto" w:fill="EFF0F1"/>
          </w:tcPr>
          <w:p>
            <w:pPr>
              <w:spacing w:after="0"/>
              <w:rPr>
                <w:sz w:val="14"/>
                <w:szCs w:val="14"/>
                <w:color w:val="auto"/>
              </w:rPr>
            </w:pPr>
          </w:p>
        </w:tc>
        <w:tc>
          <w:tcPr>
            <w:tcW w:w="1080" w:type="dxa"/>
            <w:vAlign w:val="bottom"/>
            <w:shd w:val="clear" w:color="auto" w:fill="EFF0F1"/>
          </w:tcPr>
          <w:p>
            <w:pPr>
              <w:spacing w:after="0"/>
              <w:rPr>
                <w:sz w:val="14"/>
                <w:szCs w:val="14"/>
                <w:color w:val="auto"/>
              </w:rPr>
            </w:pPr>
          </w:p>
        </w:tc>
        <w:tc>
          <w:tcPr>
            <w:tcW w:w="80" w:type="dxa"/>
            <w:vAlign w:val="bottom"/>
            <w:shd w:val="clear" w:color="auto" w:fill="EFF0F1"/>
          </w:tcPr>
          <w:p>
            <w:pPr>
              <w:spacing w:after="0"/>
              <w:rPr>
                <w:sz w:val="14"/>
                <w:szCs w:val="14"/>
                <w:color w:val="auto"/>
              </w:rPr>
            </w:pPr>
          </w:p>
        </w:tc>
        <w:tc>
          <w:tcPr>
            <w:tcW w:w="800" w:type="dxa"/>
            <w:vAlign w:val="bottom"/>
            <w:shd w:val="clear" w:color="auto" w:fill="EFF0F1"/>
          </w:tcPr>
          <w:p>
            <w:pPr>
              <w:spacing w:after="0"/>
              <w:rPr>
                <w:sz w:val="14"/>
                <w:szCs w:val="14"/>
                <w:color w:val="auto"/>
              </w:rPr>
            </w:pPr>
          </w:p>
        </w:tc>
        <w:tc>
          <w:tcPr>
            <w:tcW w:w="140" w:type="dxa"/>
            <w:vAlign w:val="bottom"/>
            <w:shd w:val="clear" w:color="auto" w:fill="EFF0F1"/>
          </w:tcPr>
          <w:p>
            <w:pPr>
              <w:spacing w:after="0"/>
              <w:rPr>
                <w:sz w:val="14"/>
                <w:szCs w:val="14"/>
                <w:color w:val="auto"/>
              </w:rPr>
            </w:pPr>
          </w:p>
        </w:tc>
        <w:tc>
          <w:tcPr>
            <w:tcW w:w="660" w:type="dxa"/>
            <w:vAlign w:val="bottom"/>
            <w:shd w:val="clear" w:color="auto" w:fill="EFF0F1"/>
          </w:tcPr>
          <w:p>
            <w:pPr>
              <w:spacing w:after="0"/>
              <w:rPr>
                <w:sz w:val="14"/>
                <w:szCs w:val="14"/>
                <w:color w:val="auto"/>
              </w:rPr>
            </w:pPr>
          </w:p>
        </w:tc>
        <w:tc>
          <w:tcPr>
            <w:tcW w:w="180" w:type="dxa"/>
            <w:vAlign w:val="bottom"/>
            <w:shd w:val="clear" w:color="auto" w:fill="EFF0F1"/>
          </w:tcPr>
          <w:p>
            <w:pPr>
              <w:spacing w:after="0"/>
              <w:rPr>
                <w:sz w:val="14"/>
                <w:szCs w:val="14"/>
                <w:color w:val="auto"/>
              </w:rPr>
            </w:pPr>
          </w:p>
        </w:tc>
        <w:tc>
          <w:tcPr>
            <w:tcW w:w="360" w:type="dxa"/>
            <w:vAlign w:val="bottom"/>
            <w:shd w:val="clear" w:color="auto" w:fill="EFF0F1"/>
          </w:tcPr>
          <w:p>
            <w:pPr>
              <w:spacing w:after="0"/>
              <w:rPr>
                <w:sz w:val="14"/>
                <w:szCs w:val="14"/>
                <w:color w:val="auto"/>
              </w:rPr>
            </w:pPr>
          </w:p>
        </w:tc>
        <w:tc>
          <w:tcPr>
            <w:tcW w:w="420" w:type="dxa"/>
            <w:vAlign w:val="bottom"/>
            <w:shd w:val="clear" w:color="auto" w:fill="EFF0F1"/>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tcPr>
          <w:p>
            <w:pPr>
              <w:ind w:left="60"/>
              <w:spacing w:after="0"/>
              <w:rPr>
                <w:sz w:val="20"/>
                <w:szCs w:val="20"/>
                <w:color w:val="auto"/>
              </w:rPr>
            </w:pPr>
            <w:r>
              <w:rPr>
                <w:rFonts w:ascii="Arial" w:cs="Arial" w:eastAsia="Arial" w:hAnsi="Arial"/>
                <w:sz w:val="14"/>
                <w:szCs w:val="14"/>
                <w:color w:val="41516E"/>
              </w:rPr>
              <w:t>Performance Option</w:t>
            </w:r>
          </w:p>
        </w:tc>
        <w:tc>
          <w:tcPr>
            <w:tcW w:w="1140" w:type="dxa"/>
            <w:vAlign w:val="bottom"/>
          </w:tcPr>
          <w:p>
            <w:pPr>
              <w:jc w:val="right"/>
              <w:ind w:right="28"/>
              <w:spacing w:after="0"/>
              <w:rPr>
                <w:sz w:val="20"/>
                <w:szCs w:val="20"/>
                <w:color w:val="auto"/>
              </w:rPr>
            </w:pPr>
            <w:r>
              <w:rPr>
                <w:rFonts w:ascii="Arial" w:cs="Arial" w:eastAsia="Arial" w:hAnsi="Arial"/>
                <w:sz w:val="14"/>
                <w:szCs w:val="14"/>
                <w:color w:val="41516E"/>
              </w:rPr>
              <w:t>3/1/2023</w:t>
            </w:r>
          </w:p>
        </w:tc>
        <w:tc>
          <w:tcPr>
            <w:tcW w:w="880" w:type="dxa"/>
            <w:vAlign w:val="bottom"/>
            <w:gridSpan w:val="2"/>
          </w:tcPr>
          <w:p>
            <w:pPr>
              <w:jc w:val="right"/>
              <w:spacing w:after="0" w:line="189" w:lineRule="exact"/>
              <w:rPr>
                <w:sz w:val="20"/>
                <w:szCs w:val="20"/>
                <w:color w:val="auto"/>
              </w:rPr>
            </w:pPr>
            <w:r>
              <w:rPr>
                <w:rFonts w:ascii="Arial" w:cs="Arial" w:eastAsia="Arial" w:hAnsi="Arial"/>
                <w:sz w:val="13"/>
                <w:szCs w:val="13"/>
                <w:color w:val="41516E"/>
              </w:rPr>
              <w:t>2/6/2023</w:t>
            </w:r>
            <w:r>
              <w:rPr>
                <w:rFonts w:ascii="Arial" w:cs="Arial" w:eastAsia="Arial" w:hAnsi="Arial"/>
                <w:sz w:val="21"/>
                <w:szCs w:val="21"/>
                <w:color w:val="41516E"/>
                <w:vertAlign w:val="superscript"/>
              </w:rPr>
              <w:t>(3)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jc w:val="right"/>
              <w:ind w:right="12"/>
              <w:spacing w:after="0" w:line="189" w:lineRule="exact"/>
              <w:rPr>
                <w:sz w:val="20"/>
                <w:szCs w:val="20"/>
                <w:color w:val="auto"/>
              </w:rPr>
            </w:pPr>
            <w:r>
              <w:rPr>
                <w:rFonts w:ascii="Arial" w:cs="Arial" w:eastAsia="Arial" w:hAnsi="Arial"/>
                <w:sz w:val="21"/>
                <w:szCs w:val="21"/>
                <w:color w:val="41516E"/>
                <w:vertAlign w:val="subscript"/>
              </w:rPr>
              <w:t>771</w:t>
            </w:r>
            <w:r>
              <w:rPr>
                <w:rFonts w:ascii="Arial" w:cs="Arial" w:eastAsia="Arial" w:hAnsi="Arial"/>
                <w:sz w:val="10"/>
                <w:szCs w:val="10"/>
                <w:color w:val="41516E"/>
              </w:rPr>
              <w:t>(5)</w:t>
            </w:r>
          </w:p>
        </w:tc>
        <w:tc>
          <w:tcPr>
            <w:tcW w:w="900" w:type="dxa"/>
            <w:vAlign w:val="bottom"/>
          </w:tcPr>
          <w:p>
            <w:pPr>
              <w:jc w:val="right"/>
              <w:spacing w:after="0" w:line="189" w:lineRule="exact"/>
              <w:rPr>
                <w:sz w:val="20"/>
                <w:szCs w:val="20"/>
                <w:color w:val="auto"/>
              </w:rPr>
            </w:pPr>
            <w:r>
              <w:rPr>
                <w:rFonts w:ascii="Arial" w:cs="Arial" w:eastAsia="Arial" w:hAnsi="Arial"/>
                <w:sz w:val="21"/>
                <w:szCs w:val="21"/>
                <w:color w:val="41516E"/>
                <w:vertAlign w:val="subscript"/>
              </w:rPr>
              <w:t>771</w:t>
            </w:r>
            <w:r>
              <w:rPr>
                <w:rFonts w:ascii="Arial" w:cs="Arial" w:eastAsia="Arial" w:hAnsi="Arial"/>
                <w:sz w:val="10"/>
                <w:szCs w:val="10"/>
                <w:color w:val="41516E"/>
              </w:rPr>
              <w:t>(5)</w:t>
            </w:r>
          </w:p>
        </w:tc>
        <w:tc>
          <w:tcPr>
            <w:tcW w:w="10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41516E"/>
                <w:w w:val="76"/>
              </w:rPr>
              <w:t>$</w:t>
            </w:r>
          </w:p>
        </w:tc>
        <w:tc>
          <w:tcPr>
            <w:tcW w:w="800" w:type="dxa"/>
            <w:vAlign w:val="bottom"/>
          </w:tcPr>
          <w:p>
            <w:pPr>
              <w:ind w:left="140"/>
              <w:spacing w:after="0" w:line="189" w:lineRule="exact"/>
              <w:rPr>
                <w:sz w:val="20"/>
                <w:szCs w:val="20"/>
                <w:color w:val="auto"/>
              </w:rPr>
            </w:pPr>
            <w:r>
              <w:rPr>
                <w:rFonts w:ascii="Arial" w:cs="Arial" w:eastAsia="Arial" w:hAnsi="Arial"/>
                <w:sz w:val="13"/>
                <w:szCs w:val="13"/>
                <w:color w:val="41516E"/>
              </w:rPr>
              <w:t>323.80</w:t>
            </w:r>
            <w:r>
              <w:rPr>
                <w:rFonts w:ascii="Arial" w:cs="Arial" w:eastAsia="Arial" w:hAnsi="Arial"/>
                <w:sz w:val="21"/>
                <w:szCs w:val="21"/>
                <w:color w:val="41516E"/>
                <w:vertAlign w:val="superscript"/>
              </w:rPr>
              <w:t>(3)</w:t>
            </w:r>
          </w:p>
        </w:tc>
        <w:tc>
          <w:tcPr>
            <w:tcW w:w="140" w:type="dxa"/>
            <w:vAlign w:val="bottom"/>
          </w:tcPr>
          <w:p>
            <w:pPr>
              <w:jc w:val="right"/>
              <w:spacing w:after="0"/>
              <w:rPr>
                <w:sz w:val="20"/>
                <w:szCs w:val="20"/>
                <w:color w:val="auto"/>
              </w:rPr>
            </w:pPr>
            <w:r>
              <w:rPr>
                <w:rFonts w:ascii="Arial" w:cs="Arial" w:eastAsia="Arial" w:hAnsi="Arial"/>
                <w:sz w:val="14"/>
                <w:szCs w:val="14"/>
                <w:color w:val="41516E"/>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41516E"/>
              </w:rPr>
              <w:t>323.80</w:t>
            </w:r>
          </w:p>
        </w:tc>
        <w:tc>
          <w:tcPr>
            <w:tcW w:w="180" w:type="dxa"/>
            <w:vAlign w:val="bottom"/>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gridSpan w:val="2"/>
          </w:tcPr>
          <w:p>
            <w:pPr>
              <w:jc w:val="right"/>
              <w:ind w:right="19"/>
              <w:spacing w:after="0"/>
              <w:rPr>
                <w:sz w:val="20"/>
                <w:szCs w:val="20"/>
                <w:color w:val="auto"/>
              </w:rPr>
            </w:pPr>
            <w:r>
              <w:rPr>
                <w:rFonts w:ascii="Arial" w:cs="Arial" w:eastAsia="Arial" w:hAnsi="Arial"/>
                <w:sz w:val="14"/>
                <w:szCs w:val="14"/>
                <w:color w:val="41516E"/>
              </w:rPr>
              <w:t>125,015</w:t>
            </w:r>
          </w:p>
        </w:tc>
        <w:tc>
          <w:tcPr>
            <w:tcW w:w="0" w:type="dxa"/>
            <w:vAlign w:val="bottom"/>
          </w:tcPr>
          <w:p>
            <w:pPr>
              <w:spacing w:after="0"/>
              <w:rPr>
                <w:sz w:val="1"/>
                <w:szCs w:val="1"/>
                <w:color w:val="auto"/>
              </w:rPr>
            </w:pPr>
          </w:p>
        </w:tc>
      </w:tr>
      <w:tr>
        <w:trPr>
          <w:trHeight w:val="189"/>
        </w:trPr>
        <w:tc>
          <w:tcPr>
            <w:tcW w:w="172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Service Option</w:t>
            </w:r>
          </w:p>
        </w:tc>
        <w:tc>
          <w:tcPr>
            <w:tcW w:w="114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5/15/2023</w:t>
            </w:r>
          </w:p>
        </w:tc>
        <w:tc>
          <w:tcPr>
            <w:tcW w:w="880" w:type="dxa"/>
            <w:vAlign w:val="bottom"/>
            <w:gridSpan w:val="2"/>
            <w:shd w:val="clear" w:color="auto" w:fill="EFF0F1"/>
          </w:tcPr>
          <w:p>
            <w:pPr>
              <w:jc w:val="right"/>
              <w:spacing w:after="0" w:line="189" w:lineRule="exact"/>
              <w:rPr>
                <w:sz w:val="20"/>
                <w:szCs w:val="20"/>
                <w:color w:val="auto"/>
              </w:rPr>
            </w:pPr>
            <w:r>
              <w:rPr>
                <w:rFonts w:ascii="Arial" w:cs="Arial" w:eastAsia="Arial" w:hAnsi="Arial"/>
                <w:sz w:val="13"/>
                <w:szCs w:val="13"/>
                <w:color w:val="41516E"/>
              </w:rPr>
              <w:t>5/3/2023</w:t>
            </w:r>
            <w:r>
              <w:rPr>
                <w:rFonts w:ascii="Arial" w:cs="Arial" w:eastAsia="Arial" w:hAnsi="Arial"/>
                <w:sz w:val="21"/>
                <w:szCs w:val="21"/>
                <w:color w:val="41516E"/>
                <w:vertAlign w:val="superscript"/>
              </w:rPr>
              <w:t>(6)</w:t>
            </w:r>
          </w:p>
        </w:tc>
        <w:tc>
          <w:tcPr>
            <w:tcW w:w="60" w:type="dxa"/>
            <w:vAlign w:val="bottom"/>
            <w:shd w:val="clear" w:color="auto" w:fill="EFF0F1"/>
          </w:tcPr>
          <w:p>
            <w:pPr>
              <w:spacing w:after="0"/>
              <w:rPr>
                <w:sz w:val="16"/>
                <w:szCs w:val="16"/>
                <w:color w:val="auto"/>
              </w:rPr>
            </w:pPr>
          </w:p>
        </w:tc>
        <w:tc>
          <w:tcPr>
            <w:tcW w:w="100" w:type="dxa"/>
            <w:vAlign w:val="bottom"/>
            <w:shd w:val="clear" w:color="auto" w:fill="EFF0F1"/>
          </w:tcPr>
          <w:p>
            <w:pPr>
              <w:spacing w:after="0"/>
              <w:rPr>
                <w:sz w:val="16"/>
                <w:szCs w:val="16"/>
                <w:color w:val="auto"/>
              </w:rPr>
            </w:pPr>
          </w:p>
        </w:tc>
        <w:tc>
          <w:tcPr>
            <w:tcW w:w="680" w:type="dxa"/>
            <w:vAlign w:val="bottom"/>
            <w:shd w:val="clear" w:color="auto" w:fill="EFF0F1"/>
          </w:tcPr>
          <w:p>
            <w:pPr>
              <w:spacing w:after="0"/>
              <w:rPr>
                <w:sz w:val="16"/>
                <w:szCs w:val="16"/>
                <w:color w:val="auto"/>
              </w:rPr>
            </w:pPr>
          </w:p>
        </w:tc>
        <w:tc>
          <w:tcPr>
            <w:tcW w:w="340" w:type="dxa"/>
            <w:vAlign w:val="bottom"/>
            <w:shd w:val="clear" w:color="auto" w:fill="EFF0F1"/>
          </w:tcPr>
          <w:p>
            <w:pPr>
              <w:spacing w:after="0"/>
              <w:rPr>
                <w:sz w:val="16"/>
                <w:szCs w:val="16"/>
                <w:color w:val="auto"/>
              </w:rPr>
            </w:pPr>
          </w:p>
        </w:tc>
        <w:tc>
          <w:tcPr>
            <w:tcW w:w="840" w:type="dxa"/>
            <w:vAlign w:val="bottom"/>
            <w:shd w:val="clear" w:color="auto" w:fill="EFF0F1"/>
          </w:tcPr>
          <w:p>
            <w:pPr>
              <w:spacing w:after="0"/>
              <w:rPr>
                <w:sz w:val="16"/>
                <w:szCs w:val="16"/>
                <w:color w:val="auto"/>
              </w:rPr>
            </w:pPr>
          </w:p>
        </w:tc>
        <w:tc>
          <w:tcPr>
            <w:tcW w:w="860" w:type="dxa"/>
            <w:vAlign w:val="bottom"/>
            <w:shd w:val="clear" w:color="auto" w:fill="EFF0F1"/>
          </w:tcPr>
          <w:p>
            <w:pPr>
              <w:jc w:val="right"/>
              <w:ind w:right="152"/>
              <w:spacing w:after="0"/>
              <w:rPr>
                <w:sz w:val="20"/>
                <w:szCs w:val="20"/>
                <w:color w:val="auto"/>
              </w:rPr>
            </w:pPr>
            <w:r>
              <w:rPr>
                <w:rFonts w:ascii="Arial" w:cs="Arial" w:eastAsia="Arial" w:hAnsi="Arial"/>
                <w:sz w:val="14"/>
                <w:szCs w:val="14"/>
                <w:color w:val="41516E"/>
              </w:rPr>
              <w:t>3,994</w:t>
            </w:r>
          </w:p>
        </w:tc>
        <w:tc>
          <w:tcPr>
            <w:tcW w:w="900" w:type="dxa"/>
            <w:vAlign w:val="bottom"/>
            <w:shd w:val="clear" w:color="auto" w:fill="EFF0F1"/>
          </w:tcPr>
          <w:p>
            <w:pPr>
              <w:jc w:val="right"/>
              <w:ind w:right="111"/>
              <w:spacing w:after="0"/>
              <w:rPr>
                <w:sz w:val="20"/>
                <w:szCs w:val="20"/>
                <w:color w:val="auto"/>
              </w:rPr>
            </w:pPr>
            <w:r>
              <w:rPr>
                <w:rFonts w:ascii="Arial" w:cs="Arial" w:eastAsia="Arial" w:hAnsi="Arial"/>
                <w:sz w:val="14"/>
                <w:szCs w:val="14"/>
                <w:color w:val="41516E"/>
              </w:rPr>
              <w:t>3,994</w:t>
            </w:r>
          </w:p>
        </w:tc>
        <w:tc>
          <w:tcPr>
            <w:tcW w:w="1080" w:type="dxa"/>
            <w:vAlign w:val="bottom"/>
            <w:shd w:val="clear" w:color="auto" w:fill="EFF0F1"/>
          </w:tcPr>
          <w:p>
            <w:pPr>
              <w:spacing w:after="0"/>
              <w:rPr>
                <w:sz w:val="16"/>
                <w:szCs w:val="16"/>
                <w:color w:val="auto"/>
              </w:rPr>
            </w:pPr>
          </w:p>
        </w:tc>
        <w:tc>
          <w:tcPr>
            <w:tcW w:w="80" w:type="dxa"/>
            <w:vAlign w:val="bottom"/>
            <w:shd w:val="clear" w:color="auto" w:fill="EFF0F1"/>
          </w:tcPr>
          <w:p>
            <w:pPr>
              <w:spacing w:after="0"/>
              <w:rPr>
                <w:sz w:val="20"/>
                <w:szCs w:val="20"/>
                <w:color w:val="auto"/>
              </w:rPr>
            </w:pPr>
            <w:r>
              <w:rPr>
                <w:rFonts w:ascii="Arial" w:cs="Arial" w:eastAsia="Arial" w:hAnsi="Arial"/>
                <w:sz w:val="14"/>
                <w:szCs w:val="14"/>
                <w:color w:val="41516E"/>
                <w:w w:val="76"/>
              </w:rPr>
              <w:t>$</w:t>
            </w:r>
          </w:p>
        </w:tc>
        <w:tc>
          <w:tcPr>
            <w:tcW w:w="800" w:type="dxa"/>
            <w:vAlign w:val="bottom"/>
            <w:shd w:val="clear" w:color="auto" w:fill="EFF0F1"/>
          </w:tcPr>
          <w:p>
            <w:pPr>
              <w:ind w:left="140"/>
              <w:spacing w:after="0"/>
              <w:rPr>
                <w:sz w:val="20"/>
                <w:szCs w:val="20"/>
                <w:color w:val="auto"/>
              </w:rPr>
            </w:pPr>
            <w:r>
              <w:rPr>
                <w:rFonts w:ascii="Arial" w:cs="Arial" w:eastAsia="Arial" w:hAnsi="Arial"/>
                <w:sz w:val="14"/>
                <w:szCs w:val="14"/>
                <w:color w:val="41516E"/>
              </w:rPr>
              <w:t>308.14</w:t>
            </w:r>
          </w:p>
        </w:tc>
        <w:tc>
          <w:tcPr>
            <w:tcW w:w="1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66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308.14</w:t>
            </w:r>
          </w:p>
        </w:tc>
        <w:tc>
          <w:tcPr>
            <w:tcW w:w="180" w:type="dxa"/>
            <w:vAlign w:val="bottom"/>
            <w:shd w:val="clear" w:color="auto" w:fill="EFF0F1"/>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gridSpan w:val="2"/>
            <w:shd w:val="clear" w:color="auto" w:fill="EFF0F1"/>
          </w:tcPr>
          <w:p>
            <w:pPr>
              <w:jc w:val="right"/>
              <w:ind w:right="19"/>
              <w:spacing w:after="0"/>
              <w:rPr>
                <w:sz w:val="20"/>
                <w:szCs w:val="20"/>
                <w:color w:val="auto"/>
              </w:rPr>
            </w:pPr>
            <w:r>
              <w:rPr>
                <w:rFonts w:ascii="Arial" w:cs="Arial" w:eastAsia="Arial" w:hAnsi="Arial"/>
                <w:sz w:val="14"/>
                <w:szCs w:val="14"/>
                <w:color w:val="41516E"/>
              </w:rPr>
              <w:t>600,090</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41516E"/>
            </w:tcBorders>
          </w:tcPr>
          <w:p>
            <w:pPr>
              <w:ind w:left="60"/>
              <w:spacing w:after="0"/>
              <w:rPr>
                <w:sz w:val="20"/>
                <w:szCs w:val="20"/>
                <w:color w:val="auto"/>
              </w:rPr>
            </w:pPr>
            <w:r>
              <w:rPr>
                <w:rFonts w:ascii="Arial" w:cs="Arial" w:eastAsia="Arial" w:hAnsi="Arial"/>
                <w:sz w:val="14"/>
                <w:szCs w:val="14"/>
                <w:color w:val="41516E"/>
              </w:rPr>
              <w:t>RSU</w:t>
            </w:r>
          </w:p>
        </w:tc>
        <w:tc>
          <w:tcPr>
            <w:tcW w:w="114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color w:val="41516E"/>
              </w:rPr>
              <w:t>3/1/2023</w:t>
            </w:r>
          </w:p>
        </w:tc>
        <w:tc>
          <w:tcPr>
            <w:tcW w:w="880" w:type="dxa"/>
            <w:vAlign w:val="bottom"/>
            <w:tcBorders>
              <w:bottom w:val="single" w:sz="8" w:color="41516E"/>
            </w:tcBorders>
            <w:gridSpan w:val="2"/>
          </w:tcPr>
          <w:p>
            <w:pPr>
              <w:jc w:val="right"/>
              <w:spacing w:after="0" w:line="189" w:lineRule="exact"/>
              <w:rPr>
                <w:sz w:val="20"/>
                <w:szCs w:val="20"/>
                <w:color w:val="auto"/>
              </w:rPr>
            </w:pPr>
            <w:r>
              <w:rPr>
                <w:rFonts w:ascii="Arial" w:cs="Arial" w:eastAsia="Arial" w:hAnsi="Arial"/>
                <w:sz w:val="13"/>
                <w:szCs w:val="13"/>
                <w:color w:val="41516E"/>
              </w:rPr>
              <w:t>2/6/2023</w:t>
            </w:r>
            <w:r>
              <w:rPr>
                <w:rFonts w:ascii="Arial" w:cs="Arial" w:eastAsia="Arial" w:hAnsi="Arial"/>
                <w:sz w:val="21"/>
                <w:szCs w:val="21"/>
                <w:color w:val="41516E"/>
                <w:vertAlign w:val="superscript"/>
              </w:rPr>
              <w:t>(3)</w:t>
            </w:r>
          </w:p>
        </w:tc>
        <w:tc>
          <w:tcPr>
            <w:tcW w:w="60" w:type="dxa"/>
            <w:vAlign w:val="bottom"/>
            <w:tcBorders>
              <w:bottom w:val="single" w:sz="8" w:color="41516E"/>
            </w:tcBorders>
          </w:tcPr>
          <w:p>
            <w:pPr>
              <w:spacing w:after="0"/>
              <w:rPr>
                <w:sz w:val="16"/>
                <w:szCs w:val="16"/>
                <w:color w:val="auto"/>
              </w:rPr>
            </w:pPr>
          </w:p>
        </w:tc>
        <w:tc>
          <w:tcPr>
            <w:tcW w:w="100" w:type="dxa"/>
            <w:vAlign w:val="bottom"/>
            <w:tcBorders>
              <w:bottom w:val="single" w:sz="8" w:color="41516E"/>
            </w:tcBorders>
          </w:tcPr>
          <w:p>
            <w:pPr>
              <w:spacing w:after="0"/>
              <w:rPr>
                <w:sz w:val="16"/>
                <w:szCs w:val="16"/>
                <w:color w:val="auto"/>
              </w:rPr>
            </w:pPr>
          </w:p>
        </w:tc>
        <w:tc>
          <w:tcPr>
            <w:tcW w:w="680" w:type="dxa"/>
            <w:vAlign w:val="bottom"/>
            <w:tcBorders>
              <w:bottom w:val="single" w:sz="8" w:color="41516E"/>
            </w:tcBorders>
          </w:tcPr>
          <w:p>
            <w:pPr>
              <w:spacing w:after="0"/>
              <w:rPr>
                <w:sz w:val="16"/>
                <w:szCs w:val="16"/>
                <w:color w:val="auto"/>
              </w:rPr>
            </w:pPr>
          </w:p>
        </w:tc>
        <w:tc>
          <w:tcPr>
            <w:tcW w:w="340" w:type="dxa"/>
            <w:vAlign w:val="bottom"/>
            <w:tcBorders>
              <w:bottom w:val="single" w:sz="8" w:color="41516E"/>
            </w:tcBorders>
          </w:tcPr>
          <w:p>
            <w:pPr>
              <w:spacing w:after="0"/>
              <w:rPr>
                <w:sz w:val="16"/>
                <w:szCs w:val="16"/>
                <w:color w:val="auto"/>
              </w:rPr>
            </w:pPr>
          </w:p>
        </w:tc>
        <w:tc>
          <w:tcPr>
            <w:tcW w:w="840" w:type="dxa"/>
            <w:vAlign w:val="bottom"/>
            <w:tcBorders>
              <w:bottom w:val="single" w:sz="8" w:color="41516E"/>
            </w:tcBorders>
          </w:tcPr>
          <w:p>
            <w:pPr>
              <w:spacing w:after="0"/>
              <w:rPr>
                <w:sz w:val="16"/>
                <w:szCs w:val="16"/>
                <w:color w:val="auto"/>
              </w:rPr>
            </w:pPr>
          </w:p>
        </w:tc>
        <w:tc>
          <w:tcPr>
            <w:tcW w:w="860" w:type="dxa"/>
            <w:vAlign w:val="bottom"/>
            <w:tcBorders>
              <w:bottom w:val="single" w:sz="8" w:color="41516E"/>
            </w:tcBorders>
          </w:tcPr>
          <w:p>
            <w:pPr>
              <w:spacing w:after="0"/>
              <w:rPr>
                <w:sz w:val="16"/>
                <w:szCs w:val="16"/>
                <w:color w:val="auto"/>
              </w:rPr>
            </w:pPr>
          </w:p>
        </w:tc>
        <w:tc>
          <w:tcPr>
            <w:tcW w:w="900" w:type="dxa"/>
            <w:vAlign w:val="bottom"/>
            <w:tcBorders>
              <w:bottom w:val="single" w:sz="8" w:color="41516E"/>
            </w:tcBorders>
          </w:tcPr>
          <w:p>
            <w:pPr>
              <w:spacing w:after="0"/>
              <w:rPr>
                <w:sz w:val="16"/>
                <w:szCs w:val="16"/>
                <w:color w:val="auto"/>
              </w:rPr>
            </w:pPr>
          </w:p>
        </w:tc>
        <w:tc>
          <w:tcPr>
            <w:tcW w:w="108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color w:val="41516E"/>
              </w:rPr>
              <w:t>387</w:t>
            </w:r>
          </w:p>
        </w:tc>
        <w:tc>
          <w:tcPr>
            <w:tcW w:w="80" w:type="dxa"/>
            <w:vAlign w:val="bottom"/>
            <w:tcBorders>
              <w:bottom w:val="single" w:sz="8" w:color="41516E"/>
            </w:tcBorders>
          </w:tcPr>
          <w:p>
            <w:pPr>
              <w:spacing w:after="0"/>
              <w:rPr>
                <w:sz w:val="16"/>
                <w:szCs w:val="16"/>
                <w:color w:val="auto"/>
              </w:rPr>
            </w:pPr>
          </w:p>
        </w:tc>
        <w:tc>
          <w:tcPr>
            <w:tcW w:w="800" w:type="dxa"/>
            <w:vAlign w:val="bottom"/>
            <w:tcBorders>
              <w:bottom w:val="single" w:sz="8" w:color="41516E"/>
            </w:tcBorders>
          </w:tcPr>
          <w:p>
            <w:pPr>
              <w:spacing w:after="0"/>
              <w:rPr>
                <w:sz w:val="16"/>
                <w:szCs w:val="16"/>
                <w:color w:val="auto"/>
              </w:rPr>
            </w:pPr>
          </w:p>
        </w:tc>
        <w:tc>
          <w:tcPr>
            <w:tcW w:w="140" w:type="dxa"/>
            <w:vAlign w:val="bottom"/>
            <w:tcBorders>
              <w:bottom w:val="single" w:sz="8" w:color="41516E"/>
            </w:tcBorders>
          </w:tcPr>
          <w:p>
            <w:pPr>
              <w:spacing w:after="0"/>
              <w:rPr>
                <w:sz w:val="16"/>
                <w:szCs w:val="16"/>
                <w:color w:val="auto"/>
              </w:rPr>
            </w:pPr>
          </w:p>
        </w:tc>
        <w:tc>
          <w:tcPr>
            <w:tcW w:w="660" w:type="dxa"/>
            <w:vAlign w:val="bottom"/>
            <w:tcBorders>
              <w:bottom w:val="single" w:sz="8" w:color="41516E"/>
            </w:tcBorders>
          </w:tcPr>
          <w:p>
            <w:pPr>
              <w:spacing w:after="0"/>
              <w:rPr>
                <w:sz w:val="16"/>
                <w:szCs w:val="16"/>
                <w:color w:val="auto"/>
              </w:rPr>
            </w:pPr>
          </w:p>
        </w:tc>
        <w:tc>
          <w:tcPr>
            <w:tcW w:w="180" w:type="dxa"/>
            <w:vAlign w:val="bottom"/>
            <w:tcBorders>
              <w:bottom w:val="single" w:sz="8" w:color="41516E"/>
            </w:tcBorders>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tcBorders>
              <w:bottom w:val="single" w:sz="8" w:color="41516E"/>
            </w:tcBorders>
            <w:gridSpan w:val="2"/>
          </w:tcPr>
          <w:p>
            <w:pPr>
              <w:jc w:val="right"/>
              <w:ind w:right="19"/>
              <w:spacing w:after="0"/>
              <w:rPr>
                <w:sz w:val="20"/>
                <w:szCs w:val="20"/>
                <w:color w:val="auto"/>
              </w:rPr>
            </w:pPr>
            <w:r>
              <w:rPr>
                <w:rFonts w:ascii="Arial" w:cs="Arial" w:eastAsia="Arial" w:hAnsi="Arial"/>
                <w:sz w:val="14"/>
                <w:szCs w:val="14"/>
                <w:color w:val="41516E"/>
              </w:rPr>
              <w:t>125,311</w:t>
            </w:r>
          </w:p>
        </w:tc>
        <w:tc>
          <w:tcPr>
            <w:tcW w:w="0" w:type="dxa"/>
            <w:vAlign w:val="bottom"/>
          </w:tcPr>
          <w:p>
            <w:pPr>
              <w:spacing w:after="0"/>
              <w:rPr>
                <w:sz w:val="1"/>
                <w:szCs w:val="1"/>
                <w:color w:val="auto"/>
              </w:rPr>
            </w:pPr>
          </w:p>
        </w:tc>
      </w:tr>
      <w:tr>
        <w:trPr>
          <w:trHeight w:val="155"/>
        </w:trPr>
        <w:tc>
          <w:tcPr>
            <w:tcW w:w="1720" w:type="dxa"/>
            <w:vAlign w:val="bottom"/>
            <w:shd w:val="clear" w:color="auto" w:fill="EFF0F1"/>
          </w:tcPr>
          <w:p>
            <w:pPr>
              <w:ind w:left="60"/>
              <w:spacing w:after="0" w:line="155" w:lineRule="exact"/>
              <w:rPr>
                <w:sz w:val="20"/>
                <w:szCs w:val="20"/>
                <w:color w:val="auto"/>
              </w:rPr>
            </w:pPr>
            <w:r>
              <w:rPr>
                <w:rFonts w:ascii="Arial" w:cs="Arial" w:eastAsia="Arial" w:hAnsi="Arial"/>
                <w:sz w:val="14"/>
                <w:szCs w:val="14"/>
                <w:b w:val="1"/>
                <w:bCs w:val="1"/>
                <w:color w:val="41516E"/>
              </w:rPr>
              <w:t>Philip A. Hodges</w:t>
            </w:r>
          </w:p>
        </w:tc>
        <w:tc>
          <w:tcPr>
            <w:tcW w:w="1140" w:type="dxa"/>
            <w:vAlign w:val="bottom"/>
            <w:shd w:val="clear" w:color="auto" w:fill="EFF0F1"/>
          </w:tcPr>
          <w:p>
            <w:pPr>
              <w:spacing w:after="0"/>
              <w:rPr>
                <w:sz w:val="13"/>
                <w:szCs w:val="13"/>
                <w:color w:val="auto"/>
              </w:rPr>
            </w:pPr>
          </w:p>
        </w:tc>
        <w:tc>
          <w:tcPr>
            <w:tcW w:w="800" w:type="dxa"/>
            <w:vAlign w:val="bottom"/>
            <w:shd w:val="clear" w:color="auto" w:fill="EFF0F1"/>
          </w:tcPr>
          <w:p>
            <w:pPr>
              <w:spacing w:after="0"/>
              <w:rPr>
                <w:sz w:val="13"/>
                <w:szCs w:val="13"/>
                <w:color w:val="auto"/>
              </w:rPr>
            </w:pPr>
          </w:p>
        </w:tc>
        <w:tc>
          <w:tcPr>
            <w:tcW w:w="80" w:type="dxa"/>
            <w:vAlign w:val="bottom"/>
            <w:shd w:val="clear" w:color="auto" w:fill="EFF0F1"/>
          </w:tcPr>
          <w:p>
            <w:pPr>
              <w:spacing w:after="0"/>
              <w:rPr>
                <w:sz w:val="13"/>
                <w:szCs w:val="13"/>
                <w:color w:val="auto"/>
              </w:rPr>
            </w:pPr>
          </w:p>
        </w:tc>
        <w:tc>
          <w:tcPr>
            <w:tcW w:w="60" w:type="dxa"/>
            <w:vAlign w:val="bottom"/>
            <w:shd w:val="clear" w:color="auto" w:fill="EFF0F1"/>
          </w:tcPr>
          <w:p>
            <w:pPr>
              <w:spacing w:after="0"/>
              <w:rPr>
                <w:sz w:val="13"/>
                <w:szCs w:val="13"/>
                <w:color w:val="auto"/>
              </w:rPr>
            </w:pPr>
          </w:p>
        </w:tc>
        <w:tc>
          <w:tcPr>
            <w:tcW w:w="100" w:type="dxa"/>
            <w:vAlign w:val="bottom"/>
            <w:shd w:val="clear" w:color="auto" w:fill="EFF0F1"/>
          </w:tcPr>
          <w:p>
            <w:pPr>
              <w:spacing w:after="0"/>
              <w:rPr>
                <w:sz w:val="13"/>
                <w:szCs w:val="13"/>
                <w:color w:val="auto"/>
              </w:rPr>
            </w:pPr>
          </w:p>
        </w:tc>
        <w:tc>
          <w:tcPr>
            <w:tcW w:w="680" w:type="dxa"/>
            <w:vAlign w:val="bottom"/>
            <w:shd w:val="clear" w:color="auto" w:fill="EFF0F1"/>
          </w:tcPr>
          <w:p>
            <w:pPr>
              <w:spacing w:after="0"/>
              <w:rPr>
                <w:sz w:val="13"/>
                <w:szCs w:val="13"/>
                <w:color w:val="auto"/>
              </w:rPr>
            </w:pPr>
          </w:p>
        </w:tc>
        <w:tc>
          <w:tcPr>
            <w:tcW w:w="340" w:type="dxa"/>
            <w:vAlign w:val="bottom"/>
            <w:shd w:val="clear" w:color="auto" w:fill="EFF0F1"/>
          </w:tcPr>
          <w:p>
            <w:pPr>
              <w:spacing w:after="0"/>
              <w:rPr>
                <w:sz w:val="13"/>
                <w:szCs w:val="13"/>
                <w:color w:val="auto"/>
              </w:rPr>
            </w:pPr>
          </w:p>
        </w:tc>
        <w:tc>
          <w:tcPr>
            <w:tcW w:w="840" w:type="dxa"/>
            <w:vAlign w:val="bottom"/>
            <w:shd w:val="clear" w:color="auto" w:fill="EFF0F1"/>
          </w:tcPr>
          <w:p>
            <w:pPr>
              <w:spacing w:after="0"/>
              <w:rPr>
                <w:sz w:val="13"/>
                <w:szCs w:val="13"/>
                <w:color w:val="auto"/>
              </w:rPr>
            </w:pPr>
          </w:p>
        </w:tc>
        <w:tc>
          <w:tcPr>
            <w:tcW w:w="860" w:type="dxa"/>
            <w:vAlign w:val="bottom"/>
            <w:shd w:val="clear" w:color="auto" w:fill="EFF0F1"/>
          </w:tcPr>
          <w:p>
            <w:pPr>
              <w:spacing w:after="0"/>
              <w:rPr>
                <w:sz w:val="13"/>
                <w:szCs w:val="13"/>
                <w:color w:val="auto"/>
              </w:rPr>
            </w:pPr>
          </w:p>
        </w:tc>
        <w:tc>
          <w:tcPr>
            <w:tcW w:w="900" w:type="dxa"/>
            <w:vAlign w:val="bottom"/>
            <w:shd w:val="clear" w:color="auto" w:fill="EFF0F1"/>
          </w:tcPr>
          <w:p>
            <w:pPr>
              <w:spacing w:after="0"/>
              <w:rPr>
                <w:sz w:val="13"/>
                <w:szCs w:val="13"/>
                <w:color w:val="auto"/>
              </w:rPr>
            </w:pPr>
          </w:p>
        </w:tc>
        <w:tc>
          <w:tcPr>
            <w:tcW w:w="1080" w:type="dxa"/>
            <w:vAlign w:val="bottom"/>
            <w:shd w:val="clear" w:color="auto" w:fill="EFF0F1"/>
          </w:tcPr>
          <w:p>
            <w:pPr>
              <w:spacing w:after="0"/>
              <w:rPr>
                <w:sz w:val="13"/>
                <w:szCs w:val="13"/>
                <w:color w:val="auto"/>
              </w:rPr>
            </w:pPr>
          </w:p>
        </w:tc>
        <w:tc>
          <w:tcPr>
            <w:tcW w:w="80" w:type="dxa"/>
            <w:vAlign w:val="bottom"/>
            <w:shd w:val="clear" w:color="auto" w:fill="EFF0F1"/>
          </w:tcPr>
          <w:p>
            <w:pPr>
              <w:spacing w:after="0"/>
              <w:rPr>
                <w:sz w:val="13"/>
                <w:szCs w:val="13"/>
                <w:color w:val="auto"/>
              </w:rPr>
            </w:pPr>
          </w:p>
        </w:tc>
        <w:tc>
          <w:tcPr>
            <w:tcW w:w="800" w:type="dxa"/>
            <w:vAlign w:val="bottom"/>
            <w:shd w:val="clear" w:color="auto" w:fill="EFF0F1"/>
          </w:tcPr>
          <w:p>
            <w:pPr>
              <w:spacing w:after="0"/>
              <w:rPr>
                <w:sz w:val="13"/>
                <w:szCs w:val="13"/>
                <w:color w:val="auto"/>
              </w:rPr>
            </w:pPr>
          </w:p>
        </w:tc>
        <w:tc>
          <w:tcPr>
            <w:tcW w:w="140" w:type="dxa"/>
            <w:vAlign w:val="bottom"/>
            <w:shd w:val="clear" w:color="auto" w:fill="EFF0F1"/>
          </w:tcPr>
          <w:p>
            <w:pPr>
              <w:spacing w:after="0"/>
              <w:rPr>
                <w:sz w:val="13"/>
                <w:szCs w:val="13"/>
                <w:color w:val="auto"/>
              </w:rPr>
            </w:pPr>
          </w:p>
        </w:tc>
        <w:tc>
          <w:tcPr>
            <w:tcW w:w="660" w:type="dxa"/>
            <w:vAlign w:val="bottom"/>
            <w:shd w:val="clear" w:color="auto" w:fill="EFF0F1"/>
          </w:tcPr>
          <w:p>
            <w:pPr>
              <w:spacing w:after="0"/>
              <w:rPr>
                <w:sz w:val="13"/>
                <w:szCs w:val="13"/>
                <w:color w:val="auto"/>
              </w:rPr>
            </w:pPr>
          </w:p>
        </w:tc>
        <w:tc>
          <w:tcPr>
            <w:tcW w:w="180" w:type="dxa"/>
            <w:vAlign w:val="bottom"/>
            <w:shd w:val="clear" w:color="auto" w:fill="EFF0F1"/>
          </w:tcPr>
          <w:p>
            <w:pPr>
              <w:spacing w:after="0"/>
              <w:rPr>
                <w:sz w:val="13"/>
                <w:szCs w:val="13"/>
                <w:color w:val="auto"/>
              </w:rPr>
            </w:pPr>
          </w:p>
        </w:tc>
        <w:tc>
          <w:tcPr>
            <w:tcW w:w="360" w:type="dxa"/>
            <w:vAlign w:val="bottom"/>
            <w:shd w:val="clear" w:color="auto" w:fill="EFF0F1"/>
          </w:tcPr>
          <w:p>
            <w:pPr>
              <w:spacing w:after="0"/>
              <w:rPr>
                <w:sz w:val="13"/>
                <w:szCs w:val="13"/>
                <w:color w:val="auto"/>
              </w:rPr>
            </w:pPr>
          </w:p>
        </w:tc>
        <w:tc>
          <w:tcPr>
            <w:tcW w:w="420" w:type="dxa"/>
            <w:vAlign w:val="bottom"/>
            <w:shd w:val="clear" w:color="auto" w:fill="EFF0F1"/>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60"/>
              <w:spacing w:after="0"/>
              <w:rPr>
                <w:sz w:val="20"/>
                <w:szCs w:val="20"/>
                <w:color w:val="auto"/>
              </w:rPr>
            </w:pPr>
            <w:r>
              <w:rPr>
                <w:rFonts w:ascii="Arial" w:cs="Arial" w:eastAsia="Arial" w:hAnsi="Arial"/>
                <w:sz w:val="14"/>
                <w:szCs w:val="14"/>
                <w:color w:val="41516E"/>
              </w:rPr>
              <w:t>Annual Incentive</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41516E"/>
              </w:rPr>
              <w:t>$</w:t>
            </w:r>
          </w:p>
        </w:tc>
        <w:tc>
          <w:tcPr>
            <w:tcW w:w="680" w:type="dxa"/>
            <w:vAlign w:val="bottom"/>
          </w:tcPr>
          <w:p>
            <w:pPr>
              <w:jc w:val="right"/>
              <w:spacing w:after="0"/>
              <w:rPr>
                <w:sz w:val="20"/>
                <w:szCs w:val="20"/>
                <w:color w:val="auto"/>
              </w:rPr>
            </w:pPr>
            <w:r>
              <w:rPr>
                <w:rFonts w:ascii="Arial" w:cs="Arial" w:eastAsia="Arial" w:hAnsi="Arial"/>
                <w:sz w:val="14"/>
                <w:szCs w:val="14"/>
                <w:color w:val="41516E"/>
              </w:rPr>
              <w:t>369,000</w:t>
            </w:r>
          </w:p>
        </w:tc>
        <w:tc>
          <w:tcPr>
            <w:tcW w:w="34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41516E"/>
              </w:rPr>
              <w:t>922,500</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Performance Option</w:t>
            </w:r>
          </w:p>
        </w:tc>
        <w:tc>
          <w:tcPr>
            <w:tcW w:w="114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5/24/2023</w:t>
            </w:r>
          </w:p>
        </w:tc>
        <w:tc>
          <w:tcPr>
            <w:tcW w:w="880" w:type="dxa"/>
            <w:vAlign w:val="bottom"/>
            <w:gridSpan w:val="2"/>
            <w:shd w:val="clear" w:color="auto" w:fill="EFF0F1"/>
          </w:tcPr>
          <w:p>
            <w:pPr>
              <w:jc w:val="right"/>
              <w:spacing w:after="0" w:line="189" w:lineRule="exact"/>
              <w:rPr>
                <w:sz w:val="20"/>
                <w:szCs w:val="20"/>
                <w:color w:val="auto"/>
              </w:rPr>
            </w:pPr>
            <w:r>
              <w:rPr>
                <w:rFonts w:ascii="Arial" w:cs="Arial" w:eastAsia="Arial" w:hAnsi="Arial"/>
                <w:sz w:val="13"/>
                <w:szCs w:val="13"/>
                <w:color w:val="41516E"/>
              </w:rPr>
              <w:t>5/18/2023</w:t>
            </w:r>
            <w:r>
              <w:rPr>
                <w:rFonts w:ascii="Arial" w:cs="Arial" w:eastAsia="Arial" w:hAnsi="Arial"/>
                <w:sz w:val="21"/>
                <w:szCs w:val="21"/>
                <w:color w:val="41516E"/>
                <w:vertAlign w:val="superscript"/>
              </w:rPr>
              <w:t>(7)</w:t>
            </w:r>
          </w:p>
        </w:tc>
        <w:tc>
          <w:tcPr>
            <w:tcW w:w="60" w:type="dxa"/>
            <w:vAlign w:val="bottom"/>
            <w:shd w:val="clear" w:color="auto" w:fill="EFF0F1"/>
          </w:tcPr>
          <w:p>
            <w:pPr>
              <w:spacing w:after="0"/>
              <w:rPr>
                <w:sz w:val="16"/>
                <w:szCs w:val="16"/>
                <w:color w:val="auto"/>
              </w:rPr>
            </w:pPr>
          </w:p>
        </w:tc>
        <w:tc>
          <w:tcPr>
            <w:tcW w:w="100" w:type="dxa"/>
            <w:vAlign w:val="bottom"/>
            <w:shd w:val="clear" w:color="auto" w:fill="EFF0F1"/>
          </w:tcPr>
          <w:p>
            <w:pPr>
              <w:spacing w:after="0"/>
              <w:rPr>
                <w:sz w:val="16"/>
                <w:szCs w:val="16"/>
                <w:color w:val="auto"/>
              </w:rPr>
            </w:pPr>
          </w:p>
        </w:tc>
        <w:tc>
          <w:tcPr>
            <w:tcW w:w="680" w:type="dxa"/>
            <w:vAlign w:val="bottom"/>
            <w:shd w:val="clear" w:color="auto" w:fill="EFF0F1"/>
          </w:tcPr>
          <w:p>
            <w:pPr>
              <w:spacing w:after="0"/>
              <w:rPr>
                <w:sz w:val="16"/>
                <w:szCs w:val="16"/>
                <w:color w:val="auto"/>
              </w:rPr>
            </w:pPr>
          </w:p>
        </w:tc>
        <w:tc>
          <w:tcPr>
            <w:tcW w:w="340" w:type="dxa"/>
            <w:vAlign w:val="bottom"/>
            <w:shd w:val="clear" w:color="auto" w:fill="EFF0F1"/>
          </w:tcPr>
          <w:p>
            <w:pPr>
              <w:spacing w:after="0"/>
              <w:rPr>
                <w:sz w:val="16"/>
                <w:szCs w:val="16"/>
                <w:color w:val="auto"/>
              </w:rPr>
            </w:pPr>
          </w:p>
        </w:tc>
        <w:tc>
          <w:tcPr>
            <w:tcW w:w="840" w:type="dxa"/>
            <w:vAlign w:val="bottom"/>
            <w:shd w:val="clear" w:color="auto" w:fill="EFF0F1"/>
          </w:tcPr>
          <w:p>
            <w:pPr>
              <w:spacing w:after="0"/>
              <w:rPr>
                <w:sz w:val="16"/>
                <w:szCs w:val="16"/>
                <w:color w:val="auto"/>
              </w:rPr>
            </w:pPr>
          </w:p>
        </w:tc>
        <w:tc>
          <w:tcPr>
            <w:tcW w:w="860" w:type="dxa"/>
            <w:vAlign w:val="bottom"/>
            <w:shd w:val="clear" w:color="auto" w:fill="EFF0F1"/>
          </w:tcPr>
          <w:p>
            <w:pPr>
              <w:jc w:val="right"/>
              <w:ind w:right="12"/>
              <w:spacing w:after="0" w:line="189" w:lineRule="exact"/>
              <w:rPr>
                <w:sz w:val="20"/>
                <w:szCs w:val="20"/>
                <w:color w:val="auto"/>
              </w:rPr>
            </w:pPr>
            <w:r>
              <w:rPr>
                <w:rFonts w:ascii="Arial" w:cs="Arial" w:eastAsia="Arial" w:hAnsi="Arial"/>
                <w:sz w:val="13"/>
                <w:szCs w:val="13"/>
                <w:color w:val="41516E"/>
              </w:rPr>
              <w:t>6,348</w:t>
            </w:r>
            <w:r>
              <w:rPr>
                <w:rFonts w:ascii="Arial" w:cs="Arial" w:eastAsia="Arial" w:hAnsi="Arial"/>
                <w:sz w:val="21"/>
                <w:szCs w:val="21"/>
                <w:color w:val="41516E"/>
                <w:vertAlign w:val="superscript"/>
              </w:rPr>
              <w:t>(8)</w:t>
            </w:r>
          </w:p>
        </w:tc>
        <w:tc>
          <w:tcPr>
            <w:tcW w:w="900" w:type="dxa"/>
            <w:vAlign w:val="bottom"/>
            <w:shd w:val="clear" w:color="auto" w:fill="EFF0F1"/>
          </w:tcPr>
          <w:p>
            <w:pPr>
              <w:jc w:val="right"/>
              <w:spacing w:after="0" w:line="189" w:lineRule="exact"/>
              <w:rPr>
                <w:sz w:val="20"/>
                <w:szCs w:val="20"/>
                <w:color w:val="auto"/>
              </w:rPr>
            </w:pPr>
            <w:r>
              <w:rPr>
                <w:rFonts w:ascii="Arial" w:cs="Arial" w:eastAsia="Arial" w:hAnsi="Arial"/>
                <w:sz w:val="13"/>
                <w:szCs w:val="13"/>
                <w:color w:val="41516E"/>
              </w:rPr>
              <w:t>6,348</w:t>
            </w:r>
            <w:r>
              <w:rPr>
                <w:rFonts w:ascii="Arial" w:cs="Arial" w:eastAsia="Arial" w:hAnsi="Arial"/>
                <w:sz w:val="21"/>
                <w:szCs w:val="21"/>
                <w:color w:val="41516E"/>
                <w:vertAlign w:val="superscript"/>
              </w:rPr>
              <w:t>(8)</w:t>
            </w:r>
          </w:p>
        </w:tc>
        <w:tc>
          <w:tcPr>
            <w:tcW w:w="1080" w:type="dxa"/>
            <w:vAlign w:val="bottom"/>
            <w:shd w:val="clear" w:color="auto" w:fill="EFF0F1"/>
          </w:tcPr>
          <w:p>
            <w:pPr>
              <w:spacing w:after="0"/>
              <w:rPr>
                <w:sz w:val="16"/>
                <w:szCs w:val="16"/>
                <w:color w:val="auto"/>
              </w:rPr>
            </w:pPr>
          </w:p>
        </w:tc>
        <w:tc>
          <w:tcPr>
            <w:tcW w:w="80" w:type="dxa"/>
            <w:vAlign w:val="bottom"/>
            <w:shd w:val="clear" w:color="auto" w:fill="EFF0F1"/>
          </w:tcPr>
          <w:p>
            <w:pPr>
              <w:spacing w:after="0"/>
              <w:rPr>
                <w:sz w:val="20"/>
                <w:szCs w:val="20"/>
                <w:color w:val="auto"/>
              </w:rPr>
            </w:pPr>
            <w:r>
              <w:rPr>
                <w:rFonts w:ascii="Arial" w:cs="Arial" w:eastAsia="Arial" w:hAnsi="Arial"/>
                <w:sz w:val="14"/>
                <w:szCs w:val="14"/>
                <w:color w:val="41516E"/>
                <w:w w:val="76"/>
              </w:rPr>
              <w:t>$</w:t>
            </w:r>
          </w:p>
        </w:tc>
        <w:tc>
          <w:tcPr>
            <w:tcW w:w="800" w:type="dxa"/>
            <w:vAlign w:val="bottom"/>
            <w:shd w:val="clear" w:color="auto" w:fill="EFF0F1"/>
          </w:tcPr>
          <w:p>
            <w:pPr>
              <w:ind w:left="140"/>
              <w:spacing w:after="0" w:line="189" w:lineRule="exact"/>
              <w:rPr>
                <w:sz w:val="20"/>
                <w:szCs w:val="20"/>
                <w:color w:val="auto"/>
              </w:rPr>
            </w:pPr>
            <w:r>
              <w:rPr>
                <w:rFonts w:ascii="Arial" w:cs="Arial" w:eastAsia="Arial" w:hAnsi="Arial"/>
                <w:sz w:val="13"/>
                <w:szCs w:val="13"/>
                <w:color w:val="41516E"/>
              </w:rPr>
              <w:t>330.68</w:t>
            </w:r>
            <w:r>
              <w:rPr>
                <w:rFonts w:ascii="Arial" w:cs="Arial" w:eastAsia="Arial" w:hAnsi="Arial"/>
                <w:sz w:val="21"/>
                <w:szCs w:val="21"/>
                <w:color w:val="41516E"/>
                <w:vertAlign w:val="superscript"/>
              </w:rPr>
              <w:t>(6)</w:t>
            </w:r>
          </w:p>
        </w:tc>
        <w:tc>
          <w:tcPr>
            <w:tcW w:w="1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66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330.68</w:t>
            </w:r>
          </w:p>
        </w:tc>
        <w:tc>
          <w:tcPr>
            <w:tcW w:w="180" w:type="dxa"/>
            <w:vAlign w:val="bottom"/>
            <w:shd w:val="clear" w:color="auto" w:fill="EFF0F1"/>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gridSpan w:val="2"/>
            <w:shd w:val="clear" w:color="auto" w:fill="EFF0F1"/>
          </w:tcPr>
          <w:p>
            <w:pPr>
              <w:jc w:val="right"/>
              <w:ind w:right="19"/>
              <w:spacing w:after="0"/>
              <w:rPr>
                <w:sz w:val="20"/>
                <w:szCs w:val="20"/>
                <w:color w:val="auto"/>
              </w:rPr>
            </w:pPr>
            <w:r>
              <w:rPr>
                <w:rFonts w:ascii="Arial" w:cs="Arial" w:eastAsia="Arial" w:hAnsi="Arial"/>
                <w:sz w:val="14"/>
                <w:szCs w:val="14"/>
                <w:color w:val="41516E"/>
              </w:rPr>
              <w:t>1,000,003</w:t>
            </w:r>
          </w:p>
        </w:tc>
        <w:tc>
          <w:tcPr>
            <w:tcW w:w="0" w:type="dxa"/>
            <w:vAlign w:val="bottom"/>
          </w:tcPr>
          <w:p>
            <w:pPr>
              <w:spacing w:after="0"/>
              <w:rPr>
                <w:sz w:val="1"/>
                <w:szCs w:val="1"/>
                <w:color w:val="auto"/>
              </w:rPr>
            </w:pPr>
          </w:p>
        </w:tc>
      </w:tr>
      <w:tr>
        <w:trPr>
          <w:trHeight w:val="189"/>
        </w:trPr>
        <w:tc>
          <w:tcPr>
            <w:tcW w:w="1720" w:type="dxa"/>
            <w:vAlign w:val="bottom"/>
          </w:tcPr>
          <w:p>
            <w:pPr>
              <w:ind w:left="60"/>
              <w:spacing w:after="0"/>
              <w:rPr>
                <w:sz w:val="20"/>
                <w:szCs w:val="20"/>
                <w:color w:val="auto"/>
              </w:rPr>
            </w:pPr>
            <w:r>
              <w:rPr>
                <w:rFonts w:ascii="Arial" w:cs="Arial" w:eastAsia="Arial" w:hAnsi="Arial"/>
                <w:sz w:val="14"/>
                <w:szCs w:val="14"/>
                <w:color w:val="41516E"/>
              </w:rPr>
              <w:t>Service Option</w:t>
            </w:r>
          </w:p>
        </w:tc>
        <w:tc>
          <w:tcPr>
            <w:tcW w:w="1140" w:type="dxa"/>
            <w:vAlign w:val="bottom"/>
          </w:tcPr>
          <w:p>
            <w:pPr>
              <w:jc w:val="right"/>
              <w:ind w:right="28"/>
              <w:spacing w:after="0"/>
              <w:rPr>
                <w:sz w:val="20"/>
                <w:szCs w:val="20"/>
                <w:color w:val="auto"/>
              </w:rPr>
            </w:pPr>
            <w:r>
              <w:rPr>
                <w:rFonts w:ascii="Arial" w:cs="Arial" w:eastAsia="Arial" w:hAnsi="Arial"/>
                <w:sz w:val="14"/>
                <w:szCs w:val="14"/>
                <w:color w:val="41516E"/>
              </w:rPr>
              <w:t>5/24/2023</w:t>
            </w:r>
          </w:p>
        </w:tc>
        <w:tc>
          <w:tcPr>
            <w:tcW w:w="880" w:type="dxa"/>
            <w:vAlign w:val="bottom"/>
            <w:gridSpan w:val="2"/>
          </w:tcPr>
          <w:p>
            <w:pPr>
              <w:jc w:val="right"/>
              <w:spacing w:after="0" w:line="189" w:lineRule="exact"/>
              <w:rPr>
                <w:sz w:val="20"/>
                <w:szCs w:val="20"/>
                <w:color w:val="auto"/>
              </w:rPr>
            </w:pPr>
            <w:r>
              <w:rPr>
                <w:rFonts w:ascii="Arial" w:cs="Arial" w:eastAsia="Arial" w:hAnsi="Arial"/>
                <w:sz w:val="13"/>
                <w:szCs w:val="13"/>
                <w:color w:val="41516E"/>
              </w:rPr>
              <w:t>5/18/2023</w:t>
            </w:r>
            <w:r>
              <w:rPr>
                <w:rFonts w:ascii="Arial" w:cs="Arial" w:eastAsia="Arial" w:hAnsi="Arial"/>
                <w:sz w:val="21"/>
                <w:szCs w:val="21"/>
                <w:color w:val="41516E"/>
                <w:vertAlign w:val="superscript"/>
              </w:rPr>
              <w:t>(7)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color w:val="41516E"/>
              </w:rPr>
              <w:t>13,276</w:t>
            </w:r>
          </w:p>
        </w:tc>
        <w:tc>
          <w:tcPr>
            <w:tcW w:w="900" w:type="dxa"/>
            <w:vAlign w:val="bottom"/>
          </w:tcPr>
          <w:p>
            <w:pPr>
              <w:jc w:val="right"/>
              <w:ind w:right="111"/>
              <w:spacing w:after="0"/>
              <w:rPr>
                <w:sz w:val="20"/>
                <w:szCs w:val="20"/>
                <w:color w:val="auto"/>
              </w:rPr>
            </w:pPr>
            <w:r>
              <w:rPr>
                <w:rFonts w:ascii="Arial" w:cs="Arial" w:eastAsia="Arial" w:hAnsi="Arial"/>
                <w:sz w:val="14"/>
                <w:szCs w:val="14"/>
                <w:color w:val="41516E"/>
              </w:rPr>
              <w:t>13,276</w:t>
            </w:r>
          </w:p>
        </w:tc>
        <w:tc>
          <w:tcPr>
            <w:tcW w:w="10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41516E"/>
                <w:w w:val="76"/>
              </w:rPr>
              <w:t>$</w:t>
            </w:r>
          </w:p>
        </w:tc>
        <w:tc>
          <w:tcPr>
            <w:tcW w:w="800" w:type="dxa"/>
            <w:vAlign w:val="bottom"/>
          </w:tcPr>
          <w:p>
            <w:pPr>
              <w:ind w:left="140"/>
              <w:spacing w:after="0"/>
              <w:rPr>
                <w:sz w:val="20"/>
                <w:szCs w:val="20"/>
                <w:color w:val="auto"/>
              </w:rPr>
            </w:pPr>
            <w:r>
              <w:rPr>
                <w:rFonts w:ascii="Arial" w:cs="Arial" w:eastAsia="Arial" w:hAnsi="Arial"/>
                <w:sz w:val="14"/>
                <w:szCs w:val="14"/>
                <w:color w:val="41516E"/>
              </w:rPr>
              <w:t>330.68</w:t>
            </w:r>
          </w:p>
        </w:tc>
        <w:tc>
          <w:tcPr>
            <w:tcW w:w="140" w:type="dxa"/>
            <w:vAlign w:val="bottom"/>
          </w:tcPr>
          <w:p>
            <w:pPr>
              <w:jc w:val="right"/>
              <w:spacing w:after="0"/>
              <w:rPr>
                <w:sz w:val="20"/>
                <w:szCs w:val="20"/>
                <w:color w:val="auto"/>
              </w:rPr>
            </w:pPr>
            <w:r>
              <w:rPr>
                <w:rFonts w:ascii="Arial" w:cs="Arial" w:eastAsia="Arial" w:hAnsi="Arial"/>
                <w:sz w:val="14"/>
                <w:szCs w:val="14"/>
                <w:color w:val="41516E"/>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41516E"/>
              </w:rPr>
              <w:t>330.68</w:t>
            </w:r>
          </w:p>
        </w:tc>
        <w:tc>
          <w:tcPr>
            <w:tcW w:w="180" w:type="dxa"/>
            <w:vAlign w:val="bottom"/>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gridSpan w:val="2"/>
          </w:tcPr>
          <w:p>
            <w:pPr>
              <w:jc w:val="right"/>
              <w:ind w:right="19"/>
              <w:spacing w:after="0"/>
              <w:rPr>
                <w:sz w:val="20"/>
                <w:szCs w:val="20"/>
                <w:color w:val="auto"/>
              </w:rPr>
            </w:pPr>
            <w:r>
              <w:rPr>
                <w:rFonts w:ascii="Arial" w:cs="Arial" w:eastAsia="Arial" w:hAnsi="Arial"/>
                <w:sz w:val="14"/>
                <w:szCs w:val="14"/>
                <w:color w:val="41516E"/>
              </w:rPr>
              <w:t>2,000,114</w:t>
            </w:r>
          </w:p>
        </w:tc>
        <w:tc>
          <w:tcPr>
            <w:tcW w:w="0" w:type="dxa"/>
            <w:vAlign w:val="bottom"/>
          </w:tcPr>
          <w:p>
            <w:pPr>
              <w:spacing w:after="0"/>
              <w:rPr>
                <w:sz w:val="1"/>
                <w:szCs w:val="1"/>
                <w:color w:val="auto"/>
              </w:rPr>
            </w:pPr>
          </w:p>
        </w:tc>
      </w:tr>
      <w:tr>
        <w:trPr>
          <w:trHeight w:val="189"/>
        </w:trPr>
        <w:tc>
          <w:tcPr>
            <w:tcW w:w="172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RSU</w:t>
            </w:r>
          </w:p>
        </w:tc>
        <w:tc>
          <w:tcPr>
            <w:tcW w:w="114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5/24/2023</w:t>
            </w:r>
          </w:p>
        </w:tc>
        <w:tc>
          <w:tcPr>
            <w:tcW w:w="880" w:type="dxa"/>
            <w:vAlign w:val="bottom"/>
            <w:gridSpan w:val="2"/>
            <w:shd w:val="clear" w:color="auto" w:fill="EFF0F1"/>
          </w:tcPr>
          <w:p>
            <w:pPr>
              <w:jc w:val="right"/>
              <w:spacing w:after="0" w:line="189" w:lineRule="exact"/>
              <w:rPr>
                <w:sz w:val="20"/>
                <w:szCs w:val="20"/>
                <w:color w:val="auto"/>
              </w:rPr>
            </w:pPr>
            <w:r>
              <w:rPr>
                <w:rFonts w:ascii="Arial" w:cs="Arial" w:eastAsia="Arial" w:hAnsi="Arial"/>
                <w:sz w:val="13"/>
                <w:szCs w:val="13"/>
                <w:color w:val="41516E"/>
              </w:rPr>
              <w:t>5/18/2023</w:t>
            </w:r>
            <w:r>
              <w:rPr>
                <w:rFonts w:ascii="Arial" w:cs="Arial" w:eastAsia="Arial" w:hAnsi="Arial"/>
                <w:sz w:val="21"/>
                <w:szCs w:val="21"/>
                <w:color w:val="41516E"/>
                <w:vertAlign w:val="superscript"/>
              </w:rPr>
              <w:t>(7)</w:t>
            </w:r>
          </w:p>
        </w:tc>
        <w:tc>
          <w:tcPr>
            <w:tcW w:w="60" w:type="dxa"/>
            <w:vAlign w:val="bottom"/>
            <w:shd w:val="clear" w:color="auto" w:fill="EFF0F1"/>
          </w:tcPr>
          <w:p>
            <w:pPr>
              <w:spacing w:after="0"/>
              <w:rPr>
                <w:sz w:val="16"/>
                <w:szCs w:val="16"/>
                <w:color w:val="auto"/>
              </w:rPr>
            </w:pPr>
          </w:p>
        </w:tc>
        <w:tc>
          <w:tcPr>
            <w:tcW w:w="100" w:type="dxa"/>
            <w:vAlign w:val="bottom"/>
            <w:shd w:val="clear" w:color="auto" w:fill="EFF0F1"/>
          </w:tcPr>
          <w:p>
            <w:pPr>
              <w:spacing w:after="0"/>
              <w:rPr>
                <w:sz w:val="16"/>
                <w:szCs w:val="16"/>
                <w:color w:val="auto"/>
              </w:rPr>
            </w:pPr>
          </w:p>
        </w:tc>
        <w:tc>
          <w:tcPr>
            <w:tcW w:w="680" w:type="dxa"/>
            <w:vAlign w:val="bottom"/>
            <w:shd w:val="clear" w:color="auto" w:fill="EFF0F1"/>
          </w:tcPr>
          <w:p>
            <w:pPr>
              <w:spacing w:after="0"/>
              <w:rPr>
                <w:sz w:val="16"/>
                <w:szCs w:val="16"/>
                <w:color w:val="auto"/>
              </w:rPr>
            </w:pPr>
          </w:p>
        </w:tc>
        <w:tc>
          <w:tcPr>
            <w:tcW w:w="340" w:type="dxa"/>
            <w:vAlign w:val="bottom"/>
            <w:shd w:val="clear" w:color="auto" w:fill="EFF0F1"/>
          </w:tcPr>
          <w:p>
            <w:pPr>
              <w:spacing w:after="0"/>
              <w:rPr>
                <w:sz w:val="16"/>
                <w:szCs w:val="16"/>
                <w:color w:val="auto"/>
              </w:rPr>
            </w:pPr>
          </w:p>
        </w:tc>
        <w:tc>
          <w:tcPr>
            <w:tcW w:w="840" w:type="dxa"/>
            <w:vAlign w:val="bottom"/>
            <w:shd w:val="clear" w:color="auto" w:fill="EFF0F1"/>
          </w:tcPr>
          <w:p>
            <w:pPr>
              <w:spacing w:after="0"/>
              <w:rPr>
                <w:sz w:val="16"/>
                <w:szCs w:val="16"/>
                <w:color w:val="auto"/>
              </w:rPr>
            </w:pPr>
          </w:p>
        </w:tc>
        <w:tc>
          <w:tcPr>
            <w:tcW w:w="860" w:type="dxa"/>
            <w:vAlign w:val="bottom"/>
            <w:shd w:val="clear" w:color="auto" w:fill="EFF0F1"/>
          </w:tcPr>
          <w:p>
            <w:pPr>
              <w:spacing w:after="0"/>
              <w:rPr>
                <w:sz w:val="16"/>
                <w:szCs w:val="16"/>
                <w:color w:val="auto"/>
              </w:rPr>
            </w:pPr>
          </w:p>
        </w:tc>
        <w:tc>
          <w:tcPr>
            <w:tcW w:w="900" w:type="dxa"/>
            <w:vAlign w:val="bottom"/>
            <w:shd w:val="clear" w:color="auto" w:fill="EFF0F1"/>
          </w:tcPr>
          <w:p>
            <w:pPr>
              <w:spacing w:after="0"/>
              <w:rPr>
                <w:sz w:val="16"/>
                <w:szCs w:val="16"/>
                <w:color w:val="auto"/>
              </w:rPr>
            </w:pPr>
          </w:p>
        </w:tc>
        <w:tc>
          <w:tcPr>
            <w:tcW w:w="1080" w:type="dxa"/>
            <w:vAlign w:val="bottom"/>
            <w:shd w:val="clear" w:color="auto" w:fill="EFF0F1"/>
          </w:tcPr>
          <w:p>
            <w:pPr>
              <w:jc w:val="right"/>
              <w:ind w:right="68"/>
              <w:spacing w:after="0" w:line="189" w:lineRule="exact"/>
              <w:rPr>
                <w:sz w:val="20"/>
                <w:szCs w:val="20"/>
                <w:color w:val="auto"/>
              </w:rPr>
            </w:pPr>
            <w:r>
              <w:rPr>
                <w:rFonts w:ascii="Arial" w:cs="Arial" w:eastAsia="Arial" w:hAnsi="Arial"/>
                <w:sz w:val="13"/>
                <w:szCs w:val="13"/>
                <w:color w:val="41516E"/>
              </w:rPr>
              <w:t>9,073</w:t>
            </w:r>
            <w:r>
              <w:rPr>
                <w:rFonts w:ascii="Arial" w:cs="Arial" w:eastAsia="Arial" w:hAnsi="Arial"/>
                <w:sz w:val="21"/>
                <w:szCs w:val="21"/>
                <w:color w:val="41516E"/>
                <w:vertAlign w:val="superscript"/>
              </w:rPr>
              <w:t>(8)</w:t>
            </w:r>
          </w:p>
        </w:tc>
        <w:tc>
          <w:tcPr>
            <w:tcW w:w="80" w:type="dxa"/>
            <w:vAlign w:val="bottom"/>
            <w:shd w:val="clear" w:color="auto" w:fill="EFF0F1"/>
          </w:tcPr>
          <w:p>
            <w:pPr>
              <w:spacing w:after="0"/>
              <w:rPr>
                <w:sz w:val="16"/>
                <w:szCs w:val="16"/>
                <w:color w:val="auto"/>
              </w:rPr>
            </w:pPr>
          </w:p>
        </w:tc>
        <w:tc>
          <w:tcPr>
            <w:tcW w:w="800" w:type="dxa"/>
            <w:vAlign w:val="bottom"/>
            <w:shd w:val="clear" w:color="auto" w:fill="EFF0F1"/>
          </w:tcPr>
          <w:p>
            <w:pPr>
              <w:spacing w:after="0"/>
              <w:rPr>
                <w:sz w:val="16"/>
                <w:szCs w:val="16"/>
                <w:color w:val="auto"/>
              </w:rPr>
            </w:pPr>
          </w:p>
        </w:tc>
        <w:tc>
          <w:tcPr>
            <w:tcW w:w="140" w:type="dxa"/>
            <w:vAlign w:val="bottom"/>
            <w:shd w:val="clear" w:color="auto" w:fill="EFF0F1"/>
          </w:tcPr>
          <w:p>
            <w:pPr>
              <w:spacing w:after="0"/>
              <w:rPr>
                <w:sz w:val="16"/>
                <w:szCs w:val="16"/>
                <w:color w:val="auto"/>
              </w:rPr>
            </w:pPr>
          </w:p>
        </w:tc>
        <w:tc>
          <w:tcPr>
            <w:tcW w:w="660" w:type="dxa"/>
            <w:vAlign w:val="bottom"/>
            <w:shd w:val="clear" w:color="auto" w:fill="EFF0F1"/>
          </w:tcPr>
          <w:p>
            <w:pPr>
              <w:spacing w:after="0"/>
              <w:rPr>
                <w:sz w:val="16"/>
                <w:szCs w:val="16"/>
                <w:color w:val="auto"/>
              </w:rPr>
            </w:pPr>
          </w:p>
        </w:tc>
        <w:tc>
          <w:tcPr>
            <w:tcW w:w="180" w:type="dxa"/>
            <w:vAlign w:val="bottom"/>
            <w:shd w:val="clear" w:color="auto" w:fill="EFF0F1"/>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gridSpan w:val="2"/>
            <w:shd w:val="clear" w:color="auto" w:fill="EFF0F1"/>
          </w:tcPr>
          <w:p>
            <w:pPr>
              <w:jc w:val="right"/>
              <w:ind w:right="19"/>
              <w:spacing w:after="0"/>
              <w:rPr>
                <w:sz w:val="20"/>
                <w:szCs w:val="20"/>
                <w:color w:val="auto"/>
              </w:rPr>
            </w:pPr>
            <w:r>
              <w:rPr>
                <w:rFonts w:ascii="Arial" w:cs="Arial" w:eastAsia="Arial" w:hAnsi="Arial"/>
                <w:sz w:val="14"/>
                <w:szCs w:val="14"/>
                <w:color w:val="41516E"/>
              </w:rPr>
              <w:t>3,000,260</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41516E"/>
            </w:tcBorders>
          </w:tcPr>
          <w:p>
            <w:pPr>
              <w:ind w:left="60"/>
              <w:spacing w:after="0"/>
              <w:rPr>
                <w:sz w:val="20"/>
                <w:szCs w:val="20"/>
                <w:color w:val="auto"/>
              </w:rPr>
            </w:pPr>
            <w:r>
              <w:rPr>
                <w:rFonts w:ascii="Arial" w:cs="Arial" w:eastAsia="Arial" w:hAnsi="Arial"/>
                <w:sz w:val="14"/>
                <w:szCs w:val="14"/>
                <w:color w:val="41516E"/>
              </w:rPr>
              <w:t>RSU</w:t>
            </w:r>
          </w:p>
        </w:tc>
        <w:tc>
          <w:tcPr>
            <w:tcW w:w="114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color w:val="41516E"/>
              </w:rPr>
              <w:t>5/24/2023</w:t>
            </w:r>
          </w:p>
        </w:tc>
        <w:tc>
          <w:tcPr>
            <w:tcW w:w="880" w:type="dxa"/>
            <w:vAlign w:val="bottom"/>
            <w:tcBorders>
              <w:bottom w:val="single" w:sz="8" w:color="41516E"/>
            </w:tcBorders>
            <w:gridSpan w:val="2"/>
          </w:tcPr>
          <w:p>
            <w:pPr>
              <w:jc w:val="right"/>
              <w:spacing w:after="0" w:line="189" w:lineRule="exact"/>
              <w:rPr>
                <w:sz w:val="20"/>
                <w:szCs w:val="20"/>
                <w:color w:val="auto"/>
              </w:rPr>
            </w:pPr>
            <w:r>
              <w:rPr>
                <w:rFonts w:ascii="Arial" w:cs="Arial" w:eastAsia="Arial" w:hAnsi="Arial"/>
                <w:sz w:val="13"/>
                <w:szCs w:val="13"/>
                <w:color w:val="41516E"/>
              </w:rPr>
              <w:t>5/18/2023</w:t>
            </w:r>
            <w:r>
              <w:rPr>
                <w:rFonts w:ascii="Arial" w:cs="Arial" w:eastAsia="Arial" w:hAnsi="Arial"/>
                <w:sz w:val="21"/>
                <w:szCs w:val="21"/>
                <w:color w:val="41516E"/>
                <w:vertAlign w:val="superscript"/>
              </w:rPr>
              <w:t>(7)</w:t>
            </w:r>
          </w:p>
        </w:tc>
        <w:tc>
          <w:tcPr>
            <w:tcW w:w="60" w:type="dxa"/>
            <w:vAlign w:val="bottom"/>
            <w:tcBorders>
              <w:bottom w:val="single" w:sz="8" w:color="41516E"/>
            </w:tcBorders>
          </w:tcPr>
          <w:p>
            <w:pPr>
              <w:spacing w:after="0"/>
              <w:rPr>
                <w:sz w:val="16"/>
                <w:szCs w:val="16"/>
                <w:color w:val="auto"/>
              </w:rPr>
            </w:pPr>
          </w:p>
        </w:tc>
        <w:tc>
          <w:tcPr>
            <w:tcW w:w="100" w:type="dxa"/>
            <w:vAlign w:val="bottom"/>
            <w:tcBorders>
              <w:bottom w:val="single" w:sz="8" w:color="41516E"/>
            </w:tcBorders>
          </w:tcPr>
          <w:p>
            <w:pPr>
              <w:spacing w:after="0"/>
              <w:rPr>
                <w:sz w:val="16"/>
                <w:szCs w:val="16"/>
                <w:color w:val="auto"/>
              </w:rPr>
            </w:pPr>
          </w:p>
        </w:tc>
        <w:tc>
          <w:tcPr>
            <w:tcW w:w="680" w:type="dxa"/>
            <w:vAlign w:val="bottom"/>
            <w:tcBorders>
              <w:bottom w:val="single" w:sz="8" w:color="41516E"/>
            </w:tcBorders>
          </w:tcPr>
          <w:p>
            <w:pPr>
              <w:spacing w:after="0"/>
              <w:rPr>
                <w:sz w:val="16"/>
                <w:szCs w:val="16"/>
                <w:color w:val="auto"/>
              </w:rPr>
            </w:pPr>
          </w:p>
        </w:tc>
        <w:tc>
          <w:tcPr>
            <w:tcW w:w="340" w:type="dxa"/>
            <w:vAlign w:val="bottom"/>
            <w:tcBorders>
              <w:bottom w:val="single" w:sz="8" w:color="41516E"/>
            </w:tcBorders>
          </w:tcPr>
          <w:p>
            <w:pPr>
              <w:spacing w:after="0"/>
              <w:rPr>
                <w:sz w:val="16"/>
                <w:szCs w:val="16"/>
                <w:color w:val="auto"/>
              </w:rPr>
            </w:pPr>
          </w:p>
        </w:tc>
        <w:tc>
          <w:tcPr>
            <w:tcW w:w="840" w:type="dxa"/>
            <w:vAlign w:val="bottom"/>
            <w:tcBorders>
              <w:bottom w:val="single" w:sz="8" w:color="41516E"/>
            </w:tcBorders>
          </w:tcPr>
          <w:p>
            <w:pPr>
              <w:spacing w:after="0"/>
              <w:rPr>
                <w:sz w:val="16"/>
                <w:szCs w:val="16"/>
                <w:color w:val="auto"/>
              </w:rPr>
            </w:pPr>
          </w:p>
        </w:tc>
        <w:tc>
          <w:tcPr>
            <w:tcW w:w="860" w:type="dxa"/>
            <w:vAlign w:val="bottom"/>
            <w:tcBorders>
              <w:bottom w:val="single" w:sz="8" w:color="41516E"/>
            </w:tcBorders>
          </w:tcPr>
          <w:p>
            <w:pPr>
              <w:spacing w:after="0"/>
              <w:rPr>
                <w:sz w:val="16"/>
                <w:szCs w:val="16"/>
                <w:color w:val="auto"/>
              </w:rPr>
            </w:pPr>
          </w:p>
        </w:tc>
        <w:tc>
          <w:tcPr>
            <w:tcW w:w="900" w:type="dxa"/>
            <w:vAlign w:val="bottom"/>
            <w:tcBorders>
              <w:bottom w:val="single" w:sz="8" w:color="41516E"/>
            </w:tcBorders>
          </w:tcPr>
          <w:p>
            <w:pPr>
              <w:spacing w:after="0"/>
              <w:rPr>
                <w:sz w:val="16"/>
                <w:szCs w:val="16"/>
                <w:color w:val="auto"/>
              </w:rPr>
            </w:pPr>
          </w:p>
        </w:tc>
        <w:tc>
          <w:tcPr>
            <w:tcW w:w="108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color w:val="41516E"/>
              </w:rPr>
              <w:t>6,049</w:t>
            </w:r>
          </w:p>
        </w:tc>
        <w:tc>
          <w:tcPr>
            <w:tcW w:w="80" w:type="dxa"/>
            <w:vAlign w:val="bottom"/>
            <w:tcBorders>
              <w:bottom w:val="single" w:sz="8" w:color="41516E"/>
            </w:tcBorders>
          </w:tcPr>
          <w:p>
            <w:pPr>
              <w:spacing w:after="0"/>
              <w:rPr>
                <w:sz w:val="16"/>
                <w:szCs w:val="16"/>
                <w:color w:val="auto"/>
              </w:rPr>
            </w:pPr>
          </w:p>
        </w:tc>
        <w:tc>
          <w:tcPr>
            <w:tcW w:w="800" w:type="dxa"/>
            <w:vAlign w:val="bottom"/>
            <w:tcBorders>
              <w:bottom w:val="single" w:sz="8" w:color="41516E"/>
            </w:tcBorders>
          </w:tcPr>
          <w:p>
            <w:pPr>
              <w:spacing w:after="0"/>
              <w:rPr>
                <w:sz w:val="16"/>
                <w:szCs w:val="16"/>
                <w:color w:val="auto"/>
              </w:rPr>
            </w:pPr>
          </w:p>
        </w:tc>
        <w:tc>
          <w:tcPr>
            <w:tcW w:w="140" w:type="dxa"/>
            <w:vAlign w:val="bottom"/>
            <w:tcBorders>
              <w:bottom w:val="single" w:sz="8" w:color="41516E"/>
            </w:tcBorders>
          </w:tcPr>
          <w:p>
            <w:pPr>
              <w:spacing w:after="0"/>
              <w:rPr>
                <w:sz w:val="16"/>
                <w:szCs w:val="16"/>
                <w:color w:val="auto"/>
              </w:rPr>
            </w:pPr>
          </w:p>
        </w:tc>
        <w:tc>
          <w:tcPr>
            <w:tcW w:w="660" w:type="dxa"/>
            <w:vAlign w:val="bottom"/>
            <w:tcBorders>
              <w:bottom w:val="single" w:sz="8" w:color="41516E"/>
            </w:tcBorders>
          </w:tcPr>
          <w:p>
            <w:pPr>
              <w:spacing w:after="0"/>
              <w:rPr>
                <w:sz w:val="16"/>
                <w:szCs w:val="16"/>
                <w:color w:val="auto"/>
              </w:rPr>
            </w:pPr>
          </w:p>
        </w:tc>
        <w:tc>
          <w:tcPr>
            <w:tcW w:w="180" w:type="dxa"/>
            <w:vAlign w:val="bottom"/>
            <w:tcBorders>
              <w:bottom w:val="single" w:sz="8" w:color="41516E"/>
            </w:tcBorders>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tcBorders>
              <w:bottom w:val="single" w:sz="8" w:color="41516E"/>
            </w:tcBorders>
            <w:gridSpan w:val="2"/>
          </w:tcPr>
          <w:p>
            <w:pPr>
              <w:jc w:val="right"/>
              <w:ind w:right="19"/>
              <w:spacing w:after="0"/>
              <w:rPr>
                <w:sz w:val="20"/>
                <w:szCs w:val="20"/>
                <w:color w:val="auto"/>
              </w:rPr>
            </w:pPr>
            <w:r>
              <w:rPr>
                <w:rFonts w:ascii="Arial" w:cs="Arial" w:eastAsia="Arial" w:hAnsi="Arial"/>
                <w:sz w:val="14"/>
                <w:szCs w:val="14"/>
                <w:color w:val="41516E"/>
              </w:rPr>
              <w:t>2,000,283</w:t>
            </w:r>
          </w:p>
        </w:tc>
        <w:tc>
          <w:tcPr>
            <w:tcW w:w="0" w:type="dxa"/>
            <w:vAlign w:val="bottom"/>
          </w:tcPr>
          <w:p>
            <w:pPr>
              <w:spacing w:after="0"/>
              <w:rPr>
                <w:sz w:val="1"/>
                <w:szCs w:val="1"/>
                <w:color w:val="auto"/>
              </w:rPr>
            </w:pPr>
          </w:p>
        </w:tc>
      </w:tr>
      <w:tr>
        <w:trPr>
          <w:trHeight w:val="155"/>
        </w:trPr>
        <w:tc>
          <w:tcPr>
            <w:tcW w:w="1720" w:type="dxa"/>
            <w:vAlign w:val="bottom"/>
            <w:shd w:val="clear" w:color="auto" w:fill="EFF0F1"/>
          </w:tcPr>
          <w:p>
            <w:pPr>
              <w:ind w:left="60"/>
              <w:spacing w:after="0" w:line="155" w:lineRule="exact"/>
              <w:rPr>
                <w:sz w:val="20"/>
                <w:szCs w:val="20"/>
                <w:color w:val="auto"/>
              </w:rPr>
            </w:pPr>
            <w:r>
              <w:rPr>
                <w:rFonts w:ascii="Arial" w:cs="Arial" w:eastAsia="Arial" w:hAnsi="Arial"/>
                <w:sz w:val="14"/>
                <w:szCs w:val="14"/>
                <w:b w:val="1"/>
                <w:bCs w:val="1"/>
                <w:color w:val="41516E"/>
              </w:rPr>
              <w:t>John C. Geist</w:t>
            </w:r>
          </w:p>
        </w:tc>
        <w:tc>
          <w:tcPr>
            <w:tcW w:w="1140" w:type="dxa"/>
            <w:vAlign w:val="bottom"/>
            <w:shd w:val="clear" w:color="auto" w:fill="EFF0F1"/>
          </w:tcPr>
          <w:p>
            <w:pPr>
              <w:spacing w:after="0"/>
              <w:rPr>
                <w:sz w:val="13"/>
                <w:szCs w:val="13"/>
                <w:color w:val="auto"/>
              </w:rPr>
            </w:pPr>
          </w:p>
        </w:tc>
        <w:tc>
          <w:tcPr>
            <w:tcW w:w="800" w:type="dxa"/>
            <w:vAlign w:val="bottom"/>
            <w:shd w:val="clear" w:color="auto" w:fill="EFF0F1"/>
          </w:tcPr>
          <w:p>
            <w:pPr>
              <w:spacing w:after="0"/>
              <w:rPr>
                <w:sz w:val="13"/>
                <w:szCs w:val="13"/>
                <w:color w:val="auto"/>
              </w:rPr>
            </w:pPr>
          </w:p>
        </w:tc>
        <w:tc>
          <w:tcPr>
            <w:tcW w:w="80" w:type="dxa"/>
            <w:vAlign w:val="bottom"/>
            <w:shd w:val="clear" w:color="auto" w:fill="EFF0F1"/>
          </w:tcPr>
          <w:p>
            <w:pPr>
              <w:spacing w:after="0"/>
              <w:rPr>
                <w:sz w:val="13"/>
                <w:szCs w:val="13"/>
                <w:color w:val="auto"/>
              </w:rPr>
            </w:pPr>
          </w:p>
        </w:tc>
        <w:tc>
          <w:tcPr>
            <w:tcW w:w="60" w:type="dxa"/>
            <w:vAlign w:val="bottom"/>
            <w:shd w:val="clear" w:color="auto" w:fill="EFF0F1"/>
          </w:tcPr>
          <w:p>
            <w:pPr>
              <w:spacing w:after="0"/>
              <w:rPr>
                <w:sz w:val="13"/>
                <w:szCs w:val="13"/>
                <w:color w:val="auto"/>
              </w:rPr>
            </w:pPr>
          </w:p>
        </w:tc>
        <w:tc>
          <w:tcPr>
            <w:tcW w:w="100" w:type="dxa"/>
            <w:vAlign w:val="bottom"/>
            <w:shd w:val="clear" w:color="auto" w:fill="EFF0F1"/>
          </w:tcPr>
          <w:p>
            <w:pPr>
              <w:spacing w:after="0"/>
              <w:rPr>
                <w:sz w:val="13"/>
                <w:szCs w:val="13"/>
                <w:color w:val="auto"/>
              </w:rPr>
            </w:pPr>
          </w:p>
        </w:tc>
        <w:tc>
          <w:tcPr>
            <w:tcW w:w="680" w:type="dxa"/>
            <w:vAlign w:val="bottom"/>
            <w:shd w:val="clear" w:color="auto" w:fill="EFF0F1"/>
          </w:tcPr>
          <w:p>
            <w:pPr>
              <w:spacing w:after="0"/>
              <w:rPr>
                <w:sz w:val="13"/>
                <w:szCs w:val="13"/>
                <w:color w:val="auto"/>
              </w:rPr>
            </w:pPr>
          </w:p>
        </w:tc>
        <w:tc>
          <w:tcPr>
            <w:tcW w:w="340" w:type="dxa"/>
            <w:vAlign w:val="bottom"/>
            <w:shd w:val="clear" w:color="auto" w:fill="EFF0F1"/>
          </w:tcPr>
          <w:p>
            <w:pPr>
              <w:spacing w:after="0"/>
              <w:rPr>
                <w:sz w:val="13"/>
                <w:szCs w:val="13"/>
                <w:color w:val="auto"/>
              </w:rPr>
            </w:pPr>
          </w:p>
        </w:tc>
        <w:tc>
          <w:tcPr>
            <w:tcW w:w="840" w:type="dxa"/>
            <w:vAlign w:val="bottom"/>
            <w:shd w:val="clear" w:color="auto" w:fill="EFF0F1"/>
          </w:tcPr>
          <w:p>
            <w:pPr>
              <w:spacing w:after="0"/>
              <w:rPr>
                <w:sz w:val="13"/>
                <w:szCs w:val="13"/>
                <w:color w:val="auto"/>
              </w:rPr>
            </w:pPr>
          </w:p>
        </w:tc>
        <w:tc>
          <w:tcPr>
            <w:tcW w:w="860" w:type="dxa"/>
            <w:vAlign w:val="bottom"/>
            <w:shd w:val="clear" w:color="auto" w:fill="EFF0F1"/>
          </w:tcPr>
          <w:p>
            <w:pPr>
              <w:spacing w:after="0"/>
              <w:rPr>
                <w:sz w:val="13"/>
                <w:szCs w:val="13"/>
                <w:color w:val="auto"/>
              </w:rPr>
            </w:pPr>
          </w:p>
        </w:tc>
        <w:tc>
          <w:tcPr>
            <w:tcW w:w="900" w:type="dxa"/>
            <w:vAlign w:val="bottom"/>
            <w:shd w:val="clear" w:color="auto" w:fill="EFF0F1"/>
          </w:tcPr>
          <w:p>
            <w:pPr>
              <w:spacing w:after="0"/>
              <w:rPr>
                <w:sz w:val="13"/>
                <w:szCs w:val="13"/>
                <w:color w:val="auto"/>
              </w:rPr>
            </w:pPr>
          </w:p>
        </w:tc>
        <w:tc>
          <w:tcPr>
            <w:tcW w:w="1080" w:type="dxa"/>
            <w:vAlign w:val="bottom"/>
            <w:shd w:val="clear" w:color="auto" w:fill="EFF0F1"/>
          </w:tcPr>
          <w:p>
            <w:pPr>
              <w:spacing w:after="0"/>
              <w:rPr>
                <w:sz w:val="13"/>
                <w:szCs w:val="13"/>
                <w:color w:val="auto"/>
              </w:rPr>
            </w:pPr>
          </w:p>
        </w:tc>
        <w:tc>
          <w:tcPr>
            <w:tcW w:w="80" w:type="dxa"/>
            <w:vAlign w:val="bottom"/>
            <w:shd w:val="clear" w:color="auto" w:fill="EFF0F1"/>
          </w:tcPr>
          <w:p>
            <w:pPr>
              <w:spacing w:after="0"/>
              <w:rPr>
                <w:sz w:val="13"/>
                <w:szCs w:val="13"/>
                <w:color w:val="auto"/>
              </w:rPr>
            </w:pPr>
          </w:p>
        </w:tc>
        <w:tc>
          <w:tcPr>
            <w:tcW w:w="800" w:type="dxa"/>
            <w:vAlign w:val="bottom"/>
            <w:shd w:val="clear" w:color="auto" w:fill="EFF0F1"/>
          </w:tcPr>
          <w:p>
            <w:pPr>
              <w:spacing w:after="0"/>
              <w:rPr>
                <w:sz w:val="13"/>
                <w:szCs w:val="13"/>
                <w:color w:val="auto"/>
              </w:rPr>
            </w:pPr>
          </w:p>
        </w:tc>
        <w:tc>
          <w:tcPr>
            <w:tcW w:w="140" w:type="dxa"/>
            <w:vAlign w:val="bottom"/>
            <w:shd w:val="clear" w:color="auto" w:fill="EFF0F1"/>
          </w:tcPr>
          <w:p>
            <w:pPr>
              <w:spacing w:after="0"/>
              <w:rPr>
                <w:sz w:val="13"/>
                <w:szCs w:val="13"/>
                <w:color w:val="auto"/>
              </w:rPr>
            </w:pPr>
          </w:p>
        </w:tc>
        <w:tc>
          <w:tcPr>
            <w:tcW w:w="660" w:type="dxa"/>
            <w:vAlign w:val="bottom"/>
            <w:shd w:val="clear" w:color="auto" w:fill="EFF0F1"/>
          </w:tcPr>
          <w:p>
            <w:pPr>
              <w:spacing w:after="0"/>
              <w:rPr>
                <w:sz w:val="13"/>
                <w:szCs w:val="13"/>
                <w:color w:val="auto"/>
              </w:rPr>
            </w:pPr>
          </w:p>
        </w:tc>
        <w:tc>
          <w:tcPr>
            <w:tcW w:w="180" w:type="dxa"/>
            <w:vAlign w:val="bottom"/>
            <w:shd w:val="clear" w:color="auto" w:fill="EFF0F1"/>
          </w:tcPr>
          <w:p>
            <w:pPr>
              <w:spacing w:after="0"/>
              <w:rPr>
                <w:sz w:val="13"/>
                <w:szCs w:val="13"/>
                <w:color w:val="auto"/>
              </w:rPr>
            </w:pPr>
          </w:p>
        </w:tc>
        <w:tc>
          <w:tcPr>
            <w:tcW w:w="360" w:type="dxa"/>
            <w:vAlign w:val="bottom"/>
            <w:shd w:val="clear" w:color="auto" w:fill="EFF0F1"/>
          </w:tcPr>
          <w:p>
            <w:pPr>
              <w:spacing w:after="0"/>
              <w:rPr>
                <w:sz w:val="13"/>
                <w:szCs w:val="13"/>
                <w:color w:val="auto"/>
              </w:rPr>
            </w:pPr>
          </w:p>
        </w:tc>
        <w:tc>
          <w:tcPr>
            <w:tcW w:w="420" w:type="dxa"/>
            <w:vAlign w:val="bottom"/>
            <w:shd w:val="clear" w:color="auto" w:fill="EFF0F1"/>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60"/>
              <w:spacing w:after="0"/>
              <w:rPr>
                <w:sz w:val="20"/>
                <w:szCs w:val="20"/>
                <w:color w:val="auto"/>
              </w:rPr>
            </w:pPr>
            <w:r>
              <w:rPr>
                <w:rFonts w:ascii="Arial" w:cs="Arial" w:eastAsia="Arial" w:hAnsi="Arial"/>
                <w:sz w:val="14"/>
                <w:szCs w:val="14"/>
                <w:color w:val="41516E"/>
              </w:rPr>
              <w:t>Annual Incentive</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41516E"/>
              </w:rPr>
              <w:t>$</w:t>
            </w:r>
          </w:p>
        </w:tc>
        <w:tc>
          <w:tcPr>
            <w:tcW w:w="680" w:type="dxa"/>
            <w:vAlign w:val="bottom"/>
          </w:tcPr>
          <w:p>
            <w:pPr>
              <w:jc w:val="right"/>
              <w:spacing w:after="0"/>
              <w:rPr>
                <w:sz w:val="20"/>
                <w:szCs w:val="20"/>
                <w:color w:val="auto"/>
              </w:rPr>
            </w:pPr>
            <w:r>
              <w:rPr>
                <w:rFonts w:ascii="Arial" w:cs="Arial" w:eastAsia="Arial" w:hAnsi="Arial"/>
                <w:sz w:val="14"/>
                <w:szCs w:val="14"/>
                <w:color w:val="41516E"/>
              </w:rPr>
              <w:t>456,488</w:t>
            </w:r>
          </w:p>
        </w:tc>
        <w:tc>
          <w:tcPr>
            <w:tcW w:w="34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41516E"/>
              </w:rPr>
              <w:t>1,141,219</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Performance Option</w:t>
            </w:r>
          </w:p>
        </w:tc>
        <w:tc>
          <w:tcPr>
            <w:tcW w:w="114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3/1/2023</w:t>
            </w:r>
          </w:p>
        </w:tc>
        <w:tc>
          <w:tcPr>
            <w:tcW w:w="880" w:type="dxa"/>
            <w:vAlign w:val="bottom"/>
            <w:gridSpan w:val="2"/>
            <w:shd w:val="clear" w:color="auto" w:fill="EFF0F1"/>
          </w:tcPr>
          <w:p>
            <w:pPr>
              <w:jc w:val="right"/>
              <w:spacing w:after="0" w:line="189" w:lineRule="exact"/>
              <w:rPr>
                <w:sz w:val="20"/>
                <w:szCs w:val="20"/>
                <w:color w:val="auto"/>
              </w:rPr>
            </w:pPr>
            <w:r>
              <w:rPr>
                <w:rFonts w:ascii="Arial" w:cs="Arial" w:eastAsia="Arial" w:hAnsi="Arial"/>
                <w:sz w:val="13"/>
                <w:szCs w:val="13"/>
                <w:color w:val="41516E"/>
              </w:rPr>
              <w:t>2/6/2023</w:t>
            </w:r>
            <w:r>
              <w:rPr>
                <w:rFonts w:ascii="Arial" w:cs="Arial" w:eastAsia="Arial" w:hAnsi="Arial"/>
                <w:sz w:val="21"/>
                <w:szCs w:val="21"/>
                <w:color w:val="41516E"/>
                <w:vertAlign w:val="superscript"/>
              </w:rPr>
              <w:t>(3)</w:t>
            </w:r>
          </w:p>
        </w:tc>
        <w:tc>
          <w:tcPr>
            <w:tcW w:w="60" w:type="dxa"/>
            <w:vAlign w:val="bottom"/>
            <w:shd w:val="clear" w:color="auto" w:fill="EFF0F1"/>
          </w:tcPr>
          <w:p>
            <w:pPr>
              <w:spacing w:after="0"/>
              <w:rPr>
                <w:sz w:val="16"/>
                <w:szCs w:val="16"/>
                <w:color w:val="auto"/>
              </w:rPr>
            </w:pPr>
          </w:p>
        </w:tc>
        <w:tc>
          <w:tcPr>
            <w:tcW w:w="100" w:type="dxa"/>
            <w:vAlign w:val="bottom"/>
            <w:shd w:val="clear" w:color="auto" w:fill="EFF0F1"/>
          </w:tcPr>
          <w:p>
            <w:pPr>
              <w:spacing w:after="0"/>
              <w:rPr>
                <w:sz w:val="16"/>
                <w:szCs w:val="16"/>
                <w:color w:val="auto"/>
              </w:rPr>
            </w:pPr>
          </w:p>
        </w:tc>
        <w:tc>
          <w:tcPr>
            <w:tcW w:w="680" w:type="dxa"/>
            <w:vAlign w:val="bottom"/>
            <w:shd w:val="clear" w:color="auto" w:fill="EFF0F1"/>
          </w:tcPr>
          <w:p>
            <w:pPr>
              <w:spacing w:after="0"/>
              <w:rPr>
                <w:sz w:val="16"/>
                <w:szCs w:val="16"/>
                <w:color w:val="auto"/>
              </w:rPr>
            </w:pPr>
          </w:p>
        </w:tc>
        <w:tc>
          <w:tcPr>
            <w:tcW w:w="340" w:type="dxa"/>
            <w:vAlign w:val="bottom"/>
            <w:shd w:val="clear" w:color="auto" w:fill="EFF0F1"/>
          </w:tcPr>
          <w:p>
            <w:pPr>
              <w:spacing w:after="0"/>
              <w:rPr>
                <w:sz w:val="16"/>
                <w:szCs w:val="16"/>
                <w:color w:val="auto"/>
              </w:rPr>
            </w:pPr>
          </w:p>
        </w:tc>
        <w:tc>
          <w:tcPr>
            <w:tcW w:w="840" w:type="dxa"/>
            <w:vAlign w:val="bottom"/>
            <w:shd w:val="clear" w:color="auto" w:fill="EFF0F1"/>
          </w:tcPr>
          <w:p>
            <w:pPr>
              <w:spacing w:after="0"/>
              <w:rPr>
                <w:sz w:val="16"/>
                <w:szCs w:val="16"/>
                <w:color w:val="auto"/>
              </w:rPr>
            </w:pPr>
          </w:p>
        </w:tc>
        <w:tc>
          <w:tcPr>
            <w:tcW w:w="860" w:type="dxa"/>
            <w:vAlign w:val="bottom"/>
            <w:shd w:val="clear" w:color="auto" w:fill="EFF0F1"/>
          </w:tcPr>
          <w:p>
            <w:pPr>
              <w:jc w:val="right"/>
              <w:ind w:right="12"/>
              <w:spacing w:after="0" w:line="189" w:lineRule="exact"/>
              <w:rPr>
                <w:sz w:val="20"/>
                <w:szCs w:val="20"/>
                <w:color w:val="auto"/>
              </w:rPr>
            </w:pPr>
            <w:r>
              <w:rPr>
                <w:rFonts w:ascii="Arial" w:cs="Arial" w:eastAsia="Arial" w:hAnsi="Arial"/>
                <w:sz w:val="13"/>
                <w:szCs w:val="13"/>
                <w:color w:val="41516E"/>
              </w:rPr>
              <w:t>3,084</w:t>
            </w:r>
            <w:r>
              <w:rPr>
                <w:rFonts w:ascii="Arial" w:cs="Arial" w:eastAsia="Arial" w:hAnsi="Arial"/>
                <w:sz w:val="21"/>
                <w:szCs w:val="21"/>
                <w:color w:val="41516E"/>
                <w:vertAlign w:val="superscript"/>
              </w:rPr>
              <w:t>(5)</w:t>
            </w:r>
          </w:p>
        </w:tc>
        <w:tc>
          <w:tcPr>
            <w:tcW w:w="900" w:type="dxa"/>
            <w:vAlign w:val="bottom"/>
            <w:shd w:val="clear" w:color="auto" w:fill="EFF0F1"/>
          </w:tcPr>
          <w:p>
            <w:pPr>
              <w:jc w:val="right"/>
              <w:spacing w:after="0" w:line="189" w:lineRule="exact"/>
              <w:rPr>
                <w:sz w:val="20"/>
                <w:szCs w:val="20"/>
                <w:color w:val="auto"/>
              </w:rPr>
            </w:pPr>
            <w:r>
              <w:rPr>
                <w:rFonts w:ascii="Arial" w:cs="Arial" w:eastAsia="Arial" w:hAnsi="Arial"/>
                <w:sz w:val="13"/>
                <w:szCs w:val="13"/>
                <w:color w:val="41516E"/>
              </w:rPr>
              <w:t>3,084</w:t>
            </w:r>
            <w:r>
              <w:rPr>
                <w:rFonts w:ascii="Arial" w:cs="Arial" w:eastAsia="Arial" w:hAnsi="Arial"/>
                <w:sz w:val="21"/>
                <w:szCs w:val="21"/>
                <w:color w:val="41516E"/>
                <w:vertAlign w:val="superscript"/>
              </w:rPr>
              <w:t>(5)</w:t>
            </w:r>
          </w:p>
        </w:tc>
        <w:tc>
          <w:tcPr>
            <w:tcW w:w="1080" w:type="dxa"/>
            <w:vAlign w:val="bottom"/>
            <w:shd w:val="clear" w:color="auto" w:fill="EFF0F1"/>
          </w:tcPr>
          <w:p>
            <w:pPr>
              <w:spacing w:after="0"/>
              <w:rPr>
                <w:sz w:val="16"/>
                <w:szCs w:val="16"/>
                <w:color w:val="auto"/>
              </w:rPr>
            </w:pPr>
          </w:p>
        </w:tc>
        <w:tc>
          <w:tcPr>
            <w:tcW w:w="80" w:type="dxa"/>
            <w:vAlign w:val="bottom"/>
            <w:shd w:val="clear" w:color="auto" w:fill="EFF0F1"/>
          </w:tcPr>
          <w:p>
            <w:pPr>
              <w:spacing w:after="0"/>
              <w:rPr>
                <w:sz w:val="20"/>
                <w:szCs w:val="20"/>
                <w:color w:val="auto"/>
              </w:rPr>
            </w:pPr>
            <w:r>
              <w:rPr>
                <w:rFonts w:ascii="Arial" w:cs="Arial" w:eastAsia="Arial" w:hAnsi="Arial"/>
                <w:sz w:val="14"/>
                <w:szCs w:val="14"/>
                <w:color w:val="41516E"/>
                <w:w w:val="76"/>
              </w:rPr>
              <w:t>$</w:t>
            </w:r>
          </w:p>
        </w:tc>
        <w:tc>
          <w:tcPr>
            <w:tcW w:w="800" w:type="dxa"/>
            <w:vAlign w:val="bottom"/>
            <w:shd w:val="clear" w:color="auto" w:fill="EFF0F1"/>
          </w:tcPr>
          <w:p>
            <w:pPr>
              <w:ind w:left="140"/>
              <w:spacing w:after="0" w:line="189" w:lineRule="exact"/>
              <w:rPr>
                <w:sz w:val="20"/>
                <w:szCs w:val="20"/>
                <w:color w:val="auto"/>
              </w:rPr>
            </w:pPr>
            <w:r>
              <w:rPr>
                <w:rFonts w:ascii="Arial" w:cs="Arial" w:eastAsia="Arial" w:hAnsi="Arial"/>
                <w:sz w:val="13"/>
                <w:szCs w:val="13"/>
                <w:color w:val="41516E"/>
              </w:rPr>
              <w:t>323.80</w:t>
            </w:r>
            <w:r>
              <w:rPr>
                <w:rFonts w:ascii="Arial" w:cs="Arial" w:eastAsia="Arial" w:hAnsi="Arial"/>
                <w:sz w:val="21"/>
                <w:szCs w:val="21"/>
                <w:color w:val="41516E"/>
                <w:vertAlign w:val="superscript"/>
              </w:rPr>
              <w:t>(3)</w:t>
            </w:r>
          </w:p>
        </w:tc>
        <w:tc>
          <w:tcPr>
            <w:tcW w:w="1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66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323.80</w:t>
            </w:r>
          </w:p>
        </w:tc>
        <w:tc>
          <w:tcPr>
            <w:tcW w:w="180" w:type="dxa"/>
            <w:vAlign w:val="bottom"/>
            <w:shd w:val="clear" w:color="auto" w:fill="EFF0F1"/>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gridSpan w:val="2"/>
            <w:shd w:val="clear" w:color="auto" w:fill="EFF0F1"/>
          </w:tcPr>
          <w:p>
            <w:pPr>
              <w:jc w:val="right"/>
              <w:ind w:right="19"/>
              <w:spacing w:after="0"/>
              <w:rPr>
                <w:sz w:val="20"/>
                <w:szCs w:val="20"/>
                <w:color w:val="auto"/>
              </w:rPr>
            </w:pPr>
            <w:r>
              <w:rPr>
                <w:rFonts w:ascii="Arial" w:cs="Arial" w:eastAsia="Arial" w:hAnsi="Arial"/>
                <w:sz w:val="14"/>
                <w:szCs w:val="14"/>
                <w:color w:val="41516E"/>
              </w:rPr>
              <w:t>500,058</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41516E"/>
            </w:tcBorders>
          </w:tcPr>
          <w:p>
            <w:pPr>
              <w:ind w:left="60"/>
              <w:spacing w:after="0"/>
              <w:rPr>
                <w:sz w:val="20"/>
                <w:szCs w:val="20"/>
                <w:color w:val="auto"/>
              </w:rPr>
            </w:pPr>
            <w:r>
              <w:rPr>
                <w:rFonts w:ascii="Arial" w:cs="Arial" w:eastAsia="Arial" w:hAnsi="Arial"/>
                <w:sz w:val="14"/>
                <w:szCs w:val="14"/>
                <w:color w:val="41516E"/>
              </w:rPr>
              <w:t>RSU</w:t>
            </w:r>
          </w:p>
        </w:tc>
        <w:tc>
          <w:tcPr>
            <w:tcW w:w="114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color w:val="41516E"/>
              </w:rPr>
              <w:t>3/1/2023</w:t>
            </w:r>
          </w:p>
        </w:tc>
        <w:tc>
          <w:tcPr>
            <w:tcW w:w="880" w:type="dxa"/>
            <w:vAlign w:val="bottom"/>
            <w:tcBorders>
              <w:bottom w:val="single" w:sz="8" w:color="41516E"/>
            </w:tcBorders>
            <w:gridSpan w:val="2"/>
          </w:tcPr>
          <w:p>
            <w:pPr>
              <w:jc w:val="right"/>
              <w:spacing w:after="0" w:line="189" w:lineRule="exact"/>
              <w:rPr>
                <w:sz w:val="20"/>
                <w:szCs w:val="20"/>
                <w:color w:val="auto"/>
              </w:rPr>
            </w:pPr>
            <w:r>
              <w:rPr>
                <w:rFonts w:ascii="Arial" w:cs="Arial" w:eastAsia="Arial" w:hAnsi="Arial"/>
                <w:sz w:val="13"/>
                <w:szCs w:val="13"/>
                <w:color w:val="41516E"/>
              </w:rPr>
              <w:t>2/6/2023</w:t>
            </w:r>
            <w:r>
              <w:rPr>
                <w:rFonts w:ascii="Arial" w:cs="Arial" w:eastAsia="Arial" w:hAnsi="Arial"/>
                <w:sz w:val="21"/>
                <w:szCs w:val="21"/>
                <w:color w:val="41516E"/>
                <w:vertAlign w:val="superscript"/>
              </w:rPr>
              <w:t>(3)</w:t>
            </w:r>
          </w:p>
        </w:tc>
        <w:tc>
          <w:tcPr>
            <w:tcW w:w="60" w:type="dxa"/>
            <w:vAlign w:val="bottom"/>
            <w:tcBorders>
              <w:bottom w:val="single" w:sz="8" w:color="41516E"/>
            </w:tcBorders>
          </w:tcPr>
          <w:p>
            <w:pPr>
              <w:spacing w:after="0"/>
              <w:rPr>
                <w:sz w:val="16"/>
                <w:szCs w:val="16"/>
                <w:color w:val="auto"/>
              </w:rPr>
            </w:pPr>
          </w:p>
        </w:tc>
        <w:tc>
          <w:tcPr>
            <w:tcW w:w="100" w:type="dxa"/>
            <w:vAlign w:val="bottom"/>
            <w:tcBorders>
              <w:bottom w:val="single" w:sz="8" w:color="41516E"/>
            </w:tcBorders>
          </w:tcPr>
          <w:p>
            <w:pPr>
              <w:spacing w:after="0"/>
              <w:rPr>
                <w:sz w:val="16"/>
                <w:szCs w:val="16"/>
                <w:color w:val="auto"/>
              </w:rPr>
            </w:pPr>
          </w:p>
        </w:tc>
        <w:tc>
          <w:tcPr>
            <w:tcW w:w="680" w:type="dxa"/>
            <w:vAlign w:val="bottom"/>
            <w:tcBorders>
              <w:bottom w:val="single" w:sz="8" w:color="41516E"/>
            </w:tcBorders>
          </w:tcPr>
          <w:p>
            <w:pPr>
              <w:spacing w:after="0"/>
              <w:rPr>
                <w:sz w:val="16"/>
                <w:szCs w:val="16"/>
                <w:color w:val="auto"/>
              </w:rPr>
            </w:pPr>
          </w:p>
        </w:tc>
        <w:tc>
          <w:tcPr>
            <w:tcW w:w="340" w:type="dxa"/>
            <w:vAlign w:val="bottom"/>
            <w:tcBorders>
              <w:bottom w:val="single" w:sz="8" w:color="41516E"/>
            </w:tcBorders>
          </w:tcPr>
          <w:p>
            <w:pPr>
              <w:spacing w:after="0"/>
              <w:rPr>
                <w:sz w:val="16"/>
                <w:szCs w:val="16"/>
                <w:color w:val="auto"/>
              </w:rPr>
            </w:pPr>
          </w:p>
        </w:tc>
        <w:tc>
          <w:tcPr>
            <w:tcW w:w="840" w:type="dxa"/>
            <w:vAlign w:val="bottom"/>
            <w:tcBorders>
              <w:bottom w:val="single" w:sz="8" w:color="41516E"/>
            </w:tcBorders>
          </w:tcPr>
          <w:p>
            <w:pPr>
              <w:spacing w:after="0"/>
              <w:rPr>
                <w:sz w:val="16"/>
                <w:szCs w:val="16"/>
                <w:color w:val="auto"/>
              </w:rPr>
            </w:pPr>
          </w:p>
        </w:tc>
        <w:tc>
          <w:tcPr>
            <w:tcW w:w="860" w:type="dxa"/>
            <w:vAlign w:val="bottom"/>
            <w:tcBorders>
              <w:bottom w:val="single" w:sz="8" w:color="41516E"/>
            </w:tcBorders>
          </w:tcPr>
          <w:p>
            <w:pPr>
              <w:spacing w:after="0"/>
              <w:rPr>
                <w:sz w:val="16"/>
                <w:szCs w:val="16"/>
                <w:color w:val="auto"/>
              </w:rPr>
            </w:pPr>
          </w:p>
        </w:tc>
        <w:tc>
          <w:tcPr>
            <w:tcW w:w="900" w:type="dxa"/>
            <w:vAlign w:val="bottom"/>
            <w:tcBorders>
              <w:bottom w:val="single" w:sz="8" w:color="41516E"/>
            </w:tcBorders>
          </w:tcPr>
          <w:p>
            <w:pPr>
              <w:spacing w:after="0"/>
              <w:rPr>
                <w:sz w:val="16"/>
                <w:szCs w:val="16"/>
                <w:color w:val="auto"/>
              </w:rPr>
            </w:pPr>
          </w:p>
        </w:tc>
        <w:tc>
          <w:tcPr>
            <w:tcW w:w="108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color w:val="41516E"/>
              </w:rPr>
              <w:t>1,545</w:t>
            </w:r>
          </w:p>
        </w:tc>
        <w:tc>
          <w:tcPr>
            <w:tcW w:w="80" w:type="dxa"/>
            <w:vAlign w:val="bottom"/>
            <w:tcBorders>
              <w:bottom w:val="single" w:sz="8" w:color="41516E"/>
            </w:tcBorders>
          </w:tcPr>
          <w:p>
            <w:pPr>
              <w:spacing w:after="0"/>
              <w:rPr>
                <w:sz w:val="16"/>
                <w:szCs w:val="16"/>
                <w:color w:val="auto"/>
              </w:rPr>
            </w:pPr>
          </w:p>
        </w:tc>
        <w:tc>
          <w:tcPr>
            <w:tcW w:w="800" w:type="dxa"/>
            <w:vAlign w:val="bottom"/>
            <w:tcBorders>
              <w:bottom w:val="single" w:sz="8" w:color="41516E"/>
            </w:tcBorders>
          </w:tcPr>
          <w:p>
            <w:pPr>
              <w:spacing w:after="0"/>
              <w:rPr>
                <w:sz w:val="16"/>
                <w:szCs w:val="16"/>
                <w:color w:val="auto"/>
              </w:rPr>
            </w:pPr>
          </w:p>
        </w:tc>
        <w:tc>
          <w:tcPr>
            <w:tcW w:w="140" w:type="dxa"/>
            <w:vAlign w:val="bottom"/>
            <w:tcBorders>
              <w:bottom w:val="single" w:sz="8" w:color="41516E"/>
            </w:tcBorders>
          </w:tcPr>
          <w:p>
            <w:pPr>
              <w:spacing w:after="0"/>
              <w:rPr>
                <w:sz w:val="16"/>
                <w:szCs w:val="16"/>
                <w:color w:val="auto"/>
              </w:rPr>
            </w:pPr>
          </w:p>
        </w:tc>
        <w:tc>
          <w:tcPr>
            <w:tcW w:w="660" w:type="dxa"/>
            <w:vAlign w:val="bottom"/>
            <w:tcBorders>
              <w:bottom w:val="single" w:sz="8" w:color="41516E"/>
            </w:tcBorders>
          </w:tcPr>
          <w:p>
            <w:pPr>
              <w:spacing w:after="0"/>
              <w:rPr>
                <w:sz w:val="16"/>
                <w:szCs w:val="16"/>
                <w:color w:val="auto"/>
              </w:rPr>
            </w:pPr>
          </w:p>
        </w:tc>
        <w:tc>
          <w:tcPr>
            <w:tcW w:w="180" w:type="dxa"/>
            <w:vAlign w:val="bottom"/>
            <w:tcBorders>
              <w:bottom w:val="single" w:sz="8" w:color="41516E"/>
            </w:tcBorders>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tcBorders>
              <w:bottom w:val="single" w:sz="8" w:color="41516E"/>
            </w:tcBorders>
            <w:gridSpan w:val="2"/>
          </w:tcPr>
          <w:p>
            <w:pPr>
              <w:jc w:val="right"/>
              <w:ind w:right="19"/>
              <w:spacing w:after="0"/>
              <w:rPr>
                <w:sz w:val="20"/>
                <w:szCs w:val="20"/>
                <w:color w:val="auto"/>
              </w:rPr>
            </w:pPr>
            <w:r>
              <w:rPr>
                <w:rFonts w:ascii="Arial" w:cs="Arial" w:eastAsia="Arial" w:hAnsi="Arial"/>
                <w:sz w:val="14"/>
                <w:szCs w:val="14"/>
                <w:color w:val="41516E"/>
              </w:rPr>
              <w:t>500,271</w:t>
            </w:r>
          </w:p>
        </w:tc>
        <w:tc>
          <w:tcPr>
            <w:tcW w:w="0" w:type="dxa"/>
            <w:vAlign w:val="bottom"/>
          </w:tcPr>
          <w:p>
            <w:pPr>
              <w:spacing w:after="0"/>
              <w:rPr>
                <w:sz w:val="1"/>
                <w:szCs w:val="1"/>
                <w:color w:val="auto"/>
              </w:rPr>
            </w:pPr>
          </w:p>
        </w:tc>
      </w:tr>
      <w:tr>
        <w:trPr>
          <w:trHeight w:val="155"/>
        </w:trPr>
        <w:tc>
          <w:tcPr>
            <w:tcW w:w="1720" w:type="dxa"/>
            <w:vAlign w:val="bottom"/>
            <w:shd w:val="clear" w:color="auto" w:fill="EFF0F1"/>
          </w:tcPr>
          <w:p>
            <w:pPr>
              <w:ind w:left="60"/>
              <w:spacing w:after="0" w:line="155" w:lineRule="exact"/>
              <w:rPr>
                <w:sz w:val="20"/>
                <w:szCs w:val="20"/>
                <w:color w:val="auto"/>
              </w:rPr>
            </w:pPr>
            <w:r>
              <w:rPr>
                <w:rFonts w:ascii="Arial" w:cs="Arial" w:eastAsia="Arial" w:hAnsi="Arial"/>
                <w:sz w:val="14"/>
                <w:szCs w:val="14"/>
                <w:b w:val="1"/>
                <w:bCs w:val="1"/>
                <w:color w:val="41516E"/>
              </w:rPr>
              <w:t>Lesya Lysyj</w:t>
            </w:r>
          </w:p>
        </w:tc>
        <w:tc>
          <w:tcPr>
            <w:tcW w:w="1140" w:type="dxa"/>
            <w:vAlign w:val="bottom"/>
            <w:shd w:val="clear" w:color="auto" w:fill="EFF0F1"/>
          </w:tcPr>
          <w:p>
            <w:pPr>
              <w:spacing w:after="0"/>
              <w:rPr>
                <w:sz w:val="13"/>
                <w:szCs w:val="13"/>
                <w:color w:val="auto"/>
              </w:rPr>
            </w:pPr>
          </w:p>
        </w:tc>
        <w:tc>
          <w:tcPr>
            <w:tcW w:w="800" w:type="dxa"/>
            <w:vAlign w:val="bottom"/>
            <w:shd w:val="clear" w:color="auto" w:fill="EFF0F1"/>
          </w:tcPr>
          <w:p>
            <w:pPr>
              <w:spacing w:after="0"/>
              <w:rPr>
                <w:sz w:val="13"/>
                <w:szCs w:val="13"/>
                <w:color w:val="auto"/>
              </w:rPr>
            </w:pPr>
          </w:p>
        </w:tc>
        <w:tc>
          <w:tcPr>
            <w:tcW w:w="80" w:type="dxa"/>
            <w:vAlign w:val="bottom"/>
            <w:shd w:val="clear" w:color="auto" w:fill="EFF0F1"/>
          </w:tcPr>
          <w:p>
            <w:pPr>
              <w:spacing w:after="0"/>
              <w:rPr>
                <w:sz w:val="13"/>
                <w:szCs w:val="13"/>
                <w:color w:val="auto"/>
              </w:rPr>
            </w:pPr>
          </w:p>
        </w:tc>
        <w:tc>
          <w:tcPr>
            <w:tcW w:w="60" w:type="dxa"/>
            <w:vAlign w:val="bottom"/>
            <w:shd w:val="clear" w:color="auto" w:fill="EFF0F1"/>
          </w:tcPr>
          <w:p>
            <w:pPr>
              <w:spacing w:after="0"/>
              <w:rPr>
                <w:sz w:val="13"/>
                <w:szCs w:val="13"/>
                <w:color w:val="auto"/>
              </w:rPr>
            </w:pPr>
          </w:p>
        </w:tc>
        <w:tc>
          <w:tcPr>
            <w:tcW w:w="100" w:type="dxa"/>
            <w:vAlign w:val="bottom"/>
            <w:shd w:val="clear" w:color="auto" w:fill="EFF0F1"/>
          </w:tcPr>
          <w:p>
            <w:pPr>
              <w:spacing w:after="0"/>
              <w:rPr>
                <w:sz w:val="13"/>
                <w:szCs w:val="13"/>
                <w:color w:val="auto"/>
              </w:rPr>
            </w:pPr>
          </w:p>
        </w:tc>
        <w:tc>
          <w:tcPr>
            <w:tcW w:w="680" w:type="dxa"/>
            <w:vAlign w:val="bottom"/>
            <w:shd w:val="clear" w:color="auto" w:fill="EFF0F1"/>
          </w:tcPr>
          <w:p>
            <w:pPr>
              <w:spacing w:after="0"/>
              <w:rPr>
                <w:sz w:val="13"/>
                <w:szCs w:val="13"/>
                <w:color w:val="auto"/>
              </w:rPr>
            </w:pPr>
          </w:p>
        </w:tc>
        <w:tc>
          <w:tcPr>
            <w:tcW w:w="340" w:type="dxa"/>
            <w:vAlign w:val="bottom"/>
            <w:shd w:val="clear" w:color="auto" w:fill="EFF0F1"/>
          </w:tcPr>
          <w:p>
            <w:pPr>
              <w:spacing w:after="0"/>
              <w:rPr>
                <w:sz w:val="13"/>
                <w:szCs w:val="13"/>
                <w:color w:val="auto"/>
              </w:rPr>
            </w:pPr>
          </w:p>
        </w:tc>
        <w:tc>
          <w:tcPr>
            <w:tcW w:w="840" w:type="dxa"/>
            <w:vAlign w:val="bottom"/>
            <w:shd w:val="clear" w:color="auto" w:fill="EFF0F1"/>
          </w:tcPr>
          <w:p>
            <w:pPr>
              <w:spacing w:after="0"/>
              <w:rPr>
                <w:sz w:val="13"/>
                <w:szCs w:val="13"/>
                <w:color w:val="auto"/>
              </w:rPr>
            </w:pPr>
          </w:p>
        </w:tc>
        <w:tc>
          <w:tcPr>
            <w:tcW w:w="860" w:type="dxa"/>
            <w:vAlign w:val="bottom"/>
            <w:shd w:val="clear" w:color="auto" w:fill="EFF0F1"/>
          </w:tcPr>
          <w:p>
            <w:pPr>
              <w:spacing w:after="0"/>
              <w:rPr>
                <w:sz w:val="13"/>
                <w:szCs w:val="13"/>
                <w:color w:val="auto"/>
              </w:rPr>
            </w:pPr>
          </w:p>
        </w:tc>
        <w:tc>
          <w:tcPr>
            <w:tcW w:w="900" w:type="dxa"/>
            <w:vAlign w:val="bottom"/>
            <w:shd w:val="clear" w:color="auto" w:fill="EFF0F1"/>
          </w:tcPr>
          <w:p>
            <w:pPr>
              <w:spacing w:after="0"/>
              <w:rPr>
                <w:sz w:val="13"/>
                <w:szCs w:val="13"/>
                <w:color w:val="auto"/>
              </w:rPr>
            </w:pPr>
          </w:p>
        </w:tc>
        <w:tc>
          <w:tcPr>
            <w:tcW w:w="1080" w:type="dxa"/>
            <w:vAlign w:val="bottom"/>
            <w:shd w:val="clear" w:color="auto" w:fill="EFF0F1"/>
          </w:tcPr>
          <w:p>
            <w:pPr>
              <w:spacing w:after="0"/>
              <w:rPr>
                <w:sz w:val="13"/>
                <w:szCs w:val="13"/>
                <w:color w:val="auto"/>
              </w:rPr>
            </w:pPr>
          </w:p>
        </w:tc>
        <w:tc>
          <w:tcPr>
            <w:tcW w:w="80" w:type="dxa"/>
            <w:vAlign w:val="bottom"/>
            <w:shd w:val="clear" w:color="auto" w:fill="EFF0F1"/>
          </w:tcPr>
          <w:p>
            <w:pPr>
              <w:spacing w:after="0"/>
              <w:rPr>
                <w:sz w:val="13"/>
                <w:szCs w:val="13"/>
                <w:color w:val="auto"/>
              </w:rPr>
            </w:pPr>
          </w:p>
        </w:tc>
        <w:tc>
          <w:tcPr>
            <w:tcW w:w="800" w:type="dxa"/>
            <w:vAlign w:val="bottom"/>
            <w:shd w:val="clear" w:color="auto" w:fill="EFF0F1"/>
          </w:tcPr>
          <w:p>
            <w:pPr>
              <w:spacing w:after="0"/>
              <w:rPr>
                <w:sz w:val="13"/>
                <w:szCs w:val="13"/>
                <w:color w:val="auto"/>
              </w:rPr>
            </w:pPr>
          </w:p>
        </w:tc>
        <w:tc>
          <w:tcPr>
            <w:tcW w:w="140" w:type="dxa"/>
            <w:vAlign w:val="bottom"/>
            <w:shd w:val="clear" w:color="auto" w:fill="EFF0F1"/>
          </w:tcPr>
          <w:p>
            <w:pPr>
              <w:spacing w:after="0"/>
              <w:rPr>
                <w:sz w:val="13"/>
                <w:szCs w:val="13"/>
                <w:color w:val="auto"/>
              </w:rPr>
            </w:pPr>
          </w:p>
        </w:tc>
        <w:tc>
          <w:tcPr>
            <w:tcW w:w="660" w:type="dxa"/>
            <w:vAlign w:val="bottom"/>
            <w:shd w:val="clear" w:color="auto" w:fill="EFF0F1"/>
          </w:tcPr>
          <w:p>
            <w:pPr>
              <w:spacing w:after="0"/>
              <w:rPr>
                <w:sz w:val="13"/>
                <w:szCs w:val="13"/>
                <w:color w:val="auto"/>
              </w:rPr>
            </w:pPr>
          </w:p>
        </w:tc>
        <w:tc>
          <w:tcPr>
            <w:tcW w:w="180" w:type="dxa"/>
            <w:vAlign w:val="bottom"/>
            <w:shd w:val="clear" w:color="auto" w:fill="EFF0F1"/>
          </w:tcPr>
          <w:p>
            <w:pPr>
              <w:spacing w:after="0"/>
              <w:rPr>
                <w:sz w:val="13"/>
                <w:szCs w:val="13"/>
                <w:color w:val="auto"/>
              </w:rPr>
            </w:pPr>
          </w:p>
        </w:tc>
        <w:tc>
          <w:tcPr>
            <w:tcW w:w="360" w:type="dxa"/>
            <w:vAlign w:val="bottom"/>
            <w:shd w:val="clear" w:color="auto" w:fill="EFF0F1"/>
          </w:tcPr>
          <w:p>
            <w:pPr>
              <w:spacing w:after="0"/>
              <w:rPr>
                <w:sz w:val="13"/>
                <w:szCs w:val="13"/>
                <w:color w:val="auto"/>
              </w:rPr>
            </w:pPr>
          </w:p>
        </w:tc>
        <w:tc>
          <w:tcPr>
            <w:tcW w:w="420" w:type="dxa"/>
            <w:vAlign w:val="bottom"/>
            <w:shd w:val="clear" w:color="auto" w:fill="EFF0F1"/>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60"/>
              <w:spacing w:after="0"/>
              <w:rPr>
                <w:sz w:val="20"/>
                <w:szCs w:val="20"/>
                <w:color w:val="auto"/>
              </w:rPr>
            </w:pPr>
            <w:r>
              <w:rPr>
                <w:rFonts w:ascii="Arial" w:cs="Arial" w:eastAsia="Arial" w:hAnsi="Arial"/>
                <w:sz w:val="14"/>
                <w:szCs w:val="14"/>
                <w:color w:val="41516E"/>
              </w:rPr>
              <w:t>Annual Incentive</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41516E"/>
              </w:rPr>
              <w:t>$</w:t>
            </w:r>
          </w:p>
        </w:tc>
        <w:tc>
          <w:tcPr>
            <w:tcW w:w="680" w:type="dxa"/>
            <w:vAlign w:val="bottom"/>
          </w:tcPr>
          <w:p>
            <w:pPr>
              <w:jc w:val="right"/>
              <w:spacing w:after="0"/>
              <w:rPr>
                <w:sz w:val="20"/>
                <w:szCs w:val="20"/>
                <w:color w:val="auto"/>
              </w:rPr>
            </w:pPr>
            <w:r>
              <w:rPr>
                <w:rFonts w:ascii="Arial" w:cs="Arial" w:eastAsia="Arial" w:hAnsi="Arial"/>
                <w:sz w:val="14"/>
                <w:szCs w:val="14"/>
                <w:color w:val="41516E"/>
              </w:rPr>
              <w:t>317,427</w:t>
            </w:r>
          </w:p>
        </w:tc>
        <w:tc>
          <w:tcPr>
            <w:tcW w:w="340" w:type="dxa"/>
            <w:vAlign w:val="bottom"/>
          </w:tcPr>
          <w:p>
            <w:pPr>
              <w:jc w:val="right"/>
              <w:spacing w:after="0"/>
              <w:rPr>
                <w:sz w:val="20"/>
                <w:szCs w:val="20"/>
                <w:color w:val="auto"/>
              </w:rPr>
            </w:pPr>
            <w:r>
              <w:rPr>
                <w:rFonts w:ascii="Arial" w:cs="Arial" w:eastAsia="Arial" w:hAnsi="Arial"/>
                <w:sz w:val="14"/>
                <w:szCs w:val="14"/>
                <w:color w:val="41516E"/>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41516E"/>
              </w:rPr>
              <w:t>793,568</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Performance Option</w:t>
            </w:r>
          </w:p>
        </w:tc>
        <w:tc>
          <w:tcPr>
            <w:tcW w:w="114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3/1/2023</w:t>
            </w:r>
          </w:p>
        </w:tc>
        <w:tc>
          <w:tcPr>
            <w:tcW w:w="880" w:type="dxa"/>
            <w:vAlign w:val="bottom"/>
            <w:gridSpan w:val="2"/>
            <w:shd w:val="clear" w:color="auto" w:fill="EFF0F1"/>
          </w:tcPr>
          <w:p>
            <w:pPr>
              <w:jc w:val="right"/>
              <w:spacing w:after="0" w:line="189" w:lineRule="exact"/>
              <w:rPr>
                <w:sz w:val="20"/>
                <w:szCs w:val="20"/>
                <w:color w:val="auto"/>
              </w:rPr>
            </w:pPr>
            <w:r>
              <w:rPr>
                <w:rFonts w:ascii="Arial" w:cs="Arial" w:eastAsia="Arial" w:hAnsi="Arial"/>
                <w:sz w:val="13"/>
                <w:szCs w:val="13"/>
                <w:color w:val="41516E"/>
              </w:rPr>
              <w:t>2/6/2023</w:t>
            </w:r>
            <w:r>
              <w:rPr>
                <w:rFonts w:ascii="Arial" w:cs="Arial" w:eastAsia="Arial" w:hAnsi="Arial"/>
                <w:sz w:val="21"/>
                <w:szCs w:val="21"/>
                <w:color w:val="41516E"/>
                <w:vertAlign w:val="superscript"/>
              </w:rPr>
              <w:t>(3)</w:t>
            </w:r>
          </w:p>
        </w:tc>
        <w:tc>
          <w:tcPr>
            <w:tcW w:w="60" w:type="dxa"/>
            <w:vAlign w:val="bottom"/>
            <w:shd w:val="clear" w:color="auto" w:fill="EFF0F1"/>
          </w:tcPr>
          <w:p>
            <w:pPr>
              <w:spacing w:after="0"/>
              <w:rPr>
                <w:sz w:val="16"/>
                <w:szCs w:val="16"/>
                <w:color w:val="auto"/>
              </w:rPr>
            </w:pPr>
          </w:p>
        </w:tc>
        <w:tc>
          <w:tcPr>
            <w:tcW w:w="100" w:type="dxa"/>
            <w:vAlign w:val="bottom"/>
            <w:shd w:val="clear" w:color="auto" w:fill="EFF0F1"/>
          </w:tcPr>
          <w:p>
            <w:pPr>
              <w:spacing w:after="0"/>
              <w:rPr>
                <w:sz w:val="16"/>
                <w:szCs w:val="16"/>
                <w:color w:val="auto"/>
              </w:rPr>
            </w:pPr>
          </w:p>
        </w:tc>
        <w:tc>
          <w:tcPr>
            <w:tcW w:w="680" w:type="dxa"/>
            <w:vAlign w:val="bottom"/>
            <w:shd w:val="clear" w:color="auto" w:fill="EFF0F1"/>
          </w:tcPr>
          <w:p>
            <w:pPr>
              <w:spacing w:after="0"/>
              <w:rPr>
                <w:sz w:val="16"/>
                <w:szCs w:val="16"/>
                <w:color w:val="auto"/>
              </w:rPr>
            </w:pPr>
          </w:p>
        </w:tc>
        <w:tc>
          <w:tcPr>
            <w:tcW w:w="340" w:type="dxa"/>
            <w:vAlign w:val="bottom"/>
            <w:shd w:val="clear" w:color="auto" w:fill="EFF0F1"/>
          </w:tcPr>
          <w:p>
            <w:pPr>
              <w:spacing w:after="0"/>
              <w:rPr>
                <w:sz w:val="16"/>
                <w:szCs w:val="16"/>
                <w:color w:val="auto"/>
              </w:rPr>
            </w:pPr>
          </w:p>
        </w:tc>
        <w:tc>
          <w:tcPr>
            <w:tcW w:w="840" w:type="dxa"/>
            <w:vAlign w:val="bottom"/>
            <w:shd w:val="clear" w:color="auto" w:fill="EFF0F1"/>
          </w:tcPr>
          <w:p>
            <w:pPr>
              <w:spacing w:after="0"/>
              <w:rPr>
                <w:sz w:val="16"/>
                <w:szCs w:val="16"/>
                <w:color w:val="auto"/>
              </w:rPr>
            </w:pPr>
          </w:p>
        </w:tc>
        <w:tc>
          <w:tcPr>
            <w:tcW w:w="860" w:type="dxa"/>
            <w:vAlign w:val="bottom"/>
            <w:shd w:val="clear" w:color="auto" w:fill="EFF0F1"/>
          </w:tcPr>
          <w:p>
            <w:pPr>
              <w:jc w:val="right"/>
              <w:ind w:right="12"/>
              <w:spacing w:after="0" w:line="189" w:lineRule="exact"/>
              <w:rPr>
                <w:sz w:val="20"/>
                <w:szCs w:val="20"/>
                <w:color w:val="auto"/>
              </w:rPr>
            </w:pPr>
            <w:r>
              <w:rPr>
                <w:rFonts w:ascii="Arial" w:cs="Arial" w:eastAsia="Arial" w:hAnsi="Arial"/>
                <w:sz w:val="13"/>
                <w:szCs w:val="13"/>
                <w:color w:val="41516E"/>
              </w:rPr>
              <w:t>1,697</w:t>
            </w:r>
            <w:r>
              <w:rPr>
                <w:rFonts w:ascii="Arial" w:cs="Arial" w:eastAsia="Arial" w:hAnsi="Arial"/>
                <w:sz w:val="21"/>
                <w:szCs w:val="21"/>
                <w:color w:val="41516E"/>
                <w:vertAlign w:val="superscript"/>
              </w:rPr>
              <w:t>(5)</w:t>
            </w:r>
          </w:p>
        </w:tc>
        <w:tc>
          <w:tcPr>
            <w:tcW w:w="900" w:type="dxa"/>
            <w:vAlign w:val="bottom"/>
            <w:shd w:val="clear" w:color="auto" w:fill="EFF0F1"/>
          </w:tcPr>
          <w:p>
            <w:pPr>
              <w:jc w:val="right"/>
              <w:spacing w:after="0" w:line="189" w:lineRule="exact"/>
              <w:rPr>
                <w:sz w:val="20"/>
                <w:szCs w:val="20"/>
                <w:color w:val="auto"/>
              </w:rPr>
            </w:pPr>
            <w:r>
              <w:rPr>
                <w:rFonts w:ascii="Arial" w:cs="Arial" w:eastAsia="Arial" w:hAnsi="Arial"/>
                <w:sz w:val="13"/>
                <w:szCs w:val="13"/>
                <w:color w:val="41516E"/>
              </w:rPr>
              <w:t>1,697</w:t>
            </w:r>
            <w:r>
              <w:rPr>
                <w:rFonts w:ascii="Arial" w:cs="Arial" w:eastAsia="Arial" w:hAnsi="Arial"/>
                <w:sz w:val="21"/>
                <w:szCs w:val="21"/>
                <w:color w:val="41516E"/>
                <w:vertAlign w:val="superscript"/>
              </w:rPr>
              <w:t>(5)</w:t>
            </w:r>
          </w:p>
        </w:tc>
        <w:tc>
          <w:tcPr>
            <w:tcW w:w="1080" w:type="dxa"/>
            <w:vAlign w:val="bottom"/>
            <w:shd w:val="clear" w:color="auto" w:fill="EFF0F1"/>
          </w:tcPr>
          <w:p>
            <w:pPr>
              <w:spacing w:after="0"/>
              <w:rPr>
                <w:sz w:val="16"/>
                <w:szCs w:val="16"/>
                <w:color w:val="auto"/>
              </w:rPr>
            </w:pPr>
          </w:p>
        </w:tc>
        <w:tc>
          <w:tcPr>
            <w:tcW w:w="80" w:type="dxa"/>
            <w:vAlign w:val="bottom"/>
            <w:shd w:val="clear" w:color="auto" w:fill="EFF0F1"/>
          </w:tcPr>
          <w:p>
            <w:pPr>
              <w:spacing w:after="0"/>
              <w:rPr>
                <w:sz w:val="20"/>
                <w:szCs w:val="20"/>
                <w:color w:val="auto"/>
              </w:rPr>
            </w:pPr>
            <w:r>
              <w:rPr>
                <w:rFonts w:ascii="Arial" w:cs="Arial" w:eastAsia="Arial" w:hAnsi="Arial"/>
                <w:sz w:val="14"/>
                <w:szCs w:val="14"/>
                <w:color w:val="41516E"/>
                <w:w w:val="76"/>
              </w:rPr>
              <w:t>$</w:t>
            </w:r>
          </w:p>
        </w:tc>
        <w:tc>
          <w:tcPr>
            <w:tcW w:w="800" w:type="dxa"/>
            <w:vAlign w:val="bottom"/>
            <w:shd w:val="clear" w:color="auto" w:fill="EFF0F1"/>
          </w:tcPr>
          <w:p>
            <w:pPr>
              <w:ind w:left="140"/>
              <w:spacing w:after="0" w:line="189" w:lineRule="exact"/>
              <w:rPr>
                <w:sz w:val="20"/>
                <w:szCs w:val="20"/>
                <w:color w:val="auto"/>
              </w:rPr>
            </w:pPr>
            <w:r>
              <w:rPr>
                <w:rFonts w:ascii="Arial" w:cs="Arial" w:eastAsia="Arial" w:hAnsi="Arial"/>
                <w:sz w:val="13"/>
                <w:szCs w:val="13"/>
                <w:color w:val="41516E"/>
              </w:rPr>
              <w:t>323.80</w:t>
            </w:r>
            <w:r>
              <w:rPr>
                <w:rFonts w:ascii="Arial" w:cs="Arial" w:eastAsia="Arial" w:hAnsi="Arial"/>
                <w:sz w:val="21"/>
                <w:szCs w:val="21"/>
                <w:color w:val="41516E"/>
                <w:vertAlign w:val="superscript"/>
              </w:rPr>
              <w:t>(3)</w:t>
            </w:r>
          </w:p>
        </w:tc>
        <w:tc>
          <w:tcPr>
            <w:tcW w:w="14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66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323.80</w:t>
            </w:r>
          </w:p>
        </w:tc>
        <w:tc>
          <w:tcPr>
            <w:tcW w:w="180" w:type="dxa"/>
            <w:vAlign w:val="bottom"/>
            <w:shd w:val="clear" w:color="auto" w:fill="EFF0F1"/>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gridSpan w:val="2"/>
            <w:shd w:val="clear" w:color="auto" w:fill="EFF0F1"/>
          </w:tcPr>
          <w:p>
            <w:pPr>
              <w:jc w:val="right"/>
              <w:ind w:right="19"/>
              <w:spacing w:after="0"/>
              <w:rPr>
                <w:sz w:val="20"/>
                <w:szCs w:val="20"/>
                <w:color w:val="auto"/>
              </w:rPr>
            </w:pPr>
            <w:r>
              <w:rPr>
                <w:rFonts w:ascii="Arial" w:cs="Arial" w:eastAsia="Arial" w:hAnsi="Arial"/>
                <w:sz w:val="14"/>
                <w:szCs w:val="14"/>
                <w:color w:val="41516E"/>
              </w:rPr>
              <w:t>275,162</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41516E"/>
            </w:tcBorders>
          </w:tcPr>
          <w:p>
            <w:pPr>
              <w:ind w:left="60"/>
              <w:spacing w:after="0"/>
              <w:rPr>
                <w:sz w:val="20"/>
                <w:szCs w:val="20"/>
                <w:color w:val="auto"/>
              </w:rPr>
            </w:pPr>
            <w:r>
              <w:rPr>
                <w:rFonts w:ascii="Arial" w:cs="Arial" w:eastAsia="Arial" w:hAnsi="Arial"/>
                <w:sz w:val="14"/>
                <w:szCs w:val="14"/>
                <w:color w:val="41516E"/>
              </w:rPr>
              <w:t>RSU</w:t>
            </w:r>
          </w:p>
        </w:tc>
        <w:tc>
          <w:tcPr>
            <w:tcW w:w="114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color w:val="41516E"/>
              </w:rPr>
              <w:t>3/1/2023</w:t>
            </w:r>
          </w:p>
        </w:tc>
        <w:tc>
          <w:tcPr>
            <w:tcW w:w="880" w:type="dxa"/>
            <w:vAlign w:val="bottom"/>
            <w:tcBorders>
              <w:bottom w:val="single" w:sz="8" w:color="41516E"/>
            </w:tcBorders>
            <w:gridSpan w:val="2"/>
          </w:tcPr>
          <w:p>
            <w:pPr>
              <w:jc w:val="right"/>
              <w:spacing w:after="0" w:line="189" w:lineRule="exact"/>
              <w:rPr>
                <w:sz w:val="20"/>
                <w:szCs w:val="20"/>
                <w:color w:val="auto"/>
              </w:rPr>
            </w:pPr>
            <w:r>
              <w:rPr>
                <w:rFonts w:ascii="Arial" w:cs="Arial" w:eastAsia="Arial" w:hAnsi="Arial"/>
                <w:sz w:val="13"/>
                <w:szCs w:val="13"/>
                <w:color w:val="41516E"/>
              </w:rPr>
              <w:t>2/6/2023</w:t>
            </w:r>
            <w:r>
              <w:rPr>
                <w:rFonts w:ascii="Arial" w:cs="Arial" w:eastAsia="Arial" w:hAnsi="Arial"/>
                <w:sz w:val="21"/>
                <w:szCs w:val="21"/>
                <w:color w:val="41516E"/>
                <w:vertAlign w:val="superscript"/>
              </w:rPr>
              <w:t>(3)</w:t>
            </w:r>
          </w:p>
        </w:tc>
        <w:tc>
          <w:tcPr>
            <w:tcW w:w="60" w:type="dxa"/>
            <w:vAlign w:val="bottom"/>
            <w:tcBorders>
              <w:bottom w:val="single" w:sz="8" w:color="41516E"/>
            </w:tcBorders>
          </w:tcPr>
          <w:p>
            <w:pPr>
              <w:spacing w:after="0"/>
              <w:rPr>
                <w:sz w:val="16"/>
                <w:szCs w:val="16"/>
                <w:color w:val="auto"/>
              </w:rPr>
            </w:pPr>
          </w:p>
        </w:tc>
        <w:tc>
          <w:tcPr>
            <w:tcW w:w="100" w:type="dxa"/>
            <w:vAlign w:val="bottom"/>
            <w:tcBorders>
              <w:bottom w:val="single" w:sz="8" w:color="41516E"/>
            </w:tcBorders>
          </w:tcPr>
          <w:p>
            <w:pPr>
              <w:spacing w:after="0"/>
              <w:rPr>
                <w:sz w:val="16"/>
                <w:szCs w:val="16"/>
                <w:color w:val="auto"/>
              </w:rPr>
            </w:pPr>
          </w:p>
        </w:tc>
        <w:tc>
          <w:tcPr>
            <w:tcW w:w="680" w:type="dxa"/>
            <w:vAlign w:val="bottom"/>
            <w:tcBorders>
              <w:bottom w:val="single" w:sz="8" w:color="41516E"/>
            </w:tcBorders>
          </w:tcPr>
          <w:p>
            <w:pPr>
              <w:spacing w:after="0"/>
              <w:rPr>
                <w:sz w:val="16"/>
                <w:szCs w:val="16"/>
                <w:color w:val="auto"/>
              </w:rPr>
            </w:pPr>
          </w:p>
        </w:tc>
        <w:tc>
          <w:tcPr>
            <w:tcW w:w="340" w:type="dxa"/>
            <w:vAlign w:val="bottom"/>
            <w:tcBorders>
              <w:bottom w:val="single" w:sz="8" w:color="41516E"/>
            </w:tcBorders>
          </w:tcPr>
          <w:p>
            <w:pPr>
              <w:spacing w:after="0"/>
              <w:rPr>
                <w:sz w:val="16"/>
                <w:szCs w:val="16"/>
                <w:color w:val="auto"/>
              </w:rPr>
            </w:pPr>
          </w:p>
        </w:tc>
        <w:tc>
          <w:tcPr>
            <w:tcW w:w="840" w:type="dxa"/>
            <w:vAlign w:val="bottom"/>
            <w:tcBorders>
              <w:bottom w:val="single" w:sz="8" w:color="41516E"/>
            </w:tcBorders>
          </w:tcPr>
          <w:p>
            <w:pPr>
              <w:spacing w:after="0"/>
              <w:rPr>
                <w:sz w:val="16"/>
                <w:szCs w:val="16"/>
                <w:color w:val="auto"/>
              </w:rPr>
            </w:pPr>
          </w:p>
        </w:tc>
        <w:tc>
          <w:tcPr>
            <w:tcW w:w="860" w:type="dxa"/>
            <w:vAlign w:val="bottom"/>
            <w:tcBorders>
              <w:bottom w:val="single" w:sz="8" w:color="41516E"/>
            </w:tcBorders>
          </w:tcPr>
          <w:p>
            <w:pPr>
              <w:spacing w:after="0"/>
              <w:rPr>
                <w:sz w:val="16"/>
                <w:szCs w:val="16"/>
                <w:color w:val="auto"/>
              </w:rPr>
            </w:pPr>
          </w:p>
        </w:tc>
        <w:tc>
          <w:tcPr>
            <w:tcW w:w="900" w:type="dxa"/>
            <w:vAlign w:val="bottom"/>
            <w:tcBorders>
              <w:bottom w:val="single" w:sz="8" w:color="41516E"/>
            </w:tcBorders>
          </w:tcPr>
          <w:p>
            <w:pPr>
              <w:spacing w:after="0"/>
              <w:rPr>
                <w:sz w:val="16"/>
                <w:szCs w:val="16"/>
                <w:color w:val="auto"/>
              </w:rPr>
            </w:pPr>
          </w:p>
        </w:tc>
        <w:tc>
          <w:tcPr>
            <w:tcW w:w="1080" w:type="dxa"/>
            <w:vAlign w:val="bottom"/>
            <w:tcBorders>
              <w:bottom w:val="single" w:sz="8" w:color="41516E"/>
            </w:tcBorders>
          </w:tcPr>
          <w:p>
            <w:pPr>
              <w:jc w:val="right"/>
              <w:ind w:right="208"/>
              <w:spacing w:after="0"/>
              <w:rPr>
                <w:sz w:val="20"/>
                <w:szCs w:val="20"/>
                <w:color w:val="auto"/>
              </w:rPr>
            </w:pPr>
            <w:r>
              <w:rPr>
                <w:rFonts w:ascii="Arial" w:cs="Arial" w:eastAsia="Arial" w:hAnsi="Arial"/>
                <w:sz w:val="14"/>
                <w:szCs w:val="14"/>
                <w:color w:val="41516E"/>
              </w:rPr>
              <w:t>850</w:t>
            </w:r>
          </w:p>
        </w:tc>
        <w:tc>
          <w:tcPr>
            <w:tcW w:w="80" w:type="dxa"/>
            <w:vAlign w:val="bottom"/>
            <w:tcBorders>
              <w:bottom w:val="single" w:sz="8" w:color="41516E"/>
            </w:tcBorders>
          </w:tcPr>
          <w:p>
            <w:pPr>
              <w:spacing w:after="0"/>
              <w:rPr>
                <w:sz w:val="16"/>
                <w:szCs w:val="16"/>
                <w:color w:val="auto"/>
              </w:rPr>
            </w:pPr>
          </w:p>
        </w:tc>
        <w:tc>
          <w:tcPr>
            <w:tcW w:w="800" w:type="dxa"/>
            <w:vAlign w:val="bottom"/>
            <w:tcBorders>
              <w:bottom w:val="single" w:sz="8" w:color="41516E"/>
            </w:tcBorders>
          </w:tcPr>
          <w:p>
            <w:pPr>
              <w:spacing w:after="0"/>
              <w:rPr>
                <w:sz w:val="16"/>
                <w:szCs w:val="16"/>
                <w:color w:val="auto"/>
              </w:rPr>
            </w:pPr>
          </w:p>
        </w:tc>
        <w:tc>
          <w:tcPr>
            <w:tcW w:w="140" w:type="dxa"/>
            <w:vAlign w:val="bottom"/>
            <w:tcBorders>
              <w:bottom w:val="single" w:sz="8" w:color="41516E"/>
            </w:tcBorders>
          </w:tcPr>
          <w:p>
            <w:pPr>
              <w:spacing w:after="0"/>
              <w:rPr>
                <w:sz w:val="16"/>
                <w:szCs w:val="16"/>
                <w:color w:val="auto"/>
              </w:rPr>
            </w:pPr>
          </w:p>
        </w:tc>
        <w:tc>
          <w:tcPr>
            <w:tcW w:w="660" w:type="dxa"/>
            <w:vAlign w:val="bottom"/>
            <w:tcBorders>
              <w:bottom w:val="single" w:sz="8" w:color="41516E"/>
            </w:tcBorders>
          </w:tcPr>
          <w:p>
            <w:pPr>
              <w:spacing w:after="0"/>
              <w:rPr>
                <w:sz w:val="16"/>
                <w:szCs w:val="16"/>
                <w:color w:val="auto"/>
              </w:rPr>
            </w:pPr>
          </w:p>
        </w:tc>
        <w:tc>
          <w:tcPr>
            <w:tcW w:w="180" w:type="dxa"/>
            <w:vAlign w:val="bottom"/>
            <w:tcBorders>
              <w:bottom w:val="single" w:sz="8" w:color="41516E"/>
            </w:tcBorders>
          </w:tcPr>
          <w:p>
            <w:pPr>
              <w:ind w:left="100"/>
              <w:spacing w:after="0"/>
              <w:rPr>
                <w:sz w:val="20"/>
                <w:szCs w:val="20"/>
                <w:color w:val="auto"/>
              </w:rPr>
            </w:pPr>
            <w:r>
              <w:rPr>
                <w:rFonts w:ascii="Arial" w:cs="Arial" w:eastAsia="Arial" w:hAnsi="Arial"/>
                <w:sz w:val="14"/>
                <w:szCs w:val="14"/>
                <w:color w:val="41516E"/>
                <w:w w:val="76"/>
              </w:rPr>
              <w:t>$</w:t>
            </w:r>
          </w:p>
        </w:tc>
        <w:tc>
          <w:tcPr>
            <w:tcW w:w="780" w:type="dxa"/>
            <w:vAlign w:val="bottom"/>
            <w:tcBorders>
              <w:bottom w:val="single" w:sz="8" w:color="41516E"/>
            </w:tcBorders>
            <w:gridSpan w:val="2"/>
          </w:tcPr>
          <w:p>
            <w:pPr>
              <w:jc w:val="right"/>
              <w:ind w:right="19"/>
              <w:spacing w:after="0"/>
              <w:rPr>
                <w:sz w:val="20"/>
                <w:szCs w:val="20"/>
                <w:color w:val="auto"/>
              </w:rPr>
            </w:pPr>
            <w:r>
              <w:rPr>
                <w:rFonts w:ascii="Arial" w:cs="Arial" w:eastAsia="Arial" w:hAnsi="Arial"/>
                <w:sz w:val="14"/>
                <w:szCs w:val="14"/>
                <w:color w:val="41516E"/>
              </w:rPr>
              <w:t>275,230</w:t>
            </w:r>
          </w:p>
        </w:tc>
        <w:tc>
          <w:tcPr>
            <w:tcW w:w="0" w:type="dxa"/>
            <w:vAlign w:val="bottom"/>
          </w:tcPr>
          <w:p>
            <w:pPr>
              <w:spacing w:after="0"/>
              <w:rPr>
                <w:sz w:val="1"/>
                <w:szCs w:val="1"/>
                <w:color w:val="auto"/>
              </w:rPr>
            </w:pPr>
          </w:p>
        </w:tc>
      </w:tr>
      <w:tr>
        <w:trPr>
          <w:trHeight w:val="372"/>
        </w:trPr>
        <w:tc>
          <w:tcPr>
            <w:tcW w:w="1720" w:type="dxa"/>
            <w:vAlign w:val="bottom"/>
            <w:tcBorders>
              <w:bottom w:val="single" w:sz="8" w:color="41516E"/>
            </w:tcBorders>
          </w:tcPr>
          <w:p>
            <w:pPr>
              <w:spacing w:after="0"/>
              <w:rPr>
                <w:sz w:val="24"/>
                <w:szCs w:val="24"/>
                <w:color w:val="auto"/>
              </w:rPr>
            </w:pPr>
          </w:p>
        </w:tc>
        <w:tc>
          <w:tcPr>
            <w:tcW w:w="1140" w:type="dxa"/>
            <w:vAlign w:val="bottom"/>
            <w:tcBorders>
              <w:bottom w:val="single" w:sz="8" w:color="41516E"/>
            </w:tcBorders>
          </w:tcPr>
          <w:p>
            <w:pPr>
              <w:spacing w:after="0"/>
              <w:rPr>
                <w:sz w:val="24"/>
                <w:szCs w:val="24"/>
                <w:color w:val="auto"/>
              </w:rPr>
            </w:pPr>
          </w:p>
        </w:tc>
        <w:tc>
          <w:tcPr>
            <w:tcW w:w="800" w:type="dxa"/>
            <w:vAlign w:val="bottom"/>
            <w:tcBorders>
              <w:bottom w:val="single" w:sz="8" w:color="41516E"/>
            </w:tcBorders>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6"/>
            <w:vMerge w:val="restart"/>
          </w:tcPr>
          <w:p>
            <w:pPr>
              <w:jc w:val="right"/>
              <w:spacing w:after="0"/>
              <w:rPr>
                <w:sz w:val="20"/>
                <w:szCs w:val="20"/>
                <w:color w:val="auto"/>
              </w:rPr>
            </w:pPr>
            <w:r>
              <w:rPr>
                <w:rFonts w:ascii="Arial" w:cs="Arial" w:eastAsia="Arial" w:hAnsi="Arial"/>
                <w:sz w:val="16"/>
                <w:szCs w:val="16"/>
                <w:b w:val="1"/>
                <w:bCs w:val="1"/>
                <w:color w:val="41516E"/>
                <w:w w:val="99"/>
              </w:rPr>
              <w:t>THE BOSTON BEER COMPANY, INC.</w:t>
            </w:r>
          </w:p>
        </w:tc>
        <w:tc>
          <w:tcPr>
            <w:tcW w:w="1980" w:type="dxa"/>
            <w:vAlign w:val="bottom"/>
            <w:gridSpan w:val="2"/>
            <w:vMerge w:val="restart"/>
          </w:tcPr>
          <w:p>
            <w:pPr>
              <w:jc w:val="right"/>
              <w:ind w:right="28"/>
              <w:spacing w:after="0"/>
              <w:rPr>
                <w:sz w:val="20"/>
                <w:szCs w:val="20"/>
                <w:color w:val="auto"/>
              </w:rPr>
            </w:pPr>
            <w:r>
              <w:rPr>
                <w:rFonts w:ascii="Arial" w:cs="Arial" w:eastAsia="Arial" w:hAnsi="Arial"/>
                <w:sz w:val="16"/>
                <w:szCs w:val="16"/>
                <w:b w:val="1"/>
                <w:bCs w:val="1"/>
                <w:color w:val="41516E"/>
              </w:rPr>
              <w:t xml:space="preserve">2024 </w:t>
            </w:r>
            <w:r>
              <w:rPr>
                <w:rFonts w:ascii="Arial" w:cs="Arial" w:eastAsia="Arial" w:hAnsi="Arial"/>
                <w:sz w:val="16"/>
                <w:szCs w:val="16"/>
                <w:color w:val="41516E"/>
              </w:rPr>
              <w:t>Proxy Statement</w:t>
            </w:r>
          </w:p>
        </w:tc>
        <w:tc>
          <w:tcPr>
            <w:tcW w:w="80" w:type="dxa"/>
            <w:vAlign w:val="bottom"/>
            <w:tcBorders>
              <w:bottom w:val="single" w:sz="8" w:color="41516E"/>
            </w:tcBorders>
          </w:tcPr>
          <w:p>
            <w:pPr>
              <w:spacing w:after="0"/>
              <w:rPr>
                <w:sz w:val="24"/>
                <w:szCs w:val="24"/>
                <w:color w:val="auto"/>
              </w:rPr>
            </w:pPr>
          </w:p>
        </w:tc>
        <w:tc>
          <w:tcPr>
            <w:tcW w:w="800" w:type="dxa"/>
            <w:vAlign w:val="bottom"/>
            <w:tcBorders>
              <w:bottom w:val="single" w:sz="8" w:color="41516E"/>
            </w:tcBorders>
          </w:tcPr>
          <w:p>
            <w:pPr>
              <w:spacing w:after="0"/>
              <w:rPr>
                <w:sz w:val="24"/>
                <w:szCs w:val="24"/>
                <w:color w:val="auto"/>
              </w:rPr>
            </w:pPr>
          </w:p>
        </w:tc>
        <w:tc>
          <w:tcPr>
            <w:tcW w:w="140" w:type="dxa"/>
            <w:vAlign w:val="bottom"/>
            <w:tcBorders>
              <w:bottom w:val="single" w:sz="8" w:color="41516E"/>
            </w:tcBorders>
          </w:tcPr>
          <w:p>
            <w:pPr>
              <w:spacing w:after="0"/>
              <w:rPr>
                <w:sz w:val="24"/>
                <w:szCs w:val="24"/>
                <w:color w:val="auto"/>
              </w:rPr>
            </w:pPr>
          </w:p>
        </w:tc>
        <w:tc>
          <w:tcPr>
            <w:tcW w:w="660" w:type="dxa"/>
            <w:vAlign w:val="bottom"/>
            <w:tcBorders>
              <w:bottom w:val="single" w:sz="8" w:color="41516E"/>
            </w:tcBorders>
          </w:tcPr>
          <w:p>
            <w:pPr>
              <w:spacing w:after="0"/>
              <w:rPr>
                <w:sz w:val="24"/>
                <w:szCs w:val="24"/>
                <w:color w:val="auto"/>
              </w:rPr>
            </w:pPr>
          </w:p>
        </w:tc>
        <w:tc>
          <w:tcPr>
            <w:tcW w:w="180" w:type="dxa"/>
            <w:vAlign w:val="bottom"/>
            <w:tcBorders>
              <w:bottom w:val="single" w:sz="8" w:color="41516E"/>
            </w:tcBorders>
          </w:tcPr>
          <w:p>
            <w:pPr>
              <w:spacing w:after="0"/>
              <w:rPr>
                <w:sz w:val="24"/>
                <w:szCs w:val="24"/>
                <w:color w:val="auto"/>
              </w:rPr>
            </w:pPr>
          </w:p>
        </w:tc>
        <w:tc>
          <w:tcPr>
            <w:tcW w:w="360" w:type="dxa"/>
            <w:vAlign w:val="bottom"/>
            <w:tcBorders>
              <w:bottom w:val="single" w:sz="8" w:color="41516E"/>
            </w:tcBorders>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41</w:t>
            </w:r>
          </w:p>
        </w:tc>
        <w:tc>
          <w:tcPr>
            <w:tcW w:w="0" w:type="dxa"/>
            <w:vAlign w:val="bottom"/>
          </w:tcPr>
          <w:p>
            <w:pPr>
              <w:spacing w:after="0"/>
              <w:rPr>
                <w:sz w:val="1"/>
                <w:szCs w:val="1"/>
                <w:color w:val="auto"/>
              </w:rPr>
            </w:pPr>
          </w:p>
        </w:tc>
      </w:tr>
      <w:tr>
        <w:trPr>
          <w:trHeight w:val="80"/>
        </w:trPr>
        <w:tc>
          <w:tcPr>
            <w:tcW w:w="17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6"/>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1720" w:type="dxa"/>
            <w:vAlign w:val="bottom"/>
            <w:tcBorders>
              <w:bottom w:val="single" w:sz="8" w:color="C0C0C0"/>
            </w:tcBorders>
          </w:tcPr>
          <w:p>
            <w:pPr>
              <w:spacing w:after="0"/>
              <w:rPr>
                <w:sz w:val="24"/>
                <w:szCs w:val="24"/>
                <w:color w:val="auto"/>
              </w:rPr>
            </w:pPr>
          </w:p>
        </w:tc>
        <w:tc>
          <w:tcPr>
            <w:tcW w:w="114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6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840" w:type="dxa"/>
            <w:vAlign w:val="bottom"/>
            <w:tcBorders>
              <w:bottom w:val="single" w:sz="8" w:color="C0C0C0"/>
            </w:tcBorders>
          </w:tcPr>
          <w:p>
            <w:pPr>
              <w:spacing w:after="0"/>
              <w:rPr>
                <w:sz w:val="24"/>
                <w:szCs w:val="24"/>
                <w:color w:val="auto"/>
              </w:rPr>
            </w:pPr>
          </w:p>
        </w:tc>
        <w:tc>
          <w:tcPr>
            <w:tcW w:w="86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108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660" w:type="dxa"/>
            <w:vAlign w:val="bottom"/>
            <w:tcBorders>
              <w:bottom w:val="single" w:sz="8" w:color="C0C0C0"/>
            </w:tcBorders>
          </w:tcPr>
          <w:p>
            <w:pPr>
              <w:spacing w:after="0"/>
              <w:rPr>
                <w:sz w:val="24"/>
                <w:szCs w:val="24"/>
                <w:color w:val="auto"/>
              </w:rPr>
            </w:pPr>
          </w:p>
        </w:tc>
        <w:tc>
          <w:tcPr>
            <w:tcW w:w="180" w:type="dxa"/>
            <w:vAlign w:val="bottom"/>
            <w:tcBorders>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-402590</wp:posOffset>
            </wp:positionV>
            <wp:extent cx="8572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9" w:lineRule="exact"/>
        <w:rPr>
          <w:sz w:val="20"/>
          <w:szCs w:val="20"/>
          <w:color w:val="auto"/>
        </w:rPr>
      </w:pPr>
    </w:p>
    <w:p>
      <w:pPr>
        <w:jc w:val="both"/>
        <w:ind w:left="340" w:hanging="332"/>
        <w:spacing w:after="0" w:line="261" w:lineRule="auto"/>
        <w:tabs>
          <w:tab w:leader="none" w:pos="340" w:val="left"/>
        </w:tabs>
        <w:numPr>
          <w:ilvl w:val="0"/>
          <w:numId w:val="20"/>
        </w:numPr>
        <w:rPr>
          <w:rFonts w:ascii="Arial" w:cs="Arial" w:eastAsia="Arial" w:hAnsi="Arial"/>
          <w:sz w:val="14"/>
          <w:szCs w:val="14"/>
          <w:i w:val="1"/>
          <w:iCs w:val="1"/>
          <w:color w:val="41516E"/>
        </w:rPr>
      </w:pPr>
      <w:r>
        <w:rPr>
          <w:rFonts w:ascii="Arial" w:cs="Arial" w:eastAsia="Arial" w:hAnsi="Arial"/>
          <w:sz w:val="14"/>
          <w:szCs w:val="14"/>
          <w:i w:val="1"/>
          <w:iCs w:val="1"/>
          <w:color w:val="41516E"/>
        </w:rPr>
        <w:t>Bonus payouts are determined in accordance with a scale that provides for between 0% and 250% payout. The target represents 100% payout for full achievement of the performance goals, whereas the maximum represents 250% payout for achievement above the performance goals. Nevertheless, the Compensation Committee has the discretion to adjust the actual payout upon evaluation of overall achievement.</w:t>
      </w:r>
    </w:p>
    <w:p>
      <w:pPr>
        <w:spacing w:after="0" w:line="14" w:lineRule="exact"/>
        <w:rPr>
          <w:rFonts w:ascii="Arial" w:cs="Arial" w:eastAsia="Arial" w:hAnsi="Arial"/>
          <w:sz w:val="14"/>
          <w:szCs w:val="14"/>
          <w:i w:val="1"/>
          <w:iCs w:val="1"/>
          <w:color w:val="41516E"/>
        </w:rPr>
      </w:pPr>
    </w:p>
    <w:p>
      <w:pPr>
        <w:jc w:val="both"/>
        <w:ind w:left="340" w:hanging="332"/>
        <w:spacing w:after="0" w:line="261" w:lineRule="auto"/>
        <w:tabs>
          <w:tab w:leader="none" w:pos="340" w:val="left"/>
        </w:tabs>
        <w:numPr>
          <w:ilvl w:val="0"/>
          <w:numId w:val="20"/>
        </w:numPr>
        <w:rPr>
          <w:rFonts w:ascii="Arial" w:cs="Arial" w:eastAsia="Arial" w:hAnsi="Arial"/>
          <w:sz w:val="14"/>
          <w:szCs w:val="14"/>
          <w:i w:val="1"/>
          <w:iCs w:val="1"/>
          <w:color w:val="41516E"/>
        </w:rPr>
      </w:pPr>
      <w:r>
        <w:rPr>
          <w:rFonts w:ascii="Arial" w:cs="Arial" w:eastAsia="Arial" w:hAnsi="Arial"/>
          <w:sz w:val="14"/>
          <w:szCs w:val="14"/>
          <w:i w:val="1"/>
          <w:iCs w:val="1"/>
          <w:color w:val="41516E"/>
        </w:rPr>
        <w:t>Reflects the dollar amount of the aggregate grant date fair value of awards granted during the fiscal year as computed in accordance with ASC 718. The method and assumptions used in valuing the equity awards in accordance with ASC 718 are described in Notes C and O to the Company’s audited financial statements for Fiscal Year 2023, included in the Company’s Annual Report on Form 10-K filed with the SEC on February 27, 2024.</w:t>
      </w:r>
    </w:p>
    <w:p>
      <w:pPr>
        <w:spacing w:after="0" w:line="14"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20"/>
        </w:numPr>
        <w:rPr>
          <w:rFonts w:ascii="Arial" w:cs="Arial" w:eastAsia="Arial" w:hAnsi="Arial"/>
          <w:sz w:val="14"/>
          <w:szCs w:val="14"/>
          <w:i w:val="1"/>
          <w:iCs w:val="1"/>
          <w:color w:val="41516E"/>
        </w:rPr>
      </w:pPr>
      <w:r>
        <w:rPr>
          <w:rFonts w:ascii="Arial" w:cs="Arial" w:eastAsia="Arial" w:hAnsi="Arial"/>
          <w:sz w:val="14"/>
          <w:szCs w:val="14"/>
          <w:i w:val="1"/>
          <w:iCs w:val="1"/>
          <w:color w:val="41516E"/>
        </w:rPr>
        <w:t>On February 6, 2023, upon the recommendation of the Compensation Committee, the Board of Directors granted the above stock options effective as of March 1, 2023, with an exercise price equal to the closing price of the Company’s stock on the last trading day immediately prior to the grant date.</w:t>
      </w:r>
    </w:p>
    <w:p>
      <w:pPr>
        <w:spacing w:after="0" w:line="1" w:lineRule="exact"/>
        <w:rPr>
          <w:rFonts w:ascii="Arial" w:cs="Arial" w:eastAsia="Arial" w:hAnsi="Arial"/>
          <w:sz w:val="14"/>
          <w:szCs w:val="14"/>
          <w:i w:val="1"/>
          <w:iCs w:val="1"/>
          <w:color w:val="41516E"/>
        </w:rPr>
      </w:pPr>
    </w:p>
    <w:p>
      <w:pPr>
        <w:jc w:val="both"/>
        <w:ind w:left="340" w:hanging="332"/>
        <w:spacing w:after="0" w:line="255" w:lineRule="auto"/>
        <w:tabs>
          <w:tab w:leader="none" w:pos="340" w:val="left"/>
        </w:tabs>
        <w:numPr>
          <w:ilvl w:val="0"/>
          <w:numId w:val="20"/>
        </w:numPr>
        <w:rPr>
          <w:rFonts w:ascii="Arial" w:cs="Arial" w:eastAsia="Arial" w:hAnsi="Arial"/>
          <w:sz w:val="14"/>
          <w:szCs w:val="14"/>
          <w:i w:val="1"/>
          <w:iCs w:val="1"/>
          <w:color w:val="41516E"/>
        </w:rPr>
      </w:pPr>
      <w:r>
        <w:rPr>
          <w:rFonts w:ascii="Arial" w:cs="Arial" w:eastAsia="Arial" w:hAnsi="Arial"/>
          <w:sz w:val="14"/>
          <w:szCs w:val="14"/>
          <w:i w:val="1"/>
          <w:iCs w:val="1"/>
          <w:color w:val="41516E"/>
        </w:rPr>
        <w:t>The option vests at 33% on March 1, 2025 and 67% on March 1, 2026 provided certain criteria are met. The vesting of each option is contingent on the Company achieving certain performance criteria. If the compounded annual growth rate of the Company’s net revenue in 2024 over 2022 is equal to or greater than -5.5%, but less than 2%, 50% of the number of shares will be eligible to vest in accordance with the vesting schedule. If the compounded annual growth rate of the Company’s net revenue in 2024 over 2022 is equal to or greater than 2%, 100% of the number of shares shall be eligible to vest in accordance with the vesting schedule.</w:t>
      </w:r>
    </w:p>
    <w:p>
      <w:pPr>
        <w:spacing w:after="0" w:line="17" w:lineRule="exact"/>
        <w:rPr>
          <w:rFonts w:ascii="Arial" w:cs="Arial" w:eastAsia="Arial" w:hAnsi="Arial"/>
          <w:sz w:val="14"/>
          <w:szCs w:val="14"/>
          <w:i w:val="1"/>
          <w:iCs w:val="1"/>
          <w:color w:val="41516E"/>
        </w:rPr>
      </w:pPr>
    </w:p>
    <w:p>
      <w:pPr>
        <w:jc w:val="both"/>
        <w:ind w:left="340" w:hanging="332"/>
        <w:spacing w:after="0" w:line="255" w:lineRule="auto"/>
        <w:tabs>
          <w:tab w:leader="none" w:pos="340" w:val="left"/>
        </w:tabs>
        <w:numPr>
          <w:ilvl w:val="0"/>
          <w:numId w:val="20"/>
        </w:numPr>
        <w:rPr>
          <w:rFonts w:ascii="Arial" w:cs="Arial" w:eastAsia="Arial" w:hAnsi="Arial"/>
          <w:sz w:val="14"/>
          <w:szCs w:val="14"/>
          <w:i w:val="1"/>
          <w:iCs w:val="1"/>
          <w:color w:val="41516E"/>
        </w:rPr>
      </w:pPr>
      <w:r>
        <w:rPr>
          <w:rFonts w:ascii="Arial" w:cs="Arial" w:eastAsia="Arial" w:hAnsi="Arial"/>
          <w:sz w:val="14"/>
          <w:szCs w:val="14"/>
          <w:i w:val="1"/>
          <w:iCs w:val="1"/>
          <w:color w:val="41516E"/>
        </w:rPr>
        <w:t>The option vests at 33.3% per year starting on March 1, 2025, provided certain criteria are met. The vesting of each option is contingent on the Company achieving certain performance criteria. If the compounded annual growth rate of the Company’s net revenue in 2024 over 2022 is equal to or greater than -5.5%, but less than 2%, 50% of the number of shares will be eligible to vest in accordance with the vesting schedule. If the compounded annual growth rate of the Company’s net revenue in 2024 over 2022 is equal to or greater than 2%, 100% of the number of shares shall be eligible to vest in accordance with the vesting schedule.</w:t>
      </w:r>
    </w:p>
    <w:p>
      <w:pPr>
        <w:spacing w:after="0" w:line="17" w:lineRule="exact"/>
        <w:rPr>
          <w:rFonts w:ascii="Arial" w:cs="Arial" w:eastAsia="Arial" w:hAnsi="Arial"/>
          <w:sz w:val="14"/>
          <w:szCs w:val="14"/>
          <w:i w:val="1"/>
          <w:iCs w:val="1"/>
          <w:color w:val="41516E"/>
        </w:rPr>
      </w:pPr>
    </w:p>
    <w:p>
      <w:pPr>
        <w:ind w:left="340" w:hanging="332"/>
        <w:spacing w:after="0"/>
        <w:tabs>
          <w:tab w:leader="none" w:pos="340" w:val="left"/>
        </w:tabs>
        <w:numPr>
          <w:ilvl w:val="0"/>
          <w:numId w:val="20"/>
        </w:numPr>
        <w:rPr>
          <w:rFonts w:ascii="Arial" w:cs="Arial" w:eastAsia="Arial" w:hAnsi="Arial"/>
          <w:sz w:val="14"/>
          <w:szCs w:val="14"/>
          <w:i w:val="1"/>
          <w:iCs w:val="1"/>
          <w:color w:val="41516E"/>
        </w:rPr>
      </w:pPr>
      <w:r>
        <w:rPr>
          <w:rFonts w:ascii="Arial" w:cs="Arial" w:eastAsia="Arial" w:hAnsi="Arial"/>
          <w:sz w:val="14"/>
          <w:szCs w:val="14"/>
          <w:i w:val="1"/>
          <w:iCs w:val="1"/>
          <w:color w:val="41516E"/>
        </w:rPr>
        <w:t>On May 3, 2023, upon the recommendation of the Compensation Committee, the Board of Directors approved the above stock option as part of an offer letter.</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20"/>
        </w:numPr>
        <w:rPr>
          <w:rFonts w:ascii="Arial" w:cs="Arial" w:eastAsia="Arial" w:hAnsi="Arial"/>
          <w:sz w:val="14"/>
          <w:szCs w:val="14"/>
          <w:i w:val="1"/>
          <w:iCs w:val="1"/>
          <w:color w:val="41516E"/>
        </w:rPr>
      </w:pPr>
      <w:r>
        <w:rPr>
          <w:rFonts w:ascii="Arial" w:cs="Arial" w:eastAsia="Arial" w:hAnsi="Arial"/>
          <w:sz w:val="14"/>
          <w:szCs w:val="14"/>
          <w:i w:val="1"/>
          <w:iCs w:val="1"/>
          <w:color w:val="41516E"/>
        </w:rPr>
        <w:t>On May 18, 2023, upon the recommendation of the Compensation Committee, the Board of Directors approved the above stock option as part of an offer letter.</w:t>
      </w:r>
    </w:p>
    <w:p>
      <w:pPr>
        <w:spacing w:after="0" w:line="55" w:lineRule="exact"/>
        <w:rPr>
          <w:rFonts w:ascii="Arial" w:cs="Arial" w:eastAsia="Arial" w:hAnsi="Arial"/>
          <w:sz w:val="14"/>
          <w:szCs w:val="14"/>
          <w:i w:val="1"/>
          <w:iCs w:val="1"/>
          <w:color w:val="41516E"/>
        </w:rPr>
      </w:pPr>
    </w:p>
    <w:p>
      <w:pPr>
        <w:jc w:val="both"/>
        <w:ind w:left="340" w:hanging="332"/>
        <w:spacing w:after="0" w:line="255" w:lineRule="auto"/>
        <w:tabs>
          <w:tab w:leader="none" w:pos="340" w:val="left"/>
        </w:tabs>
        <w:numPr>
          <w:ilvl w:val="0"/>
          <w:numId w:val="20"/>
        </w:numPr>
        <w:rPr>
          <w:rFonts w:ascii="Arial" w:cs="Arial" w:eastAsia="Arial" w:hAnsi="Arial"/>
          <w:sz w:val="14"/>
          <w:szCs w:val="14"/>
          <w:i w:val="1"/>
          <w:iCs w:val="1"/>
          <w:color w:val="41516E"/>
        </w:rPr>
      </w:pPr>
      <w:r>
        <w:rPr>
          <w:rFonts w:ascii="Arial" w:cs="Arial" w:eastAsia="Arial" w:hAnsi="Arial"/>
          <w:sz w:val="14"/>
          <w:szCs w:val="14"/>
          <w:i w:val="1"/>
          <w:iCs w:val="1"/>
          <w:color w:val="41516E"/>
        </w:rPr>
        <w:t>The performance award vests at 100% on March 1, 2027, provided certain criteria are met. The vesting of each option is contingent on the Company achieving certain performance criteria. If the adjusted delivered gross margin is greater than or equal to 40.3% during the Company’s 2026 Fiscal Year, 87.5% of the option shares will vest. If the Net Promoter Score for the Company’s 2027 Engagement Survey is greater than or equal to +19 across all Supply Chain coworkers, the other 12.5% of the option shares will vest.</w:t>
      </w:r>
    </w:p>
    <w:p>
      <w:pPr>
        <w:spacing w:after="0" w:line="17" w:lineRule="exact"/>
        <w:rPr>
          <w:rFonts w:ascii="Arial" w:cs="Arial" w:eastAsia="Arial" w:hAnsi="Arial"/>
          <w:sz w:val="14"/>
          <w:szCs w:val="14"/>
          <w:i w:val="1"/>
          <w:iCs w:val="1"/>
          <w:color w:val="41516E"/>
        </w:rPr>
      </w:pPr>
    </w:p>
    <w:p>
      <w:pPr>
        <w:ind w:left="340" w:hanging="332"/>
        <w:spacing w:after="0"/>
        <w:tabs>
          <w:tab w:leader="none" w:pos="340" w:val="left"/>
        </w:tabs>
        <w:numPr>
          <w:ilvl w:val="0"/>
          <w:numId w:val="20"/>
        </w:numPr>
        <w:rPr>
          <w:rFonts w:ascii="Arial" w:cs="Arial" w:eastAsia="Arial" w:hAnsi="Arial"/>
          <w:sz w:val="14"/>
          <w:szCs w:val="14"/>
          <w:i w:val="1"/>
          <w:iCs w:val="1"/>
          <w:color w:val="41516E"/>
        </w:rPr>
      </w:pPr>
      <w:r>
        <w:rPr>
          <w:rFonts w:ascii="Arial" w:cs="Arial" w:eastAsia="Arial" w:hAnsi="Arial"/>
          <w:sz w:val="14"/>
          <w:szCs w:val="14"/>
          <w:i w:val="1"/>
          <w:iCs w:val="1"/>
          <w:color w:val="41516E"/>
        </w:rPr>
        <w:t>On June 23, 2023, upon the recommendation of the Compensation Committee, the Board of Directors approved the above stock option as part of an offer letter.</w:t>
      </w:r>
    </w:p>
    <w:p>
      <w:pPr>
        <w:spacing w:after="0" w:line="397"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Outstanding Equity Awards at 2023 Fiscal Year End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41516E"/>
        </w:rPr>
        <w:t>The following table sets forth information regarding LTE Awards granted to our Named Executive Officers that were outstanding as of December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474470" cy="30003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74470" cy="300037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40" w:type="dxa"/>
            <w:vAlign w:val="bottom"/>
          </w:tcPr>
          <w:p>
            <w:pPr>
              <w:jc w:val="right"/>
              <w:ind w:right="549"/>
              <w:spacing w:after="0"/>
              <w:rPr>
                <w:sz w:val="20"/>
                <w:szCs w:val="20"/>
                <w:color w:val="auto"/>
              </w:rPr>
            </w:pPr>
            <w:r>
              <w:rPr>
                <w:rFonts w:ascii="Arial" w:cs="Arial" w:eastAsia="Arial" w:hAnsi="Arial"/>
                <w:sz w:val="14"/>
                <w:szCs w:val="14"/>
                <w:b w:val="1"/>
                <w:bCs w:val="1"/>
                <w:color w:val="41516E"/>
              </w:rPr>
              <w:t>Option Awards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41516E"/>
              </w:rPr>
              <w:t>Stock Awards</w:t>
            </w: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Borders>
              <w:top w:val="single" w:sz="8" w:color="41516E"/>
            </w:tcBorders>
          </w:tcPr>
          <w:p>
            <w:pPr>
              <w:spacing w:after="0"/>
              <w:rPr>
                <w:sz w:val="12"/>
                <w:szCs w:val="12"/>
                <w:color w:val="auto"/>
              </w:rPr>
            </w:pPr>
          </w:p>
        </w:tc>
        <w:tc>
          <w:tcPr>
            <w:tcW w:w="200" w:type="dxa"/>
            <w:vAlign w:val="bottom"/>
            <w:tcBorders>
              <w:top w:val="single" w:sz="8" w:color="41516E"/>
            </w:tcBorders>
          </w:tcPr>
          <w:p>
            <w:pPr>
              <w:spacing w:after="0"/>
              <w:rPr>
                <w:sz w:val="12"/>
                <w:szCs w:val="12"/>
                <w:color w:val="auto"/>
              </w:rPr>
            </w:pPr>
          </w:p>
        </w:tc>
        <w:tc>
          <w:tcPr>
            <w:tcW w:w="1280" w:type="dxa"/>
            <w:vAlign w:val="bottom"/>
            <w:tcBorders>
              <w:top w:val="single" w:sz="8" w:color="41516E"/>
            </w:tcBorders>
          </w:tcPr>
          <w:p>
            <w:pPr>
              <w:spacing w:after="0"/>
              <w:rPr>
                <w:sz w:val="12"/>
                <w:szCs w:val="12"/>
                <w:color w:val="auto"/>
              </w:rPr>
            </w:pPr>
          </w:p>
        </w:tc>
        <w:tc>
          <w:tcPr>
            <w:tcW w:w="1640" w:type="dxa"/>
            <w:vAlign w:val="bottom"/>
            <w:tcBorders>
              <w:top w:val="single" w:sz="8" w:color="41516E"/>
            </w:tcBorders>
          </w:tcPr>
          <w:p>
            <w:pPr>
              <w:jc w:val="right"/>
              <w:ind w:right="369"/>
              <w:spacing w:after="0" w:line="147" w:lineRule="exact"/>
              <w:rPr>
                <w:sz w:val="20"/>
                <w:szCs w:val="20"/>
                <w:color w:val="auto"/>
              </w:rPr>
            </w:pPr>
            <w:r>
              <w:rPr>
                <w:rFonts w:ascii="Arial" w:cs="Arial" w:eastAsia="Arial" w:hAnsi="Arial"/>
                <w:sz w:val="14"/>
                <w:szCs w:val="14"/>
                <w:b w:val="1"/>
                <w:bCs w:val="1"/>
                <w:color w:val="41516E"/>
              </w:rPr>
              <w:t>Equity</w:t>
            </w:r>
          </w:p>
        </w:tc>
        <w:tc>
          <w:tcPr>
            <w:tcW w:w="180" w:type="dxa"/>
            <w:vAlign w:val="bottom"/>
            <w:tcBorders>
              <w:top w:val="single" w:sz="8" w:color="41516E"/>
            </w:tcBorders>
          </w:tcPr>
          <w:p>
            <w:pPr>
              <w:spacing w:after="0"/>
              <w:rPr>
                <w:sz w:val="12"/>
                <w:szCs w:val="12"/>
                <w:color w:val="auto"/>
              </w:rPr>
            </w:pPr>
          </w:p>
        </w:tc>
        <w:tc>
          <w:tcPr>
            <w:tcW w:w="900" w:type="dxa"/>
            <w:vAlign w:val="bottom"/>
            <w:tcBorders>
              <w:top w:val="single" w:sz="8" w:color="41516E"/>
            </w:tcBorders>
          </w:tcPr>
          <w:p>
            <w:pPr>
              <w:spacing w:after="0"/>
              <w:rPr>
                <w:sz w:val="12"/>
                <w:szCs w:val="12"/>
                <w:color w:val="auto"/>
              </w:rPr>
            </w:pPr>
          </w:p>
        </w:tc>
        <w:tc>
          <w:tcPr>
            <w:tcW w:w="920" w:type="dxa"/>
            <w:vAlign w:val="bottom"/>
            <w:tcBorders>
              <w:top w:val="single" w:sz="8" w:color="41516E"/>
            </w:tcBorders>
          </w:tcPr>
          <w:p>
            <w:pPr>
              <w:spacing w:after="0"/>
              <w:rPr>
                <w:sz w:val="12"/>
                <w:szCs w:val="12"/>
                <w:color w:val="auto"/>
              </w:rPr>
            </w:pPr>
          </w:p>
        </w:tc>
        <w:tc>
          <w:tcPr>
            <w:tcW w:w="20" w:type="dxa"/>
            <w:vAlign w:val="bottom"/>
            <w:tcBorders>
              <w:top w:val="single" w:sz="8" w:color="41516E"/>
            </w:tcBorders>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Borders>
              <w:top w:val="single" w:sz="8" w:color="41516E"/>
            </w:tcBorders>
          </w:tcPr>
          <w:p>
            <w:pPr>
              <w:spacing w:after="0"/>
              <w:rPr>
                <w:sz w:val="12"/>
                <w:szCs w:val="12"/>
                <w:color w:val="auto"/>
              </w:rPr>
            </w:pPr>
          </w:p>
        </w:tc>
        <w:tc>
          <w:tcPr>
            <w:tcW w:w="220" w:type="dxa"/>
            <w:vAlign w:val="bottom"/>
            <w:tcBorders>
              <w:top w:val="single" w:sz="8" w:color="41516E"/>
            </w:tcBorders>
          </w:tcPr>
          <w:p>
            <w:pPr>
              <w:spacing w:after="0"/>
              <w:rPr>
                <w:sz w:val="12"/>
                <w:szCs w:val="12"/>
                <w:color w:val="auto"/>
              </w:rPr>
            </w:pPr>
          </w:p>
        </w:tc>
        <w:tc>
          <w:tcPr>
            <w:tcW w:w="460" w:type="dxa"/>
            <w:vAlign w:val="bottom"/>
            <w:tcBorders>
              <w:top w:val="single" w:sz="8" w:color="41516E"/>
            </w:tcBorders>
          </w:tcPr>
          <w:p>
            <w:pPr>
              <w:spacing w:after="0"/>
              <w:rPr>
                <w:sz w:val="12"/>
                <w:szCs w:val="12"/>
                <w:color w:val="auto"/>
              </w:rPr>
            </w:pPr>
          </w:p>
        </w:tc>
        <w:tc>
          <w:tcPr>
            <w:tcW w:w="420" w:type="dxa"/>
            <w:vAlign w:val="bottom"/>
            <w:tcBorders>
              <w:top w:val="single" w:sz="8" w:color="41516E"/>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40" w:type="dxa"/>
            <w:vAlign w:val="bottom"/>
          </w:tcPr>
          <w:p>
            <w:pPr>
              <w:jc w:val="right"/>
              <w:ind w:right="369"/>
              <w:spacing w:after="0"/>
              <w:rPr>
                <w:sz w:val="20"/>
                <w:szCs w:val="20"/>
                <w:color w:val="auto"/>
              </w:rPr>
            </w:pPr>
            <w:r>
              <w:rPr>
                <w:rFonts w:ascii="Arial" w:cs="Arial" w:eastAsia="Arial" w:hAnsi="Arial"/>
                <w:sz w:val="14"/>
                <w:szCs w:val="14"/>
                <w:b w:val="1"/>
                <w:bCs w:val="1"/>
                <w:color w:val="41516E"/>
              </w:rPr>
              <w:t>Incentive Plan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190"/>
              <w:spacing w:after="0"/>
              <w:rPr>
                <w:sz w:val="20"/>
                <w:szCs w:val="20"/>
                <w:color w:val="auto"/>
              </w:rPr>
            </w:pPr>
            <w:r>
              <w:rPr>
                <w:rFonts w:ascii="Arial" w:cs="Arial" w:eastAsia="Arial" w:hAnsi="Arial"/>
                <w:sz w:val="14"/>
                <w:szCs w:val="14"/>
                <w:b w:val="1"/>
                <w:bCs w:val="1"/>
                <w:color w:val="41516E"/>
              </w:rPr>
              <w:t>No. of</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40" w:type="dxa"/>
            <w:vAlign w:val="bottom"/>
          </w:tcPr>
          <w:p>
            <w:pPr>
              <w:jc w:val="right"/>
              <w:ind w:right="369"/>
              <w:spacing w:after="0"/>
              <w:rPr>
                <w:sz w:val="20"/>
                <w:szCs w:val="20"/>
                <w:color w:val="auto"/>
              </w:rPr>
            </w:pPr>
            <w:r>
              <w:rPr>
                <w:rFonts w:ascii="Arial" w:cs="Arial" w:eastAsia="Arial" w:hAnsi="Arial"/>
                <w:sz w:val="14"/>
                <w:szCs w:val="14"/>
                <w:b w:val="1"/>
                <w:bCs w:val="1"/>
                <w:color w:val="41516E"/>
              </w:rPr>
              <w:t>Awards: No.</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41516E"/>
              </w:rPr>
              <w:t>Market Value</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jc w:val="right"/>
              <w:ind w:right="190"/>
              <w:spacing w:after="0" w:line="145" w:lineRule="exact"/>
              <w:rPr>
                <w:sz w:val="20"/>
                <w:szCs w:val="20"/>
                <w:color w:val="auto"/>
              </w:rPr>
            </w:pPr>
            <w:r>
              <w:rPr>
                <w:rFonts w:ascii="Arial" w:cs="Arial" w:eastAsia="Arial" w:hAnsi="Arial"/>
                <w:sz w:val="14"/>
                <w:szCs w:val="14"/>
                <w:b w:val="1"/>
                <w:bCs w:val="1"/>
                <w:color w:val="41516E"/>
              </w:rPr>
              <w:t>Securities</w:t>
            </w:r>
          </w:p>
        </w:tc>
        <w:tc>
          <w:tcPr>
            <w:tcW w:w="1480" w:type="dxa"/>
            <w:vAlign w:val="bottom"/>
            <w:gridSpan w:val="2"/>
          </w:tcPr>
          <w:p>
            <w:pPr>
              <w:jc w:val="right"/>
              <w:ind w:right="147"/>
              <w:spacing w:after="0" w:line="145" w:lineRule="exact"/>
              <w:rPr>
                <w:sz w:val="20"/>
                <w:szCs w:val="20"/>
                <w:color w:val="auto"/>
              </w:rPr>
            </w:pPr>
            <w:r>
              <w:rPr>
                <w:rFonts w:ascii="Arial" w:cs="Arial" w:eastAsia="Arial" w:hAnsi="Arial"/>
                <w:sz w:val="14"/>
                <w:szCs w:val="14"/>
                <w:b w:val="1"/>
                <w:bCs w:val="1"/>
                <w:color w:val="41516E"/>
              </w:rPr>
              <w:t>No. of Securities</w:t>
            </w:r>
          </w:p>
        </w:tc>
        <w:tc>
          <w:tcPr>
            <w:tcW w:w="1640" w:type="dxa"/>
            <w:vAlign w:val="bottom"/>
          </w:tcPr>
          <w:p>
            <w:pPr>
              <w:jc w:val="right"/>
              <w:ind w:right="369"/>
              <w:spacing w:after="0" w:line="145" w:lineRule="exact"/>
              <w:rPr>
                <w:sz w:val="20"/>
                <w:szCs w:val="20"/>
                <w:color w:val="auto"/>
              </w:rPr>
            </w:pPr>
            <w:r>
              <w:rPr>
                <w:rFonts w:ascii="Arial" w:cs="Arial" w:eastAsia="Arial" w:hAnsi="Arial"/>
                <w:sz w:val="14"/>
                <w:szCs w:val="14"/>
                <w:b w:val="1"/>
                <w:bCs w:val="1"/>
                <w:color w:val="41516E"/>
              </w:rPr>
              <w:t>of Securities</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right"/>
              <w:ind w:right="277"/>
              <w:spacing w:after="0" w:line="145" w:lineRule="exact"/>
              <w:rPr>
                <w:sz w:val="20"/>
                <w:szCs w:val="20"/>
                <w:color w:val="auto"/>
              </w:rPr>
            </w:pPr>
            <w:r>
              <w:rPr>
                <w:rFonts w:ascii="Arial" w:cs="Arial" w:eastAsia="Arial" w:hAnsi="Arial"/>
                <w:sz w:val="14"/>
                <w:szCs w:val="14"/>
                <w:b w:val="1"/>
                <w:bCs w:val="1"/>
                <w:color w:val="41516E"/>
              </w:rPr>
              <w:t>No. of</w:t>
            </w: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190"/>
              <w:spacing w:after="0"/>
              <w:rPr>
                <w:sz w:val="20"/>
                <w:szCs w:val="20"/>
                <w:color w:val="auto"/>
              </w:rPr>
            </w:pPr>
            <w:r>
              <w:rPr>
                <w:rFonts w:ascii="Arial" w:cs="Arial" w:eastAsia="Arial" w:hAnsi="Arial"/>
                <w:sz w:val="14"/>
                <w:szCs w:val="14"/>
                <w:b w:val="1"/>
                <w:bCs w:val="1"/>
                <w:color w:val="41516E"/>
              </w:rPr>
              <w:t>Underlying</w:t>
            </w:r>
          </w:p>
        </w:tc>
        <w:tc>
          <w:tcPr>
            <w:tcW w:w="20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Arial" w:cs="Arial" w:eastAsia="Arial" w:hAnsi="Arial"/>
                <w:sz w:val="14"/>
                <w:szCs w:val="14"/>
                <w:b w:val="1"/>
                <w:bCs w:val="1"/>
                <w:color w:val="41516E"/>
              </w:rPr>
              <w:t>Underlying</w:t>
            </w:r>
          </w:p>
        </w:tc>
        <w:tc>
          <w:tcPr>
            <w:tcW w:w="1640" w:type="dxa"/>
            <w:vAlign w:val="bottom"/>
          </w:tcPr>
          <w:p>
            <w:pPr>
              <w:jc w:val="right"/>
              <w:ind w:right="369"/>
              <w:spacing w:after="0"/>
              <w:rPr>
                <w:sz w:val="20"/>
                <w:szCs w:val="20"/>
                <w:color w:val="auto"/>
              </w:rPr>
            </w:pPr>
            <w:r>
              <w:rPr>
                <w:rFonts w:ascii="Arial" w:cs="Arial" w:eastAsia="Arial" w:hAnsi="Arial"/>
                <w:sz w:val="14"/>
                <w:szCs w:val="14"/>
                <w:b w:val="1"/>
                <w:bCs w:val="1"/>
                <w:color w:val="41516E"/>
              </w:rPr>
              <w:t>Underlying</w:t>
            </w:r>
          </w:p>
        </w:tc>
        <w:tc>
          <w:tcPr>
            <w:tcW w:w="18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41516E"/>
              </w:rPr>
              <w:t>Option</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77"/>
              <w:spacing w:after="0"/>
              <w:rPr>
                <w:sz w:val="20"/>
                <w:szCs w:val="20"/>
                <w:color w:val="auto"/>
              </w:rPr>
            </w:pPr>
            <w:r>
              <w:rPr>
                <w:rFonts w:ascii="Arial" w:cs="Arial" w:eastAsia="Arial" w:hAnsi="Arial"/>
                <w:sz w:val="14"/>
                <w:szCs w:val="14"/>
                <w:b w:val="1"/>
                <w:bCs w:val="1"/>
                <w:color w:val="41516E"/>
              </w:rPr>
              <w:t>Shares of</w:t>
            </w:r>
          </w:p>
        </w:tc>
        <w:tc>
          <w:tcPr>
            <w:tcW w:w="22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41516E"/>
              </w:rPr>
              <w:t>of Shares</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190"/>
              <w:spacing w:after="0"/>
              <w:rPr>
                <w:sz w:val="20"/>
                <w:szCs w:val="20"/>
                <w:color w:val="auto"/>
              </w:rPr>
            </w:pPr>
            <w:r>
              <w:rPr>
                <w:rFonts w:ascii="Arial" w:cs="Arial" w:eastAsia="Arial" w:hAnsi="Arial"/>
                <w:sz w:val="14"/>
                <w:szCs w:val="14"/>
                <w:b w:val="1"/>
                <w:bCs w:val="1"/>
                <w:color w:val="41516E"/>
              </w:rPr>
              <w:t>Unexercised</w:t>
            </w:r>
          </w:p>
        </w:tc>
        <w:tc>
          <w:tcPr>
            <w:tcW w:w="20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Arial" w:cs="Arial" w:eastAsia="Arial" w:hAnsi="Arial"/>
                <w:sz w:val="14"/>
                <w:szCs w:val="14"/>
                <w:b w:val="1"/>
                <w:bCs w:val="1"/>
                <w:color w:val="41516E"/>
              </w:rPr>
              <w:t>Unexercised</w:t>
            </w:r>
          </w:p>
        </w:tc>
        <w:tc>
          <w:tcPr>
            <w:tcW w:w="1640" w:type="dxa"/>
            <w:vAlign w:val="bottom"/>
          </w:tcPr>
          <w:p>
            <w:pPr>
              <w:jc w:val="right"/>
              <w:ind w:right="369"/>
              <w:spacing w:after="0"/>
              <w:rPr>
                <w:sz w:val="20"/>
                <w:szCs w:val="20"/>
                <w:color w:val="auto"/>
              </w:rPr>
            </w:pPr>
            <w:r>
              <w:rPr>
                <w:rFonts w:ascii="Arial" w:cs="Arial" w:eastAsia="Arial" w:hAnsi="Arial"/>
                <w:sz w:val="14"/>
                <w:szCs w:val="14"/>
                <w:b w:val="1"/>
                <w:bCs w:val="1"/>
                <w:color w:val="41516E"/>
              </w:rPr>
              <w:t>Unexercised</w:t>
            </w:r>
          </w:p>
        </w:tc>
        <w:tc>
          <w:tcPr>
            <w:tcW w:w="18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41516E"/>
              </w:rPr>
              <w:t>Exercise</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41516E"/>
              </w:rPr>
              <w:t>Option</w:t>
            </w:r>
          </w:p>
        </w:tc>
        <w:tc>
          <w:tcPr>
            <w:tcW w:w="1220" w:type="dxa"/>
            <w:vAlign w:val="bottom"/>
          </w:tcPr>
          <w:p>
            <w:pPr>
              <w:jc w:val="right"/>
              <w:ind w:right="277"/>
              <w:spacing w:after="0"/>
              <w:rPr>
                <w:sz w:val="20"/>
                <w:szCs w:val="20"/>
                <w:color w:val="auto"/>
              </w:rPr>
            </w:pPr>
            <w:r>
              <w:rPr>
                <w:rFonts w:ascii="Arial" w:cs="Arial" w:eastAsia="Arial" w:hAnsi="Arial"/>
                <w:sz w:val="14"/>
                <w:szCs w:val="14"/>
                <w:b w:val="1"/>
                <w:bCs w:val="1"/>
                <w:color w:val="41516E"/>
              </w:rPr>
              <w:t>Stock That</w:t>
            </w:r>
          </w:p>
        </w:tc>
        <w:tc>
          <w:tcPr>
            <w:tcW w:w="22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41516E"/>
              </w:rPr>
              <w:t>that Have</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right"/>
              <w:ind w:right="190"/>
              <w:spacing w:after="0"/>
              <w:rPr>
                <w:sz w:val="20"/>
                <w:szCs w:val="20"/>
                <w:color w:val="auto"/>
              </w:rPr>
            </w:pPr>
            <w:r>
              <w:rPr>
                <w:rFonts w:ascii="Arial" w:cs="Arial" w:eastAsia="Arial" w:hAnsi="Arial"/>
                <w:sz w:val="14"/>
                <w:szCs w:val="14"/>
                <w:b w:val="1"/>
                <w:bCs w:val="1"/>
                <w:color w:val="41516E"/>
              </w:rPr>
              <w:t>Options</w:t>
            </w:r>
          </w:p>
        </w:tc>
        <w:tc>
          <w:tcPr>
            <w:tcW w:w="20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Arial" w:cs="Arial" w:eastAsia="Arial" w:hAnsi="Arial"/>
                <w:sz w:val="14"/>
                <w:szCs w:val="14"/>
                <w:b w:val="1"/>
                <w:bCs w:val="1"/>
                <w:color w:val="41516E"/>
              </w:rPr>
              <w:t>Options</w:t>
            </w:r>
          </w:p>
        </w:tc>
        <w:tc>
          <w:tcPr>
            <w:tcW w:w="1640" w:type="dxa"/>
            <w:vAlign w:val="bottom"/>
          </w:tcPr>
          <w:p>
            <w:pPr>
              <w:jc w:val="right"/>
              <w:ind w:right="369"/>
              <w:spacing w:after="0"/>
              <w:rPr>
                <w:sz w:val="20"/>
                <w:szCs w:val="20"/>
                <w:color w:val="auto"/>
              </w:rPr>
            </w:pPr>
            <w:r>
              <w:rPr>
                <w:rFonts w:ascii="Arial" w:cs="Arial" w:eastAsia="Arial" w:hAnsi="Arial"/>
                <w:sz w:val="14"/>
                <w:szCs w:val="14"/>
                <w:b w:val="1"/>
                <w:bCs w:val="1"/>
                <w:color w:val="41516E"/>
              </w:rPr>
              <w:t>Unearned</w:t>
            </w:r>
          </w:p>
        </w:tc>
        <w:tc>
          <w:tcPr>
            <w:tcW w:w="18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41516E"/>
              </w:rPr>
              <w:t>Price</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41516E"/>
              </w:rPr>
              <w:t>Expiration</w:t>
            </w:r>
          </w:p>
        </w:tc>
        <w:tc>
          <w:tcPr>
            <w:tcW w:w="1220" w:type="dxa"/>
            <w:vAlign w:val="bottom"/>
          </w:tcPr>
          <w:p>
            <w:pPr>
              <w:jc w:val="right"/>
              <w:ind w:right="277"/>
              <w:spacing w:after="0"/>
              <w:rPr>
                <w:sz w:val="20"/>
                <w:szCs w:val="20"/>
                <w:color w:val="auto"/>
              </w:rPr>
            </w:pPr>
            <w:r>
              <w:rPr>
                <w:rFonts w:ascii="Arial" w:cs="Arial" w:eastAsia="Arial" w:hAnsi="Arial"/>
                <w:sz w:val="14"/>
                <w:szCs w:val="14"/>
                <w:b w:val="1"/>
                <w:bCs w:val="1"/>
                <w:color w:val="41516E"/>
              </w:rPr>
              <w:t>Have Not</w:t>
            </w:r>
          </w:p>
        </w:tc>
        <w:tc>
          <w:tcPr>
            <w:tcW w:w="22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41516E"/>
              </w:rPr>
              <w:t>Not Vested</w:t>
            </w:r>
          </w:p>
        </w:tc>
        <w:tc>
          <w:tcPr>
            <w:tcW w:w="0" w:type="dxa"/>
            <w:vAlign w:val="bottom"/>
          </w:tcPr>
          <w:p>
            <w:pPr>
              <w:spacing w:after="0"/>
              <w:rPr>
                <w:sz w:val="1"/>
                <w:szCs w:val="1"/>
                <w:color w:val="auto"/>
              </w:rPr>
            </w:pPr>
          </w:p>
        </w:tc>
      </w:tr>
      <w:tr>
        <w:trPr>
          <w:trHeight w:val="189"/>
        </w:trPr>
        <w:tc>
          <w:tcPr>
            <w:tcW w:w="2320" w:type="dxa"/>
            <w:vAlign w:val="bottom"/>
            <w:tcBorders>
              <w:bottom w:val="single" w:sz="8" w:color="41516E"/>
            </w:tcBorders>
            <w:gridSpan w:val="2"/>
          </w:tcPr>
          <w:p>
            <w:pPr>
              <w:ind w:left="60"/>
              <w:spacing w:after="0"/>
              <w:rPr>
                <w:sz w:val="20"/>
                <w:szCs w:val="20"/>
                <w:color w:val="auto"/>
              </w:rPr>
            </w:pPr>
            <w:r>
              <w:rPr>
                <w:rFonts w:ascii="Arial" w:cs="Arial" w:eastAsia="Arial" w:hAnsi="Arial"/>
                <w:sz w:val="14"/>
                <w:szCs w:val="14"/>
                <w:b w:val="1"/>
                <w:bCs w:val="1"/>
                <w:color w:val="41516E"/>
              </w:rPr>
              <w:t>Name</w:t>
            </w:r>
          </w:p>
        </w:tc>
        <w:tc>
          <w:tcPr>
            <w:tcW w:w="1160" w:type="dxa"/>
            <w:vAlign w:val="bottom"/>
            <w:tcBorders>
              <w:bottom w:val="single" w:sz="8" w:color="41516E"/>
            </w:tcBorders>
          </w:tcPr>
          <w:p>
            <w:pPr>
              <w:jc w:val="right"/>
              <w:ind w:right="190"/>
              <w:spacing w:after="0"/>
              <w:rPr>
                <w:sz w:val="20"/>
                <w:szCs w:val="20"/>
                <w:color w:val="auto"/>
              </w:rPr>
            </w:pPr>
            <w:r>
              <w:rPr>
                <w:rFonts w:ascii="Arial" w:cs="Arial" w:eastAsia="Arial" w:hAnsi="Arial"/>
                <w:sz w:val="14"/>
                <w:szCs w:val="14"/>
                <w:b w:val="1"/>
                <w:bCs w:val="1"/>
                <w:color w:val="41516E"/>
              </w:rPr>
              <w:t>Exercisable</w:t>
            </w:r>
          </w:p>
        </w:tc>
        <w:tc>
          <w:tcPr>
            <w:tcW w:w="200" w:type="dxa"/>
            <w:vAlign w:val="bottom"/>
            <w:tcBorders>
              <w:bottom w:val="single" w:sz="8" w:color="41516E"/>
            </w:tcBorders>
          </w:tcPr>
          <w:p>
            <w:pPr>
              <w:spacing w:after="0"/>
              <w:rPr>
                <w:sz w:val="16"/>
                <w:szCs w:val="16"/>
                <w:color w:val="auto"/>
              </w:rPr>
            </w:pPr>
          </w:p>
        </w:tc>
        <w:tc>
          <w:tcPr>
            <w:tcW w:w="1280" w:type="dxa"/>
            <w:vAlign w:val="bottom"/>
            <w:tcBorders>
              <w:bottom w:val="single" w:sz="8" w:color="41516E"/>
            </w:tcBorders>
          </w:tcPr>
          <w:p>
            <w:pPr>
              <w:jc w:val="right"/>
              <w:ind w:right="147"/>
              <w:spacing w:after="0"/>
              <w:rPr>
                <w:sz w:val="20"/>
                <w:szCs w:val="20"/>
                <w:color w:val="auto"/>
              </w:rPr>
            </w:pPr>
            <w:r>
              <w:rPr>
                <w:rFonts w:ascii="Arial" w:cs="Arial" w:eastAsia="Arial" w:hAnsi="Arial"/>
                <w:sz w:val="14"/>
                <w:szCs w:val="14"/>
                <w:b w:val="1"/>
                <w:bCs w:val="1"/>
                <w:color w:val="41516E"/>
              </w:rPr>
              <w:t>Unexercisable</w:t>
            </w:r>
          </w:p>
        </w:tc>
        <w:tc>
          <w:tcPr>
            <w:tcW w:w="1640" w:type="dxa"/>
            <w:vAlign w:val="bottom"/>
            <w:tcBorders>
              <w:bottom w:val="single" w:sz="8" w:color="41516E"/>
            </w:tcBorders>
          </w:tcPr>
          <w:p>
            <w:pPr>
              <w:jc w:val="right"/>
              <w:ind w:right="369"/>
              <w:spacing w:after="0"/>
              <w:rPr>
                <w:sz w:val="20"/>
                <w:szCs w:val="20"/>
                <w:color w:val="auto"/>
              </w:rPr>
            </w:pPr>
            <w:r>
              <w:rPr>
                <w:rFonts w:ascii="Arial" w:cs="Arial" w:eastAsia="Arial" w:hAnsi="Arial"/>
                <w:sz w:val="14"/>
                <w:szCs w:val="14"/>
                <w:b w:val="1"/>
                <w:bCs w:val="1"/>
                <w:color w:val="41516E"/>
              </w:rPr>
              <w:t>Options</w:t>
            </w:r>
          </w:p>
        </w:tc>
        <w:tc>
          <w:tcPr>
            <w:tcW w:w="180" w:type="dxa"/>
            <w:vAlign w:val="bottom"/>
            <w:tcBorders>
              <w:bottom w:val="single" w:sz="8" w:color="41516E"/>
            </w:tcBorders>
          </w:tcPr>
          <w:p>
            <w:pPr>
              <w:spacing w:after="0"/>
              <w:rPr>
                <w:sz w:val="16"/>
                <w:szCs w:val="16"/>
                <w:color w:val="auto"/>
              </w:rPr>
            </w:pPr>
          </w:p>
        </w:tc>
        <w:tc>
          <w:tcPr>
            <w:tcW w:w="900" w:type="dxa"/>
            <w:vAlign w:val="bottom"/>
            <w:tcBorders>
              <w:bottom w:val="single" w:sz="8" w:color="41516E"/>
            </w:tcBorders>
          </w:tcPr>
          <w:p>
            <w:pPr>
              <w:jc w:val="right"/>
              <w:ind w:right="168"/>
              <w:spacing w:after="0"/>
              <w:rPr>
                <w:sz w:val="20"/>
                <w:szCs w:val="20"/>
                <w:color w:val="auto"/>
              </w:rPr>
            </w:pPr>
            <w:r>
              <w:rPr>
                <w:rFonts w:ascii="Arial" w:cs="Arial" w:eastAsia="Arial" w:hAnsi="Arial"/>
                <w:sz w:val="14"/>
                <w:szCs w:val="14"/>
                <w:b w:val="1"/>
                <w:bCs w:val="1"/>
                <w:color w:val="41516E"/>
              </w:rPr>
              <w:t>($)</w:t>
            </w:r>
          </w:p>
        </w:tc>
        <w:tc>
          <w:tcPr>
            <w:tcW w:w="1240" w:type="dxa"/>
            <w:vAlign w:val="bottom"/>
            <w:tcBorders>
              <w:bottom w:val="single" w:sz="8" w:color="41516E"/>
            </w:tcBorders>
            <w:gridSpan w:val="3"/>
          </w:tcPr>
          <w:p>
            <w:pPr>
              <w:jc w:val="right"/>
              <w:ind w:right="300"/>
              <w:spacing w:after="0"/>
              <w:rPr>
                <w:sz w:val="20"/>
                <w:szCs w:val="20"/>
                <w:color w:val="auto"/>
              </w:rPr>
            </w:pPr>
            <w:r>
              <w:rPr>
                <w:rFonts w:ascii="Arial" w:cs="Arial" w:eastAsia="Arial" w:hAnsi="Arial"/>
                <w:sz w:val="14"/>
                <w:szCs w:val="14"/>
                <w:b w:val="1"/>
                <w:bCs w:val="1"/>
                <w:color w:val="41516E"/>
              </w:rPr>
              <w:t>Date</w:t>
            </w:r>
          </w:p>
        </w:tc>
        <w:tc>
          <w:tcPr>
            <w:tcW w:w="1220" w:type="dxa"/>
            <w:vAlign w:val="bottom"/>
            <w:tcBorders>
              <w:bottom w:val="single" w:sz="8" w:color="41516E"/>
            </w:tcBorders>
          </w:tcPr>
          <w:p>
            <w:pPr>
              <w:jc w:val="right"/>
              <w:ind w:right="277"/>
              <w:spacing w:after="0"/>
              <w:rPr>
                <w:sz w:val="20"/>
                <w:szCs w:val="20"/>
                <w:color w:val="auto"/>
              </w:rPr>
            </w:pPr>
            <w:r>
              <w:rPr>
                <w:rFonts w:ascii="Arial" w:cs="Arial" w:eastAsia="Arial" w:hAnsi="Arial"/>
                <w:sz w:val="14"/>
                <w:szCs w:val="14"/>
                <w:b w:val="1"/>
                <w:bCs w:val="1"/>
                <w:color w:val="41516E"/>
              </w:rPr>
              <w:t>Vested</w:t>
            </w:r>
          </w:p>
        </w:tc>
        <w:tc>
          <w:tcPr>
            <w:tcW w:w="220" w:type="dxa"/>
            <w:vAlign w:val="bottom"/>
            <w:tcBorders>
              <w:bottom w:val="single" w:sz="8" w:color="41516E"/>
            </w:tcBorders>
          </w:tcPr>
          <w:p>
            <w:pPr>
              <w:spacing w:after="0"/>
              <w:rPr>
                <w:sz w:val="16"/>
                <w:szCs w:val="16"/>
                <w:color w:val="auto"/>
              </w:rPr>
            </w:pPr>
          </w:p>
        </w:tc>
        <w:tc>
          <w:tcPr>
            <w:tcW w:w="880" w:type="dxa"/>
            <w:vAlign w:val="bottom"/>
            <w:tcBorders>
              <w:bottom w:val="single" w:sz="8" w:color="41516E"/>
            </w:tcBorders>
            <w:gridSpan w:val="2"/>
          </w:tcPr>
          <w:p>
            <w:pPr>
              <w:jc w:val="right"/>
              <w:ind w:right="24"/>
              <w:spacing w:after="0" w:line="189" w:lineRule="exact"/>
              <w:rPr>
                <w:sz w:val="20"/>
                <w:szCs w:val="20"/>
                <w:color w:val="auto"/>
              </w:rPr>
            </w:pPr>
            <w:r>
              <w:rPr>
                <w:rFonts w:ascii="Arial" w:cs="Arial" w:eastAsia="Arial" w:hAnsi="Arial"/>
                <w:sz w:val="21"/>
                <w:szCs w:val="21"/>
                <w:b w:val="1"/>
                <w:bCs w:val="1"/>
                <w:color w:val="41516E"/>
                <w:vertAlign w:val="subscript"/>
              </w:rPr>
              <w:t>($)</w:t>
            </w:r>
            <w:r>
              <w:rPr>
                <w:rFonts w:ascii="Arial" w:cs="Arial" w:eastAsia="Arial" w:hAnsi="Arial"/>
                <w:sz w:val="10"/>
                <w:szCs w:val="10"/>
                <w:b w:val="1"/>
                <w:bCs w:val="1"/>
                <w:color w:val="41516E"/>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20" w:type="dxa"/>
            <w:vAlign w:val="bottom"/>
            <w:gridSpan w:val="2"/>
          </w:tcPr>
          <w:p>
            <w:pPr>
              <w:ind w:left="60"/>
              <w:spacing w:after="0"/>
              <w:rPr>
                <w:sz w:val="20"/>
                <w:szCs w:val="20"/>
                <w:color w:val="auto"/>
              </w:rPr>
            </w:pPr>
            <w:r>
              <w:rPr>
                <w:rFonts w:ascii="Arial" w:cs="Arial" w:eastAsia="Arial" w:hAnsi="Arial"/>
                <w:sz w:val="14"/>
                <w:szCs w:val="14"/>
                <w:b w:val="1"/>
                <w:bCs w:val="1"/>
                <w:color w:val="41516E"/>
              </w:rPr>
              <w:t>David A. Burwick</w:t>
            </w:r>
          </w:p>
        </w:tc>
        <w:tc>
          <w:tcPr>
            <w:tcW w:w="1160" w:type="dxa"/>
            <w:vAlign w:val="bottom"/>
          </w:tcPr>
          <w:p>
            <w:pPr>
              <w:jc w:val="right"/>
              <w:ind w:right="50"/>
              <w:spacing w:after="0" w:line="183" w:lineRule="exact"/>
              <w:rPr>
                <w:sz w:val="20"/>
                <w:szCs w:val="20"/>
                <w:color w:val="auto"/>
              </w:rPr>
            </w:pPr>
            <w:r>
              <w:rPr>
                <w:rFonts w:ascii="Arial" w:cs="Arial" w:eastAsia="Arial" w:hAnsi="Arial"/>
                <w:sz w:val="13"/>
                <w:szCs w:val="13"/>
                <w:color w:val="41516E"/>
              </w:rPr>
              <w:t>1,116</w:t>
            </w:r>
            <w:r>
              <w:rPr>
                <w:rFonts w:ascii="Arial" w:cs="Arial" w:eastAsia="Arial" w:hAnsi="Arial"/>
                <w:sz w:val="21"/>
                <w:szCs w:val="21"/>
                <w:color w:val="41516E"/>
                <w:vertAlign w:val="superscript"/>
              </w:rPr>
              <w:t>(2)</w:t>
            </w:r>
          </w:p>
        </w:tc>
        <w:tc>
          <w:tcPr>
            <w:tcW w:w="200" w:type="dxa"/>
            <w:vAlign w:val="bottom"/>
          </w:tcPr>
          <w:p>
            <w:pPr>
              <w:spacing w:after="0"/>
              <w:rPr>
                <w:sz w:val="15"/>
                <w:szCs w:val="15"/>
                <w:color w:val="auto"/>
              </w:rPr>
            </w:pPr>
          </w:p>
        </w:tc>
        <w:tc>
          <w:tcPr>
            <w:tcW w:w="1280" w:type="dxa"/>
            <w:vAlign w:val="bottom"/>
          </w:tcPr>
          <w:p>
            <w:pPr>
              <w:jc w:val="right"/>
              <w:ind w:right="147"/>
              <w:spacing w:after="0"/>
              <w:rPr>
                <w:sz w:val="20"/>
                <w:szCs w:val="20"/>
                <w:color w:val="auto"/>
              </w:rPr>
            </w:pPr>
            <w:r>
              <w:rPr>
                <w:rFonts w:ascii="Arial" w:cs="Arial" w:eastAsia="Arial" w:hAnsi="Arial"/>
                <w:sz w:val="14"/>
                <w:szCs w:val="14"/>
                <w:color w:val="41516E"/>
              </w:rPr>
              <w:t>—</w:t>
            </w:r>
          </w:p>
        </w:tc>
        <w:tc>
          <w:tcPr>
            <w:tcW w:w="1640" w:type="dxa"/>
            <w:vAlign w:val="bottom"/>
          </w:tcPr>
          <w:p>
            <w:pPr>
              <w:jc w:val="right"/>
              <w:ind w:right="369"/>
              <w:spacing w:after="0"/>
              <w:rPr>
                <w:sz w:val="20"/>
                <w:szCs w:val="20"/>
                <w:color w:val="auto"/>
              </w:rPr>
            </w:pPr>
            <w:r>
              <w:rPr>
                <w:rFonts w:ascii="Arial" w:cs="Arial" w:eastAsia="Arial" w:hAnsi="Arial"/>
                <w:sz w:val="14"/>
                <w:szCs w:val="14"/>
                <w:color w:val="41516E"/>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214.83</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41516E"/>
              </w:rPr>
              <w:t>6/4/2024</w:t>
            </w:r>
          </w:p>
        </w:tc>
        <w:tc>
          <w:tcPr>
            <w:tcW w:w="1220" w:type="dxa"/>
            <w:vAlign w:val="bottom"/>
          </w:tcPr>
          <w:p>
            <w:pPr>
              <w:jc w:val="right"/>
              <w:ind w:right="77"/>
              <w:spacing w:after="0" w:line="183" w:lineRule="exact"/>
              <w:rPr>
                <w:sz w:val="20"/>
                <w:szCs w:val="20"/>
                <w:color w:val="auto"/>
              </w:rPr>
            </w:pPr>
            <w:r>
              <w:rPr>
                <w:rFonts w:ascii="Arial" w:cs="Arial" w:eastAsia="Arial" w:hAnsi="Arial"/>
                <w:sz w:val="21"/>
                <w:szCs w:val="21"/>
                <w:color w:val="41516E"/>
                <w:vertAlign w:val="subscript"/>
              </w:rPr>
              <w:t>674</w:t>
            </w:r>
            <w:r>
              <w:rPr>
                <w:rFonts w:ascii="Arial" w:cs="Arial" w:eastAsia="Arial" w:hAnsi="Arial"/>
                <w:sz w:val="10"/>
                <w:szCs w:val="10"/>
                <w:color w:val="41516E"/>
              </w:rPr>
              <w:t>(10)</w:t>
            </w:r>
          </w:p>
        </w:tc>
        <w:tc>
          <w:tcPr>
            <w:tcW w:w="220" w:type="dxa"/>
            <w:vAlign w:val="bottom"/>
          </w:tcPr>
          <w:p>
            <w:pPr>
              <w:ind w:left="120"/>
              <w:spacing w:after="0"/>
              <w:rPr>
                <w:sz w:val="20"/>
                <w:szCs w:val="20"/>
                <w:color w:val="auto"/>
              </w:rPr>
            </w:pPr>
            <w:r>
              <w:rPr>
                <w:rFonts w:ascii="Arial" w:cs="Arial" w:eastAsia="Arial" w:hAnsi="Arial"/>
                <w:sz w:val="14"/>
                <w:szCs w:val="14"/>
                <w:color w:val="41516E"/>
              </w:rPr>
              <w:t>$</w:t>
            </w:r>
          </w:p>
        </w:tc>
        <w:tc>
          <w:tcPr>
            <w:tcW w:w="880" w:type="dxa"/>
            <w:vAlign w:val="bottom"/>
            <w:gridSpan w:val="2"/>
          </w:tcPr>
          <w:p>
            <w:pPr>
              <w:jc w:val="right"/>
              <w:ind w:right="24"/>
              <w:spacing w:after="0"/>
              <w:rPr>
                <w:sz w:val="20"/>
                <w:szCs w:val="20"/>
                <w:color w:val="auto"/>
              </w:rPr>
            </w:pPr>
            <w:r>
              <w:rPr>
                <w:rFonts w:ascii="Arial" w:cs="Arial" w:eastAsia="Arial" w:hAnsi="Arial"/>
                <w:sz w:val="14"/>
                <w:szCs w:val="14"/>
                <w:color w:val="41516E"/>
              </w:rPr>
              <w:t>232,928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EFF0F1"/>
          </w:tcPr>
          <w:p>
            <w:pPr>
              <w:spacing w:after="0"/>
              <w:rPr>
                <w:sz w:val="16"/>
                <w:szCs w:val="16"/>
                <w:color w:val="auto"/>
              </w:rPr>
            </w:pPr>
          </w:p>
        </w:tc>
        <w:tc>
          <w:tcPr>
            <w:tcW w:w="540" w:type="dxa"/>
            <w:vAlign w:val="bottom"/>
            <w:shd w:val="clear" w:color="auto" w:fill="EFF0F1"/>
          </w:tcPr>
          <w:p>
            <w:pPr>
              <w:spacing w:after="0"/>
              <w:rPr>
                <w:sz w:val="16"/>
                <w:szCs w:val="16"/>
                <w:color w:val="auto"/>
              </w:rPr>
            </w:pPr>
          </w:p>
        </w:tc>
        <w:tc>
          <w:tcPr>
            <w:tcW w:w="1160" w:type="dxa"/>
            <w:vAlign w:val="bottom"/>
            <w:shd w:val="clear" w:color="auto" w:fill="EFF0F1"/>
          </w:tcPr>
          <w:p>
            <w:pPr>
              <w:jc w:val="right"/>
              <w:ind w:right="50"/>
              <w:spacing w:after="0" w:line="189" w:lineRule="exact"/>
              <w:rPr>
                <w:sz w:val="20"/>
                <w:szCs w:val="20"/>
                <w:color w:val="auto"/>
              </w:rPr>
            </w:pPr>
            <w:r>
              <w:rPr>
                <w:rFonts w:ascii="Arial" w:cs="Arial" w:eastAsia="Arial" w:hAnsi="Arial"/>
                <w:sz w:val="13"/>
                <w:szCs w:val="13"/>
                <w:color w:val="41516E"/>
              </w:rPr>
              <w:t>940</w:t>
            </w:r>
            <w:r>
              <w:rPr>
                <w:rFonts w:ascii="Arial" w:cs="Arial" w:eastAsia="Arial" w:hAnsi="Arial"/>
                <w:sz w:val="21"/>
                <w:szCs w:val="21"/>
                <w:color w:val="41516E"/>
                <w:vertAlign w:val="superscript"/>
              </w:rPr>
              <w:t>(2)</w:t>
            </w:r>
          </w:p>
        </w:tc>
        <w:tc>
          <w:tcPr>
            <w:tcW w:w="200" w:type="dxa"/>
            <w:vAlign w:val="bottom"/>
            <w:shd w:val="clear" w:color="auto" w:fill="EFF0F1"/>
          </w:tcPr>
          <w:p>
            <w:pPr>
              <w:spacing w:after="0"/>
              <w:rPr>
                <w:sz w:val="16"/>
                <w:szCs w:val="16"/>
                <w:color w:val="auto"/>
              </w:rPr>
            </w:pPr>
          </w:p>
        </w:tc>
        <w:tc>
          <w:tcPr>
            <w:tcW w:w="1280" w:type="dxa"/>
            <w:vAlign w:val="bottom"/>
            <w:shd w:val="clear" w:color="auto" w:fill="EFF0F1"/>
          </w:tcPr>
          <w:p>
            <w:pPr>
              <w:jc w:val="right"/>
              <w:ind w:right="147"/>
              <w:spacing w:after="0"/>
              <w:rPr>
                <w:sz w:val="20"/>
                <w:szCs w:val="20"/>
                <w:color w:val="auto"/>
              </w:rPr>
            </w:pPr>
            <w:r>
              <w:rPr>
                <w:rFonts w:ascii="Arial" w:cs="Arial" w:eastAsia="Arial" w:hAnsi="Arial"/>
                <w:sz w:val="14"/>
                <w:szCs w:val="14"/>
                <w:color w:val="41516E"/>
              </w:rPr>
              <w:t>—</w:t>
            </w:r>
          </w:p>
        </w:tc>
        <w:tc>
          <w:tcPr>
            <w:tcW w:w="1640" w:type="dxa"/>
            <w:vAlign w:val="bottom"/>
            <w:shd w:val="clear" w:color="auto" w:fill="EFF0F1"/>
          </w:tcPr>
          <w:p>
            <w:pPr>
              <w:jc w:val="right"/>
              <w:ind w:right="369"/>
              <w:spacing w:after="0"/>
              <w:rPr>
                <w:sz w:val="20"/>
                <w:szCs w:val="20"/>
                <w:color w:val="auto"/>
              </w:rPr>
            </w:pPr>
            <w:r>
              <w:rPr>
                <w:rFonts w:ascii="Arial" w:cs="Arial" w:eastAsia="Arial" w:hAnsi="Arial"/>
                <w:sz w:val="14"/>
                <w:szCs w:val="14"/>
                <w:color w:val="41516E"/>
              </w:rPr>
              <w:t>—</w:t>
            </w:r>
          </w:p>
        </w:tc>
        <w:tc>
          <w:tcPr>
            <w:tcW w:w="180" w:type="dxa"/>
            <w:vAlign w:val="bottom"/>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shd w:val="clear" w:color="auto" w:fill="EFF0F1"/>
          </w:tcPr>
          <w:p>
            <w:pPr>
              <w:jc w:val="right"/>
              <w:ind w:right="168"/>
              <w:spacing w:after="0"/>
              <w:rPr>
                <w:sz w:val="20"/>
                <w:szCs w:val="20"/>
                <w:color w:val="auto"/>
              </w:rPr>
            </w:pPr>
            <w:r>
              <w:rPr>
                <w:rFonts w:ascii="Arial" w:cs="Arial" w:eastAsia="Arial" w:hAnsi="Arial"/>
                <w:sz w:val="14"/>
                <w:szCs w:val="14"/>
                <w:color w:val="41516E"/>
              </w:rPr>
              <w:t>262.25</w:t>
            </w:r>
          </w:p>
        </w:tc>
        <w:tc>
          <w:tcPr>
            <w:tcW w:w="1240" w:type="dxa"/>
            <w:vAlign w:val="bottom"/>
            <w:gridSpan w:val="3"/>
            <w:shd w:val="clear" w:color="auto" w:fill="EFF0F1"/>
          </w:tcPr>
          <w:p>
            <w:pPr>
              <w:jc w:val="right"/>
              <w:ind w:right="300"/>
              <w:spacing w:after="0"/>
              <w:rPr>
                <w:sz w:val="20"/>
                <w:szCs w:val="20"/>
                <w:color w:val="auto"/>
              </w:rPr>
            </w:pPr>
            <w:r>
              <w:rPr>
                <w:rFonts w:ascii="Arial" w:cs="Arial" w:eastAsia="Arial" w:hAnsi="Arial"/>
                <w:sz w:val="14"/>
                <w:szCs w:val="14"/>
                <w:color w:val="41516E"/>
              </w:rPr>
              <w:t>5/27/2025</w:t>
            </w:r>
          </w:p>
        </w:tc>
        <w:tc>
          <w:tcPr>
            <w:tcW w:w="1220" w:type="dxa"/>
            <w:vAlign w:val="bottom"/>
            <w:shd w:val="clear" w:color="auto" w:fill="EFF0F1"/>
          </w:tcPr>
          <w:p>
            <w:pPr>
              <w:jc w:val="right"/>
              <w:ind w:right="77"/>
              <w:spacing w:after="0" w:line="189" w:lineRule="exact"/>
              <w:rPr>
                <w:sz w:val="20"/>
                <w:szCs w:val="20"/>
                <w:color w:val="auto"/>
              </w:rPr>
            </w:pPr>
            <w:r>
              <w:rPr>
                <w:rFonts w:ascii="Arial" w:cs="Arial" w:eastAsia="Arial" w:hAnsi="Arial"/>
                <w:sz w:val="21"/>
                <w:szCs w:val="21"/>
                <w:color w:val="41516E"/>
                <w:vertAlign w:val="subscript"/>
              </w:rPr>
              <w:t>973</w:t>
            </w:r>
            <w:r>
              <w:rPr>
                <w:rFonts w:ascii="Arial" w:cs="Arial" w:eastAsia="Arial" w:hAnsi="Arial"/>
                <w:sz w:val="10"/>
                <w:szCs w:val="10"/>
                <w:color w:val="41516E"/>
              </w:rPr>
              <w:t>(11)</w:t>
            </w:r>
          </w:p>
        </w:tc>
        <w:tc>
          <w:tcPr>
            <w:tcW w:w="220" w:type="dxa"/>
            <w:vAlign w:val="bottom"/>
            <w:shd w:val="clear" w:color="auto" w:fill="EFF0F1"/>
          </w:tcPr>
          <w:p>
            <w:pPr>
              <w:ind w:left="120"/>
              <w:spacing w:after="0"/>
              <w:rPr>
                <w:sz w:val="20"/>
                <w:szCs w:val="20"/>
                <w:color w:val="auto"/>
              </w:rPr>
            </w:pPr>
            <w:r>
              <w:rPr>
                <w:rFonts w:ascii="Arial" w:cs="Arial" w:eastAsia="Arial" w:hAnsi="Arial"/>
                <w:sz w:val="14"/>
                <w:szCs w:val="14"/>
                <w:color w:val="41516E"/>
              </w:rPr>
              <w:t>$</w:t>
            </w:r>
          </w:p>
        </w:tc>
        <w:tc>
          <w:tcPr>
            <w:tcW w:w="880" w:type="dxa"/>
            <w:vAlign w:val="bottom"/>
            <w:gridSpan w:val="2"/>
            <w:shd w:val="clear" w:color="auto" w:fill="EFF0F1"/>
          </w:tcPr>
          <w:p>
            <w:pPr>
              <w:jc w:val="right"/>
              <w:ind w:right="24"/>
              <w:spacing w:after="0"/>
              <w:rPr>
                <w:sz w:val="20"/>
                <w:szCs w:val="20"/>
                <w:color w:val="auto"/>
              </w:rPr>
            </w:pPr>
            <w:r>
              <w:rPr>
                <w:rFonts w:ascii="Arial" w:cs="Arial" w:eastAsia="Arial" w:hAnsi="Arial"/>
                <w:sz w:val="14"/>
                <w:szCs w:val="14"/>
                <w:color w:val="41516E"/>
              </w:rPr>
              <w:t>336,259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50"/>
              <w:spacing w:after="0" w:line="189" w:lineRule="exact"/>
              <w:rPr>
                <w:sz w:val="20"/>
                <w:szCs w:val="20"/>
                <w:color w:val="auto"/>
              </w:rPr>
            </w:pPr>
            <w:r>
              <w:rPr>
                <w:rFonts w:ascii="Arial" w:cs="Arial" w:eastAsia="Arial" w:hAnsi="Arial"/>
                <w:sz w:val="13"/>
                <w:szCs w:val="13"/>
                <w:color w:val="41516E"/>
              </w:rPr>
              <w:t>1,560</w:t>
            </w:r>
            <w:r>
              <w:rPr>
                <w:rFonts w:ascii="Arial" w:cs="Arial" w:eastAsia="Arial" w:hAnsi="Arial"/>
                <w:sz w:val="21"/>
                <w:szCs w:val="21"/>
                <w:color w:val="41516E"/>
                <w:vertAlign w:val="superscript"/>
              </w:rPr>
              <w:t>(2)</w:t>
            </w:r>
          </w:p>
        </w:tc>
        <w:tc>
          <w:tcPr>
            <w:tcW w:w="200" w:type="dxa"/>
            <w:vAlign w:val="bottom"/>
          </w:tcPr>
          <w:p>
            <w:pPr>
              <w:spacing w:after="0"/>
              <w:rPr>
                <w:sz w:val="16"/>
                <w:szCs w:val="16"/>
                <w:color w:val="auto"/>
              </w:rPr>
            </w:pPr>
          </w:p>
        </w:tc>
        <w:tc>
          <w:tcPr>
            <w:tcW w:w="1280" w:type="dxa"/>
            <w:vAlign w:val="bottom"/>
          </w:tcPr>
          <w:p>
            <w:pPr>
              <w:jc w:val="right"/>
              <w:ind w:right="147"/>
              <w:spacing w:after="0"/>
              <w:rPr>
                <w:sz w:val="20"/>
                <w:szCs w:val="20"/>
                <w:color w:val="auto"/>
              </w:rPr>
            </w:pPr>
            <w:r>
              <w:rPr>
                <w:rFonts w:ascii="Arial" w:cs="Arial" w:eastAsia="Arial" w:hAnsi="Arial"/>
                <w:sz w:val="14"/>
                <w:szCs w:val="14"/>
                <w:color w:val="41516E"/>
              </w:rPr>
              <w:t>—</w:t>
            </w:r>
          </w:p>
        </w:tc>
        <w:tc>
          <w:tcPr>
            <w:tcW w:w="1640" w:type="dxa"/>
            <w:vAlign w:val="bottom"/>
          </w:tcPr>
          <w:p>
            <w:pPr>
              <w:jc w:val="right"/>
              <w:ind w:right="369"/>
              <w:spacing w:after="0"/>
              <w:rPr>
                <w:sz w:val="20"/>
                <w:szCs w:val="20"/>
                <w:color w:val="auto"/>
              </w:rPr>
            </w:pPr>
            <w:r>
              <w:rPr>
                <w:rFonts w:ascii="Arial" w:cs="Arial" w:eastAsia="Arial" w:hAnsi="Arial"/>
                <w:sz w:val="14"/>
                <w:szCs w:val="14"/>
                <w:color w:val="41516E"/>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157.58</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41516E"/>
              </w:rPr>
              <w:t>5/25/2026</w:t>
            </w:r>
          </w:p>
        </w:tc>
        <w:tc>
          <w:tcPr>
            <w:tcW w:w="1220" w:type="dxa"/>
            <w:vAlign w:val="bottom"/>
          </w:tcPr>
          <w:p>
            <w:pPr>
              <w:jc w:val="right"/>
              <w:ind w:right="77"/>
              <w:spacing w:after="0" w:line="189" w:lineRule="exact"/>
              <w:rPr>
                <w:sz w:val="20"/>
                <w:szCs w:val="20"/>
                <w:color w:val="auto"/>
              </w:rPr>
            </w:pPr>
            <w:r>
              <w:rPr>
                <w:rFonts w:ascii="Arial" w:cs="Arial" w:eastAsia="Arial" w:hAnsi="Arial"/>
                <w:sz w:val="13"/>
                <w:szCs w:val="13"/>
                <w:color w:val="41516E"/>
              </w:rPr>
              <w:t>4,861</w:t>
            </w:r>
            <w:r>
              <w:rPr>
                <w:rFonts w:ascii="Arial" w:cs="Arial" w:eastAsia="Arial" w:hAnsi="Arial"/>
                <w:sz w:val="21"/>
                <w:szCs w:val="21"/>
                <w:color w:val="41516E"/>
                <w:vertAlign w:val="superscript"/>
              </w:rPr>
              <w:t>(12)</w:t>
            </w:r>
          </w:p>
        </w:tc>
        <w:tc>
          <w:tcPr>
            <w:tcW w:w="220" w:type="dxa"/>
            <w:vAlign w:val="bottom"/>
          </w:tcPr>
          <w:p>
            <w:pPr>
              <w:ind w:left="120"/>
              <w:spacing w:after="0"/>
              <w:rPr>
                <w:sz w:val="20"/>
                <w:szCs w:val="20"/>
                <w:color w:val="auto"/>
              </w:rPr>
            </w:pPr>
            <w:r>
              <w:rPr>
                <w:rFonts w:ascii="Arial" w:cs="Arial" w:eastAsia="Arial" w:hAnsi="Arial"/>
                <w:sz w:val="14"/>
                <w:szCs w:val="14"/>
                <w:color w:val="41516E"/>
              </w:rPr>
              <w:t>$</w:t>
            </w:r>
          </w:p>
        </w:tc>
        <w:tc>
          <w:tcPr>
            <w:tcW w:w="880" w:type="dxa"/>
            <w:vAlign w:val="bottom"/>
            <w:gridSpan w:val="2"/>
          </w:tcPr>
          <w:p>
            <w:pPr>
              <w:jc w:val="right"/>
              <w:ind w:right="24"/>
              <w:spacing w:after="0"/>
              <w:rPr>
                <w:sz w:val="20"/>
                <w:szCs w:val="20"/>
                <w:color w:val="auto"/>
              </w:rPr>
            </w:pPr>
            <w:r>
              <w:rPr>
                <w:rFonts w:ascii="Arial" w:cs="Arial" w:eastAsia="Arial" w:hAnsi="Arial"/>
                <w:sz w:val="14"/>
                <w:szCs w:val="14"/>
                <w:color w:val="41516E"/>
              </w:rPr>
              <w:t>1,679,913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EFF0F1"/>
          </w:tcPr>
          <w:p>
            <w:pPr>
              <w:spacing w:after="0"/>
              <w:rPr>
                <w:sz w:val="16"/>
                <w:szCs w:val="16"/>
                <w:color w:val="auto"/>
              </w:rPr>
            </w:pPr>
          </w:p>
        </w:tc>
        <w:tc>
          <w:tcPr>
            <w:tcW w:w="540" w:type="dxa"/>
            <w:vAlign w:val="bottom"/>
            <w:shd w:val="clear" w:color="auto" w:fill="EFF0F1"/>
          </w:tcPr>
          <w:p>
            <w:pPr>
              <w:spacing w:after="0"/>
              <w:rPr>
                <w:sz w:val="16"/>
                <w:szCs w:val="16"/>
                <w:color w:val="auto"/>
              </w:rPr>
            </w:pPr>
          </w:p>
        </w:tc>
        <w:tc>
          <w:tcPr>
            <w:tcW w:w="1160" w:type="dxa"/>
            <w:vAlign w:val="bottom"/>
            <w:shd w:val="clear" w:color="auto" w:fill="EFF0F1"/>
          </w:tcPr>
          <w:p>
            <w:pPr>
              <w:jc w:val="right"/>
              <w:ind w:right="50"/>
              <w:spacing w:after="0" w:line="189" w:lineRule="exact"/>
              <w:rPr>
                <w:sz w:val="20"/>
                <w:szCs w:val="20"/>
                <w:color w:val="auto"/>
              </w:rPr>
            </w:pPr>
            <w:r>
              <w:rPr>
                <w:rFonts w:ascii="Arial" w:cs="Arial" w:eastAsia="Arial" w:hAnsi="Arial"/>
                <w:sz w:val="13"/>
                <w:szCs w:val="13"/>
                <w:color w:val="41516E"/>
              </w:rPr>
              <w:t>1,698</w:t>
            </w:r>
            <w:r>
              <w:rPr>
                <w:rFonts w:ascii="Arial" w:cs="Arial" w:eastAsia="Arial" w:hAnsi="Arial"/>
                <w:sz w:val="21"/>
                <w:szCs w:val="21"/>
                <w:color w:val="41516E"/>
                <w:vertAlign w:val="superscript"/>
              </w:rPr>
              <w:t>(2)</w:t>
            </w:r>
          </w:p>
        </w:tc>
        <w:tc>
          <w:tcPr>
            <w:tcW w:w="200" w:type="dxa"/>
            <w:vAlign w:val="bottom"/>
            <w:shd w:val="clear" w:color="auto" w:fill="EFF0F1"/>
          </w:tcPr>
          <w:p>
            <w:pPr>
              <w:spacing w:after="0"/>
              <w:rPr>
                <w:sz w:val="16"/>
                <w:szCs w:val="16"/>
                <w:color w:val="auto"/>
              </w:rPr>
            </w:pPr>
          </w:p>
        </w:tc>
        <w:tc>
          <w:tcPr>
            <w:tcW w:w="1280" w:type="dxa"/>
            <w:vAlign w:val="bottom"/>
            <w:shd w:val="clear" w:color="auto" w:fill="EFF0F1"/>
          </w:tcPr>
          <w:p>
            <w:pPr>
              <w:jc w:val="right"/>
              <w:ind w:right="147"/>
              <w:spacing w:after="0"/>
              <w:rPr>
                <w:sz w:val="20"/>
                <w:szCs w:val="20"/>
                <w:color w:val="auto"/>
              </w:rPr>
            </w:pPr>
            <w:r>
              <w:rPr>
                <w:rFonts w:ascii="Arial" w:cs="Arial" w:eastAsia="Arial" w:hAnsi="Arial"/>
                <w:sz w:val="14"/>
                <w:szCs w:val="14"/>
                <w:color w:val="41516E"/>
              </w:rPr>
              <w:t>—</w:t>
            </w:r>
          </w:p>
        </w:tc>
        <w:tc>
          <w:tcPr>
            <w:tcW w:w="1640" w:type="dxa"/>
            <w:vAlign w:val="bottom"/>
            <w:shd w:val="clear" w:color="auto" w:fill="EFF0F1"/>
          </w:tcPr>
          <w:p>
            <w:pPr>
              <w:jc w:val="right"/>
              <w:ind w:right="369"/>
              <w:spacing w:after="0"/>
              <w:rPr>
                <w:sz w:val="20"/>
                <w:szCs w:val="20"/>
                <w:color w:val="auto"/>
              </w:rPr>
            </w:pPr>
            <w:r>
              <w:rPr>
                <w:rFonts w:ascii="Arial" w:cs="Arial" w:eastAsia="Arial" w:hAnsi="Arial"/>
                <w:sz w:val="14"/>
                <w:szCs w:val="14"/>
                <w:color w:val="41516E"/>
              </w:rPr>
              <w:t>—</w:t>
            </w:r>
          </w:p>
        </w:tc>
        <w:tc>
          <w:tcPr>
            <w:tcW w:w="180" w:type="dxa"/>
            <w:vAlign w:val="bottom"/>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shd w:val="clear" w:color="auto" w:fill="EFF0F1"/>
          </w:tcPr>
          <w:p>
            <w:pPr>
              <w:jc w:val="right"/>
              <w:ind w:right="168"/>
              <w:spacing w:after="0"/>
              <w:rPr>
                <w:sz w:val="20"/>
                <w:szCs w:val="20"/>
                <w:color w:val="auto"/>
              </w:rPr>
            </w:pPr>
            <w:r>
              <w:rPr>
                <w:rFonts w:ascii="Arial" w:cs="Arial" w:eastAsia="Arial" w:hAnsi="Arial"/>
                <w:sz w:val="14"/>
                <w:szCs w:val="14"/>
                <w:color w:val="41516E"/>
              </w:rPr>
              <w:t>140.05</w:t>
            </w:r>
          </w:p>
        </w:tc>
        <w:tc>
          <w:tcPr>
            <w:tcW w:w="1240" w:type="dxa"/>
            <w:vAlign w:val="bottom"/>
            <w:gridSpan w:val="3"/>
            <w:shd w:val="clear" w:color="auto" w:fill="EFF0F1"/>
          </w:tcPr>
          <w:p>
            <w:pPr>
              <w:jc w:val="right"/>
              <w:ind w:right="300"/>
              <w:spacing w:after="0"/>
              <w:rPr>
                <w:sz w:val="20"/>
                <w:szCs w:val="20"/>
                <w:color w:val="auto"/>
              </w:rPr>
            </w:pPr>
            <w:r>
              <w:rPr>
                <w:rFonts w:ascii="Arial" w:cs="Arial" w:eastAsia="Arial" w:hAnsi="Arial"/>
                <w:sz w:val="14"/>
                <w:szCs w:val="14"/>
                <w:color w:val="41516E"/>
              </w:rPr>
              <w:t>5/18/2027</w:t>
            </w:r>
          </w:p>
        </w:tc>
        <w:tc>
          <w:tcPr>
            <w:tcW w:w="1220" w:type="dxa"/>
            <w:vAlign w:val="bottom"/>
            <w:shd w:val="clear" w:color="auto" w:fill="EFF0F1"/>
          </w:tcPr>
          <w:p>
            <w:pPr>
              <w:jc w:val="right"/>
              <w:ind w:right="77"/>
              <w:spacing w:after="0" w:line="189" w:lineRule="exact"/>
              <w:rPr>
                <w:sz w:val="20"/>
                <w:szCs w:val="20"/>
                <w:color w:val="auto"/>
              </w:rPr>
            </w:pPr>
            <w:r>
              <w:rPr>
                <w:rFonts w:ascii="Arial" w:cs="Arial" w:eastAsia="Arial" w:hAnsi="Arial"/>
                <w:sz w:val="13"/>
                <w:szCs w:val="13"/>
                <w:color w:val="41516E"/>
              </w:rPr>
              <w:t>3,912</w:t>
            </w:r>
            <w:r>
              <w:rPr>
                <w:rFonts w:ascii="Arial" w:cs="Arial" w:eastAsia="Arial" w:hAnsi="Arial"/>
                <w:sz w:val="21"/>
                <w:szCs w:val="21"/>
                <w:color w:val="41516E"/>
                <w:vertAlign w:val="superscript"/>
              </w:rPr>
              <w:t>(13)</w:t>
            </w:r>
          </w:p>
        </w:tc>
        <w:tc>
          <w:tcPr>
            <w:tcW w:w="220" w:type="dxa"/>
            <w:vAlign w:val="bottom"/>
            <w:shd w:val="clear" w:color="auto" w:fill="EFF0F1"/>
          </w:tcPr>
          <w:p>
            <w:pPr>
              <w:ind w:left="120"/>
              <w:spacing w:after="0"/>
              <w:rPr>
                <w:sz w:val="20"/>
                <w:szCs w:val="20"/>
                <w:color w:val="auto"/>
              </w:rPr>
            </w:pPr>
            <w:r>
              <w:rPr>
                <w:rFonts w:ascii="Arial" w:cs="Arial" w:eastAsia="Arial" w:hAnsi="Arial"/>
                <w:sz w:val="14"/>
                <w:szCs w:val="14"/>
                <w:color w:val="41516E"/>
              </w:rPr>
              <w:t>$</w:t>
            </w:r>
          </w:p>
        </w:tc>
        <w:tc>
          <w:tcPr>
            <w:tcW w:w="880" w:type="dxa"/>
            <w:vAlign w:val="bottom"/>
            <w:gridSpan w:val="2"/>
            <w:shd w:val="clear" w:color="auto" w:fill="EFF0F1"/>
          </w:tcPr>
          <w:p>
            <w:pPr>
              <w:jc w:val="right"/>
              <w:ind w:right="24"/>
              <w:spacing w:after="0"/>
              <w:rPr>
                <w:sz w:val="20"/>
                <w:szCs w:val="20"/>
                <w:color w:val="auto"/>
              </w:rPr>
            </w:pPr>
            <w:r>
              <w:rPr>
                <w:rFonts w:ascii="Arial" w:cs="Arial" w:eastAsia="Arial" w:hAnsi="Arial"/>
                <w:sz w:val="14"/>
                <w:szCs w:val="14"/>
                <w:color w:val="41516E"/>
              </w:rPr>
              <w:t>1,351,948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50"/>
              <w:spacing w:after="0" w:line="189" w:lineRule="exact"/>
              <w:rPr>
                <w:sz w:val="20"/>
                <w:szCs w:val="20"/>
                <w:color w:val="auto"/>
              </w:rPr>
            </w:pPr>
            <w:r>
              <w:rPr>
                <w:rFonts w:ascii="Arial" w:cs="Arial" w:eastAsia="Arial" w:hAnsi="Arial"/>
                <w:sz w:val="13"/>
                <w:szCs w:val="13"/>
                <w:color w:val="41516E"/>
              </w:rPr>
              <w:t>9,959</w:t>
            </w:r>
            <w:r>
              <w:rPr>
                <w:rFonts w:ascii="Arial" w:cs="Arial" w:eastAsia="Arial" w:hAnsi="Arial"/>
                <w:sz w:val="21"/>
                <w:szCs w:val="21"/>
                <w:color w:val="41516E"/>
                <w:vertAlign w:val="superscript"/>
              </w:rPr>
              <w:t>(3)</w:t>
            </w:r>
          </w:p>
        </w:tc>
        <w:tc>
          <w:tcPr>
            <w:tcW w:w="200" w:type="dxa"/>
            <w:vAlign w:val="bottom"/>
          </w:tcPr>
          <w:p>
            <w:pPr>
              <w:spacing w:after="0"/>
              <w:rPr>
                <w:sz w:val="16"/>
                <w:szCs w:val="16"/>
                <w:color w:val="auto"/>
              </w:rPr>
            </w:pPr>
          </w:p>
        </w:tc>
        <w:tc>
          <w:tcPr>
            <w:tcW w:w="1280" w:type="dxa"/>
            <w:vAlign w:val="bottom"/>
          </w:tcPr>
          <w:p>
            <w:pPr>
              <w:jc w:val="right"/>
              <w:ind w:right="147"/>
              <w:spacing w:after="0"/>
              <w:rPr>
                <w:sz w:val="20"/>
                <w:szCs w:val="20"/>
                <w:color w:val="auto"/>
              </w:rPr>
            </w:pPr>
            <w:r>
              <w:rPr>
                <w:rFonts w:ascii="Arial" w:cs="Arial" w:eastAsia="Arial" w:hAnsi="Arial"/>
                <w:sz w:val="14"/>
                <w:szCs w:val="14"/>
                <w:color w:val="41516E"/>
              </w:rPr>
              <w:t>—</w:t>
            </w:r>
          </w:p>
        </w:tc>
        <w:tc>
          <w:tcPr>
            <w:tcW w:w="1640" w:type="dxa"/>
            <w:vAlign w:val="bottom"/>
          </w:tcPr>
          <w:p>
            <w:pPr>
              <w:jc w:val="right"/>
              <w:ind w:right="369"/>
              <w:spacing w:after="0"/>
              <w:rPr>
                <w:sz w:val="20"/>
                <w:szCs w:val="20"/>
                <w:color w:val="auto"/>
              </w:rPr>
            </w:pPr>
            <w:r>
              <w:rPr>
                <w:rFonts w:ascii="Arial" w:cs="Arial" w:eastAsia="Arial" w:hAnsi="Arial"/>
                <w:sz w:val="14"/>
                <w:szCs w:val="14"/>
                <w:color w:val="41516E"/>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229.30</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41516E"/>
              </w:rPr>
              <w:t>4/30/2028</w:t>
            </w:r>
          </w:p>
        </w:tc>
        <w:tc>
          <w:tcPr>
            <w:tcW w:w="1220" w:type="dxa"/>
            <w:vAlign w:val="bottom"/>
          </w:tcPr>
          <w:p>
            <w:pPr>
              <w:jc w:val="right"/>
              <w:ind w:right="77"/>
              <w:spacing w:after="0" w:line="189" w:lineRule="exact"/>
              <w:rPr>
                <w:sz w:val="20"/>
                <w:szCs w:val="20"/>
                <w:color w:val="auto"/>
              </w:rPr>
            </w:pPr>
            <w:r>
              <w:rPr>
                <w:rFonts w:ascii="Arial" w:cs="Arial" w:eastAsia="Arial" w:hAnsi="Arial"/>
                <w:sz w:val="13"/>
                <w:szCs w:val="13"/>
                <w:color w:val="41516E"/>
              </w:rPr>
              <w:t>6,177</w:t>
            </w:r>
            <w:r>
              <w:rPr>
                <w:rFonts w:ascii="Arial" w:cs="Arial" w:eastAsia="Arial" w:hAnsi="Arial"/>
                <w:sz w:val="21"/>
                <w:szCs w:val="21"/>
                <w:color w:val="41516E"/>
                <w:vertAlign w:val="superscript"/>
              </w:rPr>
              <w:t>(14)</w:t>
            </w:r>
          </w:p>
        </w:tc>
        <w:tc>
          <w:tcPr>
            <w:tcW w:w="220" w:type="dxa"/>
            <w:vAlign w:val="bottom"/>
          </w:tcPr>
          <w:p>
            <w:pPr>
              <w:ind w:left="120"/>
              <w:spacing w:after="0"/>
              <w:rPr>
                <w:sz w:val="20"/>
                <w:szCs w:val="20"/>
                <w:color w:val="auto"/>
              </w:rPr>
            </w:pPr>
            <w:r>
              <w:rPr>
                <w:rFonts w:ascii="Arial" w:cs="Arial" w:eastAsia="Arial" w:hAnsi="Arial"/>
                <w:sz w:val="14"/>
                <w:szCs w:val="14"/>
                <w:color w:val="41516E"/>
              </w:rPr>
              <w:t>$</w:t>
            </w:r>
          </w:p>
        </w:tc>
        <w:tc>
          <w:tcPr>
            <w:tcW w:w="880" w:type="dxa"/>
            <w:vAlign w:val="bottom"/>
            <w:gridSpan w:val="2"/>
          </w:tcPr>
          <w:p>
            <w:pPr>
              <w:jc w:val="right"/>
              <w:ind w:right="24"/>
              <w:spacing w:after="0"/>
              <w:rPr>
                <w:sz w:val="20"/>
                <w:szCs w:val="20"/>
                <w:color w:val="auto"/>
              </w:rPr>
            </w:pPr>
            <w:r>
              <w:rPr>
                <w:rFonts w:ascii="Arial" w:cs="Arial" w:eastAsia="Arial" w:hAnsi="Arial"/>
                <w:sz w:val="14"/>
                <w:szCs w:val="14"/>
                <w:color w:val="41516E"/>
              </w:rPr>
              <w:t>2,134,709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EFF0F1"/>
          </w:tcPr>
          <w:p>
            <w:pPr>
              <w:spacing w:after="0"/>
              <w:rPr>
                <w:sz w:val="16"/>
                <w:szCs w:val="16"/>
                <w:color w:val="auto"/>
              </w:rPr>
            </w:pPr>
          </w:p>
        </w:tc>
        <w:tc>
          <w:tcPr>
            <w:tcW w:w="540" w:type="dxa"/>
            <w:vAlign w:val="bottom"/>
            <w:shd w:val="clear" w:color="auto" w:fill="EFF0F1"/>
          </w:tcPr>
          <w:p>
            <w:pPr>
              <w:spacing w:after="0"/>
              <w:rPr>
                <w:sz w:val="16"/>
                <w:szCs w:val="16"/>
                <w:color w:val="auto"/>
              </w:rPr>
            </w:pPr>
          </w:p>
        </w:tc>
        <w:tc>
          <w:tcPr>
            <w:tcW w:w="1160" w:type="dxa"/>
            <w:vAlign w:val="bottom"/>
            <w:shd w:val="clear" w:color="auto" w:fill="EFF0F1"/>
          </w:tcPr>
          <w:p>
            <w:pPr>
              <w:jc w:val="right"/>
              <w:ind w:right="50"/>
              <w:spacing w:after="0" w:line="189" w:lineRule="exact"/>
              <w:rPr>
                <w:sz w:val="20"/>
                <w:szCs w:val="20"/>
                <w:color w:val="auto"/>
              </w:rPr>
            </w:pPr>
            <w:r>
              <w:rPr>
                <w:rFonts w:ascii="Arial" w:cs="Arial" w:eastAsia="Arial" w:hAnsi="Arial"/>
                <w:sz w:val="13"/>
                <w:szCs w:val="13"/>
                <w:color w:val="41516E"/>
              </w:rPr>
              <w:t>7,352</w:t>
            </w:r>
            <w:r>
              <w:rPr>
                <w:rFonts w:ascii="Arial" w:cs="Arial" w:eastAsia="Arial" w:hAnsi="Arial"/>
                <w:sz w:val="21"/>
                <w:szCs w:val="21"/>
                <w:color w:val="41516E"/>
                <w:vertAlign w:val="superscript"/>
              </w:rPr>
              <w:t>(4)</w:t>
            </w:r>
          </w:p>
        </w:tc>
        <w:tc>
          <w:tcPr>
            <w:tcW w:w="200" w:type="dxa"/>
            <w:vAlign w:val="bottom"/>
            <w:shd w:val="clear" w:color="auto" w:fill="EFF0F1"/>
          </w:tcPr>
          <w:p>
            <w:pPr>
              <w:spacing w:after="0"/>
              <w:rPr>
                <w:sz w:val="16"/>
                <w:szCs w:val="16"/>
                <w:color w:val="auto"/>
              </w:rPr>
            </w:pPr>
          </w:p>
        </w:tc>
        <w:tc>
          <w:tcPr>
            <w:tcW w:w="1280" w:type="dxa"/>
            <w:vAlign w:val="bottom"/>
            <w:shd w:val="clear" w:color="auto" w:fill="EFF0F1"/>
          </w:tcPr>
          <w:p>
            <w:pPr>
              <w:jc w:val="right"/>
              <w:ind w:right="147"/>
              <w:spacing w:after="0"/>
              <w:rPr>
                <w:sz w:val="20"/>
                <w:szCs w:val="20"/>
                <w:color w:val="auto"/>
              </w:rPr>
            </w:pPr>
            <w:r>
              <w:rPr>
                <w:rFonts w:ascii="Arial" w:cs="Arial" w:eastAsia="Arial" w:hAnsi="Arial"/>
                <w:sz w:val="14"/>
                <w:szCs w:val="14"/>
                <w:color w:val="41516E"/>
              </w:rPr>
              <w:t>—</w:t>
            </w:r>
          </w:p>
        </w:tc>
        <w:tc>
          <w:tcPr>
            <w:tcW w:w="1640" w:type="dxa"/>
            <w:vAlign w:val="bottom"/>
            <w:shd w:val="clear" w:color="auto" w:fill="EFF0F1"/>
          </w:tcPr>
          <w:p>
            <w:pPr>
              <w:jc w:val="right"/>
              <w:ind w:right="369"/>
              <w:spacing w:after="0"/>
              <w:rPr>
                <w:sz w:val="20"/>
                <w:szCs w:val="20"/>
                <w:color w:val="auto"/>
              </w:rPr>
            </w:pPr>
            <w:r>
              <w:rPr>
                <w:rFonts w:ascii="Arial" w:cs="Arial" w:eastAsia="Arial" w:hAnsi="Arial"/>
                <w:sz w:val="14"/>
                <w:szCs w:val="14"/>
                <w:color w:val="41516E"/>
              </w:rPr>
              <w:t>—</w:t>
            </w:r>
          </w:p>
        </w:tc>
        <w:tc>
          <w:tcPr>
            <w:tcW w:w="180" w:type="dxa"/>
            <w:vAlign w:val="bottom"/>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shd w:val="clear" w:color="auto" w:fill="EFF0F1"/>
          </w:tcPr>
          <w:p>
            <w:pPr>
              <w:jc w:val="right"/>
              <w:ind w:right="168"/>
              <w:spacing w:after="0"/>
              <w:rPr>
                <w:sz w:val="20"/>
                <w:szCs w:val="20"/>
                <w:color w:val="auto"/>
              </w:rPr>
            </w:pPr>
            <w:r>
              <w:rPr>
                <w:rFonts w:ascii="Arial" w:cs="Arial" w:eastAsia="Arial" w:hAnsi="Arial"/>
                <w:sz w:val="14"/>
                <w:szCs w:val="14"/>
                <w:color w:val="41516E"/>
              </w:rPr>
              <w:t>312.56</w:t>
            </w:r>
          </w:p>
        </w:tc>
        <w:tc>
          <w:tcPr>
            <w:tcW w:w="1240" w:type="dxa"/>
            <w:vAlign w:val="bottom"/>
            <w:gridSpan w:val="3"/>
            <w:shd w:val="clear" w:color="auto" w:fill="EFF0F1"/>
          </w:tcPr>
          <w:p>
            <w:pPr>
              <w:jc w:val="right"/>
              <w:ind w:right="300"/>
              <w:spacing w:after="0"/>
              <w:rPr>
                <w:sz w:val="20"/>
                <w:szCs w:val="20"/>
                <w:color w:val="auto"/>
              </w:rPr>
            </w:pPr>
            <w:r>
              <w:rPr>
                <w:rFonts w:ascii="Arial" w:cs="Arial" w:eastAsia="Arial" w:hAnsi="Arial"/>
                <w:sz w:val="14"/>
                <w:szCs w:val="14"/>
                <w:color w:val="41516E"/>
              </w:rPr>
              <w:t>2/28/2029</w:t>
            </w:r>
          </w:p>
        </w:tc>
        <w:tc>
          <w:tcPr>
            <w:tcW w:w="1220" w:type="dxa"/>
            <w:vAlign w:val="bottom"/>
            <w:shd w:val="clear" w:color="auto" w:fill="EFF0F1"/>
          </w:tcPr>
          <w:p>
            <w:pPr>
              <w:spacing w:after="0"/>
              <w:rPr>
                <w:sz w:val="16"/>
                <w:szCs w:val="16"/>
                <w:color w:val="auto"/>
              </w:rPr>
            </w:pPr>
          </w:p>
        </w:tc>
        <w:tc>
          <w:tcPr>
            <w:tcW w:w="220" w:type="dxa"/>
            <w:vAlign w:val="bottom"/>
            <w:shd w:val="clear" w:color="auto" w:fill="EFF0F1"/>
          </w:tcPr>
          <w:p>
            <w:pPr>
              <w:spacing w:after="0"/>
              <w:rPr>
                <w:sz w:val="16"/>
                <w:szCs w:val="16"/>
                <w:color w:val="auto"/>
              </w:rPr>
            </w:pPr>
          </w:p>
        </w:tc>
        <w:tc>
          <w:tcPr>
            <w:tcW w:w="460" w:type="dxa"/>
            <w:vAlign w:val="bottom"/>
            <w:shd w:val="clear" w:color="auto" w:fill="EFF0F1"/>
          </w:tcPr>
          <w:p>
            <w:pPr>
              <w:spacing w:after="0"/>
              <w:rPr>
                <w:sz w:val="16"/>
                <w:szCs w:val="16"/>
                <w:color w:val="auto"/>
              </w:rPr>
            </w:pPr>
          </w:p>
        </w:tc>
        <w:tc>
          <w:tcPr>
            <w:tcW w:w="420" w:type="dxa"/>
            <w:vAlign w:val="bottom"/>
            <w:shd w:val="clear" w:color="auto" w:fill="EFF0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190"/>
              <w:spacing w:after="0"/>
              <w:rPr>
                <w:sz w:val="20"/>
                <w:szCs w:val="20"/>
                <w:color w:val="auto"/>
              </w:rPr>
            </w:pPr>
            <w:r>
              <w:rPr>
                <w:rFonts w:ascii="Arial" w:cs="Arial" w:eastAsia="Arial" w:hAnsi="Arial"/>
                <w:sz w:val="14"/>
                <w:szCs w:val="14"/>
                <w:color w:val="41516E"/>
              </w:rPr>
              <w:t>4,686</w:t>
            </w:r>
          </w:p>
        </w:tc>
        <w:tc>
          <w:tcPr>
            <w:tcW w:w="1480" w:type="dxa"/>
            <w:vAlign w:val="bottom"/>
            <w:gridSpan w:val="2"/>
          </w:tcPr>
          <w:p>
            <w:pPr>
              <w:jc w:val="right"/>
              <w:ind w:right="7"/>
              <w:spacing w:after="0" w:line="189" w:lineRule="exact"/>
              <w:rPr>
                <w:sz w:val="20"/>
                <w:szCs w:val="20"/>
                <w:color w:val="auto"/>
              </w:rPr>
            </w:pPr>
            <w:r>
              <w:rPr>
                <w:rFonts w:ascii="Arial" w:cs="Arial" w:eastAsia="Arial" w:hAnsi="Arial"/>
                <w:sz w:val="13"/>
                <w:szCs w:val="13"/>
                <w:color w:val="41516E"/>
              </w:rPr>
              <w:t>2,343</w:t>
            </w:r>
            <w:r>
              <w:rPr>
                <w:rFonts w:ascii="Arial" w:cs="Arial" w:eastAsia="Arial" w:hAnsi="Arial"/>
                <w:sz w:val="21"/>
                <w:szCs w:val="21"/>
                <w:color w:val="41516E"/>
                <w:vertAlign w:val="superscript"/>
              </w:rPr>
              <w:t>(5)</w:t>
            </w:r>
          </w:p>
        </w:tc>
        <w:tc>
          <w:tcPr>
            <w:tcW w:w="1640" w:type="dxa"/>
            <w:vAlign w:val="bottom"/>
          </w:tcPr>
          <w:p>
            <w:pPr>
              <w:jc w:val="right"/>
              <w:ind w:right="369"/>
              <w:spacing w:after="0"/>
              <w:rPr>
                <w:sz w:val="20"/>
                <w:szCs w:val="20"/>
                <w:color w:val="auto"/>
              </w:rPr>
            </w:pPr>
            <w:r>
              <w:rPr>
                <w:rFonts w:ascii="Arial" w:cs="Arial" w:eastAsia="Arial" w:hAnsi="Arial"/>
                <w:sz w:val="14"/>
                <w:szCs w:val="14"/>
                <w:color w:val="41516E"/>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370.79</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41516E"/>
              </w:rPr>
              <w:t>2/28/2030</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EFF0F1"/>
          </w:tcPr>
          <w:p>
            <w:pPr>
              <w:spacing w:after="0"/>
              <w:rPr>
                <w:sz w:val="16"/>
                <w:szCs w:val="16"/>
                <w:color w:val="auto"/>
              </w:rPr>
            </w:pPr>
          </w:p>
        </w:tc>
        <w:tc>
          <w:tcPr>
            <w:tcW w:w="540" w:type="dxa"/>
            <w:vAlign w:val="bottom"/>
            <w:shd w:val="clear" w:color="auto" w:fill="EFF0F1"/>
          </w:tcPr>
          <w:p>
            <w:pPr>
              <w:spacing w:after="0"/>
              <w:rPr>
                <w:sz w:val="16"/>
                <w:szCs w:val="16"/>
                <w:color w:val="auto"/>
              </w:rPr>
            </w:pPr>
          </w:p>
        </w:tc>
        <w:tc>
          <w:tcPr>
            <w:tcW w:w="1160" w:type="dxa"/>
            <w:vAlign w:val="bottom"/>
            <w:shd w:val="clear" w:color="auto" w:fill="EFF0F1"/>
          </w:tcPr>
          <w:p>
            <w:pPr>
              <w:jc w:val="right"/>
              <w:ind w:right="190"/>
              <w:spacing w:after="0"/>
              <w:rPr>
                <w:sz w:val="20"/>
                <w:szCs w:val="20"/>
                <w:color w:val="auto"/>
              </w:rPr>
            </w:pPr>
            <w:r>
              <w:rPr>
                <w:rFonts w:ascii="Arial" w:cs="Arial" w:eastAsia="Arial" w:hAnsi="Arial"/>
                <w:sz w:val="14"/>
                <w:szCs w:val="14"/>
                <w:color w:val="41516E"/>
              </w:rPr>
              <w:t>1,482</w:t>
            </w:r>
          </w:p>
        </w:tc>
        <w:tc>
          <w:tcPr>
            <w:tcW w:w="1480" w:type="dxa"/>
            <w:vAlign w:val="bottom"/>
            <w:gridSpan w:val="2"/>
            <w:shd w:val="clear" w:color="auto" w:fill="EFF0F1"/>
          </w:tcPr>
          <w:p>
            <w:pPr>
              <w:jc w:val="right"/>
              <w:ind w:right="7"/>
              <w:spacing w:after="0" w:line="189" w:lineRule="exact"/>
              <w:rPr>
                <w:sz w:val="20"/>
                <w:szCs w:val="20"/>
                <w:color w:val="auto"/>
              </w:rPr>
            </w:pPr>
            <w:r>
              <w:rPr>
                <w:rFonts w:ascii="Arial" w:cs="Arial" w:eastAsia="Arial" w:hAnsi="Arial"/>
                <w:sz w:val="13"/>
                <w:szCs w:val="13"/>
                <w:color w:val="41516E"/>
              </w:rPr>
              <w:t>2,964</w:t>
            </w:r>
            <w:r>
              <w:rPr>
                <w:rFonts w:ascii="Arial" w:cs="Arial" w:eastAsia="Arial" w:hAnsi="Arial"/>
                <w:sz w:val="21"/>
                <w:szCs w:val="21"/>
                <w:color w:val="41516E"/>
                <w:vertAlign w:val="superscript"/>
              </w:rPr>
              <w:t>(6)</w:t>
            </w:r>
          </w:p>
        </w:tc>
        <w:tc>
          <w:tcPr>
            <w:tcW w:w="1640" w:type="dxa"/>
            <w:vAlign w:val="bottom"/>
            <w:shd w:val="clear" w:color="auto" w:fill="EFF0F1"/>
          </w:tcPr>
          <w:p>
            <w:pPr>
              <w:jc w:val="right"/>
              <w:ind w:right="369"/>
              <w:spacing w:after="0"/>
              <w:rPr>
                <w:sz w:val="20"/>
                <w:szCs w:val="20"/>
                <w:color w:val="auto"/>
              </w:rPr>
            </w:pPr>
            <w:r>
              <w:rPr>
                <w:rFonts w:ascii="Arial" w:cs="Arial" w:eastAsia="Arial" w:hAnsi="Arial"/>
                <w:sz w:val="14"/>
                <w:szCs w:val="14"/>
                <w:color w:val="41516E"/>
              </w:rPr>
              <w:t>—</w:t>
            </w:r>
          </w:p>
        </w:tc>
        <w:tc>
          <w:tcPr>
            <w:tcW w:w="180" w:type="dxa"/>
            <w:vAlign w:val="bottom"/>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shd w:val="clear" w:color="auto" w:fill="EFF0F1"/>
          </w:tcPr>
          <w:p>
            <w:pPr>
              <w:jc w:val="right"/>
              <w:ind w:right="168"/>
              <w:spacing w:after="0"/>
              <w:rPr>
                <w:sz w:val="20"/>
                <w:szCs w:val="20"/>
                <w:color w:val="auto"/>
              </w:rPr>
            </w:pPr>
            <w:r>
              <w:rPr>
                <w:rFonts w:ascii="Arial" w:cs="Arial" w:eastAsia="Arial" w:hAnsi="Arial"/>
                <w:sz w:val="14"/>
                <w:szCs w:val="14"/>
                <w:color w:val="41516E"/>
              </w:rPr>
              <w:t>1,028.71</w:t>
            </w:r>
          </w:p>
        </w:tc>
        <w:tc>
          <w:tcPr>
            <w:tcW w:w="1240" w:type="dxa"/>
            <w:vAlign w:val="bottom"/>
            <w:gridSpan w:val="3"/>
            <w:shd w:val="clear" w:color="auto" w:fill="EFF0F1"/>
          </w:tcPr>
          <w:p>
            <w:pPr>
              <w:jc w:val="right"/>
              <w:ind w:right="300"/>
              <w:spacing w:after="0"/>
              <w:rPr>
                <w:sz w:val="20"/>
                <w:szCs w:val="20"/>
                <w:color w:val="auto"/>
              </w:rPr>
            </w:pPr>
            <w:r>
              <w:rPr>
                <w:rFonts w:ascii="Arial" w:cs="Arial" w:eastAsia="Arial" w:hAnsi="Arial"/>
                <w:sz w:val="14"/>
                <w:szCs w:val="14"/>
                <w:color w:val="41516E"/>
              </w:rPr>
              <w:t>2/28/2031</w:t>
            </w:r>
          </w:p>
        </w:tc>
        <w:tc>
          <w:tcPr>
            <w:tcW w:w="1220" w:type="dxa"/>
            <w:vAlign w:val="bottom"/>
            <w:shd w:val="clear" w:color="auto" w:fill="EFF0F1"/>
          </w:tcPr>
          <w:p>
            <w:pPr>
              <w:spacing w:after="0"/>
              <w:rPr>
                <w:sz w:val="16"/>
                <w:szCs w:val="16"/>
                <w:color w:val="auto"/>
              </w:rPr>
            </w:pPr>
          </w:p>
        </w:tc>
        <w:tc>
          <w:tcPr>
            <w:tcW w:w="220" w:type="dxa"/>
            <w:vAlign w:val="bottom"/>
            <w:shd w:val="clear" w:color="auto" w:fill="EFF0F1"/>
          </w:tcPr>
          <w:p>
            <w:pPr>
              <w:spacing w:after="0"/>
              <w:rPr>
                <w:sz w:val="16"/>
                <w:szCs w:val="16"/>
                <w:color w:val="auto"/>
              </w:rPr>
            </w:pPr>
          </w:p>
        </w:tc>
        <w:tc>
          <w:tcPr>
            <w:tcW w:w="460" w:type="dxa"/>
            <w:vAlign w:val="bottom"/>
            <w:shd w:val="clear" w:color="auto" w:fill="EFF0F1"/>
          </w:tcPr>
          <w:p>
            <w:pPr>
              <w:spacing w:after="0"/>
              <w:rPr>
                <w:sz w:val="16"/>
                <w:szCs w:val="16"/>
                <w:color w:val="auto"/>
              </w:rPr>
            </w:pPr>
          </w:p>
        </w:tc>
        <w:tc>
          <w:tcPr>
            <w:tcW w:w="420" w:type="dxa"/>
            <w:vAlign w:val="bottom"/>
            <w:shd w:val="clear" w:color="auto" w:fill="EFF0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40" w:type="dxa"/>
            <w:vAlign w:val="bottom"/>
          </w:tcPr>
          <w:p>
            <w:pPr>
              <w:jc w:val="right"/>
              <w:ind w:right="229"/>
              <w:spacing w:after="0" w:line="189" w:lineRule="exact"/>
              <w:rPr>
                <w:sz w:val="20"/>
                <w:szCs w:val="20"/>
                <w:color w:val="auto"/>
              </w:rPr>
            </w:pPr>
            <w:r>
              <w:rPr>
                <w:rFonts w:ascii="Arial" w:cs="Arial" w:eastAsia="Arial" w:hAnsi="Arial"/>
                <w:sz w:val="13"/>
                <w:szCs w:val="13"/>
                <w:color w:val="41516E"/>
              </w:rPr>
              <w:t>10,935</w:t>
            </w:r>
            <w:r>
              <w:rPr>
                <w:rFonts w:ascii="Arial" w:cs="Arial" w:eastAsia="Arial" w:hAnsi="Arial"/>
                <w:sz w:val="21"/>
                <w:szCs w:val="21"/>
                <w:color w:val="41516E"/>
                <w:vertAlign w:val="superscript"/>
              </w:rPr>
              <w:t>(7)</w:t>
            </w:r>
          </w:p>
        </w:tc>
        <w:tc>
          <w:tcPr>
            <w:tcW w:w="18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1,028.71</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41516E"/>
              </w:rPr>
              <w:t>2/28/2031</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EFF0F1"/>
          </w:tcPr>
          <w:p>
            <w:pPr>
              <w:spacing w:after="0"/>
              <w:rPr>
                <w:sz w:val="16"/>
                <w:szCs w:val="16"/>
                <w:color w:val="auto"/>
              </w:rPr>
            </w:pPr>
          </w:p>
        </w:tc>
        <w:tc>
          <w:tcPr>
            <w:tcW w:w="540" w:type="dxa"/>
            <w:vAlign w:val="bottom"/>
            <w:shd w:val="clear" w:color="auto" w:fill="EFF0F1"/>
          </w:tcPr>
          <w:p>
            <w:pPr>
              <w:spacing w:after="0"/>
              <w:rPr>
                <w:sz w:val="16"/>
                <w:szCs w:val="16"/>
                <w:color w:val="auto"/>
              </w:rPr>
            </w:pPr>
          </w:p>
        </w:tc>
        <w:tc>
          <w:tcPr>
            <w:tcW w:w="1160" w:type="dxa"/>
            <w:vAlign w:val="bottom"/>
            <w:shd w:val="clear" w:color="auto" w:fill="EFF0F1"/>
          </w:tcPr>
          <w:p>
            <w:pPr>
              <w:spacing w:after="0"/>
              <w:rPr>
                <w:sz w:val="16"/>
                <w:szCs w:val="16"/>
                <w:color w:val="auto"/>
              </w:rPr>
            </w:pPr>
          </w:p>
        </w:tc>
        <w:tc>
          <w:tcPr>
            <w:tcW w:w="200" w:type="dxa"/>
            <w:vAlign w:val="bottom"/>
            <w:shd w:val="clear" w:color="auto" w:fill="EFF0F1"/>
          </w:tcPr>
          <w:p>
            <w:pPr>
              <w:spacing w:after="0"/>
              <w:rPr>
                <w:sz w:val="16"/>
                <w:szCs w:val="16"/>
                <w:color w:val="auto"/>
              </w:rPr>
            </w:pPr>
          </w:p>
        </w:tc>
        <w:tc>
          <w:tcPr>
            <w:tcW w:w="1280" w:type="dxa"/>
            <w:vAlign w:val="bottom"/>
            <w:shd w:val="clear" w:color="auto" w:fill="EFF0F1"/>
          </w:tcPr>
          <w:p>
            <w:pPr>
              <w:spacing w:after="0"/>
              <w:rPr>
                <w:sz w:val="16"/>
                <w:szCs w:val="16"/>
                <w:color w:val="auto"/>
              </w:rPr>
            </w:pPr>
          </w:p>
        </w:tc>
        <w:tc>
          <w:tcPr>
            <w:tcW w:w="1640" w:type="dxa"/>
            <w:vAlign w:val="bottom"/>
            <w:shd w:val="clear" w:color="auto" w:fill="EFF0F1"/>
          </w:tcPr>
          <w:p>
            <w:pPr>
              <w:jc w:val="right"/>
              <w:ind w:right="229"/>
              <w:spacing w:after="0" w:line="189" w:lineRule="exact"/>
              <w:rPr>
                <w:sz w:val="20"/>
                <w:szCs w:val="20"/>
                <w:color w:val="auto"/>
              </w:rPr>
            </w:pPr>
            <w:r>
              <w:rPr>
                <w:rFonts w:ascii="Arial" w:cs="Arial" w:eastAsia="Arial" w:hAnsi="Arial"/>
                <w:sz w:val="13"/>
                <w:szCs w:val="13"/>
                <w:color w:val="41516E"/>
              </w:rPr>
              <w:t>11,230</w:t>
            </w:r>
            <w:r>
              <w:rPr>
                <w:rFonts w:ascii="Arial" w:cs="Arial" w:eastAsia="Arial" w:hAnsi="Arial"/>
                <w:sz w:val="21"/>
                <w:szCs w:val="21"/>
                <w:color w:val="41516E"/>
                <w:vertAlign w:val="superscript"/>
              </w:rPr>
              <w:t>(8)</w:t>
            </w:r>
          </w:p>
        </w:tc>
        <w:tc>
          <w:tcPr>
            <w:tcW w:w="180" w:type="dxa"/>
            <w:vAlign w:val="bottom"/>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shd w:val="clear" w:color="auto" w:fill="EFF0F1"/>
          </w:tcPr>
          <w:p>
            <w:pPr>
              <w:jc w:val="right"/>
              <w:ind w:right="168"/>
              <w:spacing w:after="0"/>
              <w:rPr>
                <w:sz w:val="20"/>
                <w:szCs w:val="20"/>
                <w:color w:val="auto"/>
              </w:rPr>
            </w:pPr>
            <w:r>
              <w:rPr>
                <w:rFonts w:ascii="Arial" w:cs="Arial" w:eastAsia="Arial" w:hAnsi="Arial"/>
                <w:sz w:val="14"/>
                <w:szCs w:val="14"/>
                <w:color w:val="41516E"/>
              </w:rPr>
              <w:t>383.46</w:t>
            </w:r>
          </w:p>
        </w:tc>
        <w:tc>
          <w:tcPr>
            <w:tcW w:w="1240" w:type="dxa"/>
            <w:vAlign w:val="bottom"/>
            <w:gridSpan w:val="3"/>
            <w:shd w:val="clear" w:color="auto" w:fill="EFF0F1"/>
          </w:tcPr>
          <w:p>
            <w:pPr>
              <w:jc w:val="right"/>
              <w:ind w:right="300"/>
              <w:spacing w:after="0"/>
              <w:rPr>
                <w:sz w:val="20"/>
                <w:szCs w:val="20"/>
                <w:color w:val="auto"/>
              </w:rPr>
            </w:pPr>
            <w:r>
              <w:rPr>
                <w:rFonts w:ascii="Arial" w:cs="Arial" w:eastAsia="Arial" w:hAnsi="Arial"/>
                <w:sz w:val="14"/>
                <w:szCs w:val="14"/>
                <w:color w:val="41516E"/>
              </w:rPr>
              <w:t>2/28/2032</w:t>
            </w:r>
          </w:p>
        </w:tc>
        <w:tc>
          <w:tcPr>
            <w:tcW w:w="1220" w:type="dxa"/>
            <w:vAlign w:val="bottom"/>
            <w:shd w:val="clear" w:color="auto" w:fill="EFF0F1"/>
          </w:tcPr>
          <w:p>
            <w:pPr>
              <w:spacing w:after="0"/>
              <w:rPr>
                <w:sz w:val="16"/>
                <w:szCs w:val="16"/>
                <w:color w:val="auto"/>
              </w:rPr>
            </w:pPr>
          </w:p>
        </w:tc>
        <w:tc>
          <w:tcPr>
            <w:tcW w:w="220" w:type="dxa"/>
            <w:vAlign w:val="bottom"/>
            <w:shd w:val="clear" w:color="auto" w:fill="EFF0F1"/>
          </w:tcPr>
          <w:p>
            <w:pPr>
              <w:spacing w:after="0"/>
              <w:rPr>
                <w:sz w:val="16"/>
                <w:szCs w:val="16"/>
                <w:color w:val="auto"/>
              </w:rPr>
            </w:pPr>
          </w:p>
        </w:tc>
        <w:tc>
          <w:tcPr>
            <w:tcW w:w="460" w:type="dxa"/>
            <w:vAlign w:val="bottom"/>
            <w:shd w:val="clear" w:color="auto" w:fill="EFF0F1"/>
          </w:tcPr>
          <w:p>
            <w:pPr>
              <w:spacing w:after="0"/>
              <w:rPr>
                <w:sz w:val="16"/>
                <w:szCs w:val="16"/>
                <w:color w:val="auto"/>
              </w:rPr>
            </w:pPr>
          </w:p>
        </w:tc>
        <w:tc>
          <w:tcPr>
            <w:tcW w:w="420" w:type="dxa"/>
            <w:vAlign w:val="bottom"/>
            <w:shd w:val="clear" w:color="auto" w:fill="EFF0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41516E"/>
            </w:tcBorders>
          </w:tcPr>
          <w:p>
            <w:pPr>
              <w:spacing w:after="0"/>
              <w:rPr>
                <w:sz w:val="16"/>
                <w:szCs w:val="16"/>
                <w:color w:val="auto"/>
              </w:rPr>
            </w:pPr>
          </w:p>
        </w:tc>
        <w:tc>
          <w:tcPr>
            <w:tcW w:w="540" w:type="dxa"/>
            <w:vAlign w:val="bottom"/>
            <w:tcBorders>
              <w:bottom w:val="single" w:sz="8" w:color="41516E"/>
            </w:tcBorders>
          </w:tcPr>
          <w:p>
            <w:pPr>
              <w:spacing w:after="0"/>
              <w:rPr>
                <w:sz w:val="16"/>
                <w:szCs w:val="16"/>
                <w:color w:val="auto"/>
              </w:rPr>
            </w:pPr>
          </w:p>
        </w:tc>
        <w:tc>
          <w:tcPr>
            <w:tcW w:w="1160" w:type="dxa"/>
            <w:vAlign w:val="bottom"/>
            <w:tcBorders>
              <w:bottom w:val="single" w:sz="8" w:color="41516E"/>
            </w:tcBorders>
          </w:tcPr>
          <w:p>
            <w:pPr>
              <w:spacing w:after="0"/>
              <w:rPr>
                <w:sz w:val="16"/>
                <w:szCs w:val="16"/>
                <w:color w:val="auto"/>
              </w:rPr>
            </w:pPr>
          </w:p>
        </w:tc>
        <w:tc>
          <w:tcPr>
            <w:tcW w:w="200" w:type="dxa"/>
            <w:vAlign w:val="bottom"/>
            <w:tcBorders>
              <w:bottom w:val="single" w:sz="8" w:color="41516E"/>
            </w:tcBorders>
          </w:tcPr>
          <w:p>
            <w:pPr>
              <w:spacing w:after="0"/>
              <w:rPr>
                <w:sz w:val="16"/>
                <w:szCs w:val="16"/>
                <w:color w:val="auto"/>
              </w:rPr>
            </w:pPr>
          </w:p>
        </w:tc>
        <w:tc>
          <w:tcPr>
            <w:tcW w:w="1280" w:type="dxa"/>
            <w:vAlign w:val="bottom"/>
            <w:tcBorders>
              <w:bottom w:val="single" w:sz="8" w:color="41516E"/>
            </w:tcBorders>
          </w:tcPr>
          <w:p>
            <w:pPr>
              <w:spacing w:after="0"/>
              <w:rPr>
                <w:sz w:val="16"/>
                <w:szCs w:val="16"/>
                <w:color w:val="auto"/>
              </w:rPr>
            </w:pPr>
          </w:p>
        </w:tc>
        <w:tc>
          <w:tcPr>
            <w:tcW w:w="1640" w:type="dxa"/>
            <w:vAlign w:val="bottom"/>
            <w:tcBorders>
              <w:bottom w:val="single" w:sz="8" w:color="41516E"/>
            </w:tcBorders>
          </w:tcPr>
          <w:p>
            <w:pPr>
              <w:jc w:val="right"/>
              <w:ind w:right="229"/>
              <w:spacing w:after="0" w:line="189" w:lineRule="exact"/>
              <w:rPr>
                <w:sz w:val="20"/>
                <w:szCs w:val="20"/>
                <w:color w:val="auto"/>
              </w:rPr>
            </w:pPr>
            <w:r>
              <w:rPr>
                <w:rFonts w:ascii="Arial" w:cs="Arial" w:eastAsia="Arial" w:hAnsi="Arial"/>
                <w:sz w:val="13"/>
                <w:szCs w:val="13"/>
                <w:color w:val="41516E"/>
              </w:rPr>
              <w:t>12,430</w:t>
            </w:r>
            <w:r>
              <w:rPr>
                <w:rFonts w:ascii="Arial" w:cs="Arial" w:eastAsia="Arial" w:hAnsi="Arial"/>
                <w:sz w:val="21"/>
                <w:szCs w:val="21"/>
                <w:color w:val="41516E"/>
                <w:vertAlign w:val="superscript"/>
              </w:rPr>
              <w:t>(9)</w:t>
            </w:r>
          </w:p>
        </w:tc>
        <w:tc>
          <w:tcPr>
            <w:tcW w:w="180" w:type="dxa"/>
            <w:vAlign w:val="bottom"/>
            <w:tcBorders>
              <w:bottom w:val="single" w:sz="8" w:color="41516E"/>
            </w:tcBorders>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Borders>
              <w:bottom w:val="single" w:sz="8" w:color="41516E"/>
            </w:tcBorders>
          </w:tcPr>
          <w:p>
            <w:pPr>
              <w:jc w:val="right"/>
              <w:ind w:right="168"/>
              <w:spacing w:after="0"/>
              <w:rPr>
                <w:sz w:val="20"/>
                <w:szCs w:val="20"/>
                <w:color w:val="auto"/>
              </w:rPr>
            </w:pPr>
            <w:r>
              <w:rPr>
                <w:rFonts w:ascii="Arial" w:cs="Arial" w:eastAsia="Arial" w:hAnsi="Arial"/>
                <w:sz w:val="14"/>
                <w:szCs w:val="14"/>
                <w:color w:val="41516E"/>
              </w:rPr>
              <w:t>323.80</w:t>
            </w:r>
          </w:p>
        </w:tc>
        <w:tc>
          <w:tcPr>
            <w:tcW w:w="1240" w:type="dxa"/>
            <w:vAlign w:val="bottom"/>
            <w:tcBorders>
              <w:bottom w:val="single" w:sz="8" w:color="41516E"/>
            </w:tcBorders>
            <w:gridSpan w:val="3"/>
          </w:tcPr>
          <w:p>
            <w:pPr>
              <w:jc w:val="right"/>
              <w:ind w:right="300"/>
              <w:spacing w:after="0"/>
              <w:rPr>
                <w:sz w:val="20"/>
                <w:szCs w:val="20"/>
                <w:color w:val="auto"/>
              </w:rPr>
            </w:pPr>
            <w:r>
              <w:rPr>
                <w:rFonts w:ascii="Arial" w:cs="Arial" w:eastAsia="Arial" w:hAnsi="Arial"/>
                <w:sz w:val="14"/>
                <w:szCs w:val="14"/>
                <w:color w:val="41516E"/>
              </w:rPr>
              <w:t>2/28/2033</w:t>
            </w:r>
          </w:p>
        </w:tc>
        <w:tc>
          <w:tcPr>
            <w:tcW w:w="1220" w:type="dxa"/>
            <w:vAlign w:val="bottom"/>
            <w:tcBorders>
              <w:bottom w:val="single" w:sz="8" w:color="41516E"/>
            </w:tcBorders>
          </w:tcPr>
          <w:p>
            <w:pPr>
              <w:spacing w:after="0"/>
              <w:rPr>
                <w:sz w:val="16"/>
                <w:szCs w:val="16"/>
                <w:color w:val="auto"/>
              </w:rPr>
            </w:pPr>
          </w:p>
        </w:tc>
        <w:tc>
          <w:tcPr>
            <w:tcW w:w="220" w:type="dxa"/>
            <w:vAlign w:val="bottom"/>
            <w:tcBorders>
              <w:bottom w:val="single" w:sz="8" w:color="41516E"/>
            </w:tcBorders>
          </w:tcPr>
          <w:p>
            <w:pPr>
              <w:spacing w:after="0"/>
              <w:rPr>
                <w:sz w:val="16"/>
                <w:szCs w:val="16"/>
                <w:color w:val="auto"/>
              </w:rPr>
            </w:pPr>
          </w:p>
        </w:tc>
        <w:tc>
          <w:tcPr>
            <w:tcW w:w="460" w:type="dxa"/>
            <w:vAlign w:val="bottom"/>
            <w:tcBorders>
              <w:bottom w:val="single" w:sz="8" w:color="41516E"/>
            </w:tcBorders>
          </w:tcPr>
          <w:p>
            <w:pPr>
              <w:spacing w:after="0"/>
              <w:rPr>
                <w:sz w:val="16"/>
                <w:szCs w:val="16"/>
                <w:color w:val="auto"/>
              </w:rPr>
            </w:pPr>
          </w:p>
        </w:tc>
        <w:tc>
          <w:tcPr>
            <w:tcW w:w="420" w:type="dxa"/>
            <w:vAlign w:val="bottom"/>
            <w:tcBorders>
              <w:bottom w:val="single" w:sz="8" w:color="41516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20" w:type="dxa"/>
            <w:vAlign w:val="bottom"/>
            <w:tcBorders>
              <w:bottom w:val="single" w:sz="8" w:color="41516E"/>
            </w:tcBorders>
            <w:gridSpan w:val="2"/>
            <w:shd w:val="clear" w:color="auto" w:fill="EFF0F1"/>
          </w:tcPr>
          <w:p>
            <w:pPr>
              <w:ind w:left="60"/>
              <w:spacing w:after="0"/>
              <w:rPr>
                <w:sz w:val="20"/>
                <w:szCs w:val="20"/>
                <w:color w:val="auto"/>
              </w:rPr>
            </w:pPr>
            <w:r>
              <w:rPr>
                <w:rFonts w:ascii="Arial" w:cs="Arial" w:eastAsia="Arial" w:hAnsi="Arial"/>
                <w:sz w:val="14"/>
                <w:szCs w:val="14"/>
                <w:b w:val="1"/>
                <w:bCs w:val="1"/>
                <w:color w:val="41516E"/>
              </w:rPr>
              <w:t>Diego Reynoso</w:t>
            </w:r>
          </w:p>
        </w:tc>
        <w:tc>
          <w:tcPr>
            <w:tcW w:w="1160" w:type="dxa"/>
            <w:vAlign w:val="bottom"/>
            <w:tcBorders>
              <w:bottom w:val="single" w:sz="8" w:color="41516E"/>
            </w:tcBorders>
            <w:shd w:val="clear" w:color="auto" w:fill="EFF0F1"/>
          </w:tcPr>
          <w:p>
            <w:pPr>
              <w:jc w:val="right"/>
              <w:ind w:right="190"/>
              <w:spacing w:after="0"/>
              <w:rPr>
                <w:sz w:val="20"/>
                <w:szCs w:val="20"/>
                <w:color w:val="auto"/>
              </w:rPr>
            </w:pPr>
            <w:r>
              <w:rPr>
                <w:rFonts w:ascii="Arial" w:cs="Arial" w:eastAsia="Arial" w:hAnsi="Arial"/>
                <w:sz w:val="14"/>
                <w:szCs w:val="14"/>
                <w:color w:val="41516E"/>
              </w:rPr>
              <w:t>—</w:t>
            </w:r>
          </w:p>
        </w:tc>
        <w:tc>
          <w:tcPr>
            <w:tcW w:w="200" w:type="dxa"/>
            <w:vAlign w:val="bottom"/>
            <w:tcBorders>
              <w:bottom w:val="single" w:sz="8" w:color="41516E"/>
            </w:tcBorders>
            <w:shd w:val="clear" w:color="auto" w:fill="EFF0F1"/>
          </w:tcPr>
          <w:p>
            <w:pPr>
              <w:spacing w:after="0"/>
              <w:rPr>
                <w:sz w:val="15"/>
                <w:szCs w:val="15"/>
                <w:color w:val="auto"/>
              </w:rPr>
            </w:pPr>
          </w:p>
        </w:tc>
        <w:tc>
          <w:tcPr>
            <w:tcW w:w="1280" w:type="dxa"/>
            <w:vAlign w:val="bottom"/>
            <w:tcBorders>
              <w:bottom w:val="single" w:sz="8" w:color="41516E"/>
            </w:tcBorders>
            <w:shd w:val="clear" w:color="auto" w:fill="EFF0F1"/>
          </w:tcPr>
          <w:p>
            <w:pPr>
              <w:jc w:val="right"/>
              <w:ind w:right="147"/>
              <w:spacing w:after="0"/>
              <w:rPr>
                <w:sz w:val="20"/>
                <w:szCs w:val="20"/>
                <w:color w:val="auto"/>
              </w:rPr>
            </w:pPr>
            <w:r>
              <w:rPr>
                <w:rFonts w:ascii="Arial" w:cs="Arial" w:eastAsia="Arial" w:hAnsi="Arial"/>
                <w:sz w:val="14"/>
                <w:szCs w:val="14"/>
                <w:color w:val="41516E"/>
              </w:rPr>
              <w:t>—</w:t>
            </w:r>
          </w:p>
        </w:tc>
        <w:tc>
          <w:tcPr>
            <w:tcW w:w="1640" w:type="dxa"/>
            <w:vAlign w:val="bottom"/>
            <w:tcBorders>
              <w:bottom w:val="single" w:sz="8" w:color="41516E"/>
            </w:tcBorders>
            <w:shd w:val="clear" w:color="auto" w:fill="EFF0F1"/>
          </w:tcPr>
          <w:p>
            <w:pPr>
              <w:jc w:val="right"/>
              <w:ind w:right="169"/>
              <w:spacing w:after="0" w:line="183" w:lineRule="exact"/>
              <w:rPr>
                <w:sz w:val="20"/>
                <w:szCs w:val="20"/>
                <w:color w:val="auto"/>
              </w:rPr>
            </w:pPr>
            <w:r>
              <w:rPr>
                <w:rFonts w:ascii="Arial" w:cs="Arial" w:eastAsia="Arial" w:hAnsi="Arial"/>
                <w:sz w:val="13"/>
                <w:szCs w:val="13"/>
                <w:color w:val="41516E"/>
              </w:rPr>
              <w:t>9,717</w:t>
            </w:r>
            <w:r>
              <w:rPr>
                <w:rFonts w:ascii="Arial" w:cs="Arial" w:eastAsia="Arial" w:hAnsi="Arial"/>
                <w:sz w:val="21"/>
                <w:szCs w:val="21"/>
                <w:color w:val="41516E"/>
                <w:vertAlign w:val="superscript"/>
              </w:rPr>
              <w:t>(25)</w:t>
            </w:r>
          </w:p>
        </w:tc>
        <w:tc>
          <w:tcPr>
            <w:tcW w:w="180" w:type="dxa"/>
            <w:vAlign w:val="bottom"/>
            <w:tcBorders>
              <w:bottom w:val="single" w:sz="8" w:color="41516E"/>
            </w:tcBorders>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Borders>
              <w:bottom w:val="single" w:sz="8" w:color="41516E"/>
            </w:tcBorders>
            <w:shd w:val="clear" w:color="auto" w:fill="EFF0F1"/>
          </w:tcPr>
          <w:p>
            <w:pPr>
              <w:jc w:val="right"/>
              <w:ind w:right="168"/>
              <w:spacing w:after="0"/>
              <w:rPr>
                <w:sz w:val="20"/>
                <w:szCs w:val="20"/>
                <w:color w:val="auto"/>
              </w:rPr>
            </w:pPr>
            <w:r>
              <w:rPr>
                <w:rFonts w:ascii="Arial" w:cs="Arial" w:eastAsia="Arial" w:hAnsi="Arial"/>
                <w:sz w:val="14"/>
                <w:szCs w:val="14"/>
                <w:color w:val="41516E"/>
              </w:rPr>
              <w:t>333.50</w:t>
            </w:r>
          </w:p>
        </w:tc>
        <w:tc>
          <w:tcPr>
            <w:tcW w:w="1240" w:type="dxa"/>
            <w:vAlign w:val="bottom"/>
            <w:tcBorders>
              <w:bottom w:val="single" w:sz="8" w:color="41516E"/>
            </w:tcBorders>
            <w:gridSpan w:val="3"/>
            <w:shd w:val="clear" w:color="auto" w:fill="EFF0F1"/>
          </w:tcPr>
          <w:p>
            <w:pPr>
              <w:jc w:val="right"/>
              <w:ind w:right="300"/>
              <w:spacing w:after="0"/>
              <w:rPr>
                <w:sz w:val="20"/>
                <w:szCs w:val="20"/>
                <w:color w:val="auto"/>
              </w:rPr>
            </w:pPr>
            <w:r>
              <w:rPr>
                <w:rFonts w:ascii="Arial" w:cs="Arial" w:eastAsia="Arial" w:hAnsi="Arial"/>
                <w:sz w:val="14"/>
                <w:szCs w:val="14"/>
                <w:color w:val="41516E"/>
              </w:rPr>
              <w:t>10/31/2033</w:t>
            </w:r>
          </w:p>
        </w:tc>
        <w:tc>
          <w:tcPr>
            <w:tcW w:w="1220" w:type="dxa"/>
            <w:vAlign w:val="bottom"/>
            <w:tcBorders>
              <w:bottom w:val="single" w:sz="8" w:color="41516E"/>
            </w:tcBorders>
            <w:shd w:val="clear" w:color="auto" w:fill="EFF0F1"/>
          </w:tcPr>
          <w:p>
            <w:pPr>
              <w:jc w:val="right"/>
              <w:ind w:right="77"/>
              <w:spacing w:after="0" w:line="183" w:lineRule="exact"/>
              <w:rPr>
                <w:sz w:val="20"/>
                <w:szCs w:val="20"/>
                <w:color w:val="auto"/>
              </w:rPr>
            </w:pPr>
            <w:r>
              <w:rPr>
                <w:rFonts w:ascii="Arial" w:cs="Arial" w:eastAsia="Arial" w:hAnsi="Arial"/>
                <w:sz w:val="13"/>
                <w:szCs w:val="13"/>
                <w:color w:val="41516E"/>
              </w:rPr>
              <w:t>4,498</w:t>
            </w:r>
            <w:r>
              <w:rPr>
                <w:rFonts w:ascii="Arial" w:cs="Arial" w:eastAsia="Arial" w:hAnsi="Arial"/>
                <w:sz w:val="21"/>
                <w:szCs w:val="21"/>
                <w:color w:val="41516E"/>
                <w:vertAlign w:val="superscript"/>
              </w:rPr>
              <w:t>(26)</w:t>
            </w:r>
          </w:p>
        </w:tc>
        <w:tc>
          <w:tcPr>
            <w:tcW w:w="220" w:type="dxa"/>
            <w:vAlign w:val="bottom"/>
            <w:tcBorders>
              <w:bottom w:val="single" w:sz="8" w:color="41516E"/>
            </w:tcBorders>
            <w:shd w:val="clear" w:color="auto" w:fill="EFF0F1"/>
          </w:tcPr>
          <w:p>
            <w:pPr>
              <w:ind w:left="120"/>
              <w:spacing w:after="0"/>
              <w:rPr>
                <w:sz w:val="20"/>
                <w:szCs w:val="20"/>
                <w:color w:val="auto"/>
              </w:rPr>
            </w:pPr>
            <w:r>
              <w:rPr>
                <w:rFonts w:ascii="Arial" w:cs="Arial" w:eastAsia="Arial" w:hAnsi="Arial"/>
                <w:sz w:val="14"/>
                <w:szCs w:val="14"/>
                <w:color w:val="41516E"/>
              </w:rPr>
              <w:t>$</w:t>
            </w:r>
          </w:p>
        </w:tc>
        <w:tc>
          <w:tcPr>
            <w:tcW w:w="880" w:type="dxa"/>
            <w:vAlign w:val="bottom"/>
            <w:tcBorders>
              <w:bottom w:val="single" w:sz="8" w:color="41516E"/>
            </w:tcBorders>
            <w:gridSpan w:val="2"/>
            <w:shd w:val="clear" w:color="auto" w:fill="EFF0F1"/>
          </w:tcPr>
          <w:p>
            <w:pPr>
              <w:jc w:val="right"/>
              <w:ind w:right="24"/>
              <w:spacing w:after="0"/>
              <w:rPr>
                <w:sz w:val="20"/>
                <w:szCs w:val="20"/>
                <w:color w:val="auto"/>
              </w:rPr>
            </w:pPr>
            <w:r>
              <w:rPr>
                <w:rFonts w:ascii="Arial" w:cs="Arial" w:eastAsia="Arial" w:hAnsi="Arial"/>
                <w:sz w:val="14"/>
                <w:szCs w:val="14"/>
                <w:color w:val="41516E"/>
              </w:rPr>
              <w:t>1,554,464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20" w:type="dxa"/>
            <w:vAlign w:val="bottom"/>
            <w:tcBorders>
              <w:bottom w:val="single" w:sz="8" w:color="41516E"/>
            </w:tcBorders>
            <w:gridSpan w:val="2"/>
          </w:tcPr>
          <w:p>
            <w:pPr>
              <w:ind w:left="60"/>
              <w:spacing w:after="0" w:line="155" w:lineRule="exact"/>
              <w:rPr>
                <w:sz w:val="20"/>
                <w:szCs w:val="20"/>
                <w:color w:val="auto"/>
              </w:rPr>
            </w:pPr>
            <w:r>
              <w:rPr>
                <w:rFonts w:ascii="Arial" w:cs="Arial" w:eastAsia="Arial" w:hAnsi="Arial"/>
                <w:sz w:val="14"/>
                <w:szCs w:val="14"/>
                <w:b w:val="1"/>
                <w:bCs w:val="1"/>
                <w:color w:val="41516E"/>
              </w:rPr>
              <w:t>Frank H. Smalla</w:t>
            </w:r>
          </w:p>
        </w:tc>
        <w:tc>
          <w:tcPr>
            <w:tcW w:w="1160" w:type="dxa"/>
            <w:vAlign w:val="bottom"/>
            <w:tcBorders>
              <w:bottom w:val="single" w:sz="8" w:color="41516E"/>
            </w:tcBorders>
          </w:tcPr>
          <w:p>
            <w:pPr>
              <w:jc w:val="right"/>
              <w:ind w:right="190"/>
              <w:spacing w:after="0" w:line="155" w:lineRule="exact"/>
              <w:rPr>
                <w:sz w:val="20"/>
                <w:szCs w:val="20"/>
                <w:color w:val="auto"/>
              </w:rPr>
            </w:pPr>
            <w:r>
              <w:rPr>
                <w:rFonts w:ascii="Arial" w:cs="Arial" w:eastAsia="Arial" w:hAnsi="Arial"/>
                <w:sz w:val="14"/>
                <w:szCs w:val="14"/>
                <w:color w:val="41516E"/>
              </w:rPr>
              <w:t>—</w:t>
            </w:r>
          </w:p>
        </w:tc>
        <w:tc>
          <w:tcPr>
            <w:tcW w:w="200" w:type="dxa"/>
            <w:vAlign w:val="bottom"/>
            <w:tcBorders>
              <w:bottom w:val="single" w:sz="8" w:color="41516E"/>
            </w:tcBorders>
          </w:tcPr>
          <w:p>
            <w:pPr>
              <w:spacing w:after="0"/>
              <w:rPr>
                <w:sz w:val="13"/>
                <w:szCs w:val="13"/>
                <w:color w:val="auto"/>
              </w:rPr>
            </w:pPr>
          </w:p>
        </w:tc>
        <w:tc>
          <w:tcPr>
            <w:tcW w:w="1280" w:type="dxa"/>
            <w:vAlign w:val="bottom"/>
            <w:tcBorders>
              <w:bottom w:val="single" w:sz="8" w:color="41516E"/>
            </w:tcBorders>
          </w:tcPr>
          <w:p>
            <w:pPr>
              <w:jc w:val="right"/>
              <w:ind w:right="147"/>
              <w:spacing w:after="0" w:line="155" w:lineRule="exact"/>
              <w:rPr>
                <w:sz w:val="20"/>
                <w:szCs w:val="20"/>
                <w:color w:val="auto"/>
              </w:rPr>
            </w:pPr>
            <w:r>
              <w:rPr>
                <w:rFonts w:ascii="Arial" w:cs="Arial" w:eastAsia="Arial" w:hAnsi="Arial"/>
                <w:sz w:val="14"/>
                <w:szCs w:val="14"/>
                <w:color w:val="41516E"/>
              </w:rPr>
              <w:t>—</w:t>
            </w:r>
          </w:p>
        </w:tc>
        <w:tc>
          <w:tcPr>
            <w:tcW w:w="1640" w:type="dxa"/>
            <w:vAlign w:val="bottom"/>
            <w:tcBorders>
              <w:bottom w:val="single" w:sz="8" w:color="41516E"/>
            </w:tcBorders>
          </w:tcPr>
          <w:p>
            <w:pPr>
              <w:jc w:val="right"/>
              <w:ind w:right="369"/>
              <w:spacing w:after="0" w:line="155" w:lineRule="exact"/>
              <w:rPr>
                <w:sz w:val="20"/>
                <w:szCs w:val="20"/>
                <w:color w:val="auto"/>
              </w:rPr>
            </w:pPr>
            <w:r>
              <w:rPr>
                <w:rFonts w:ascii="Arial" w:cs="Arial" w:eastAsia="Arial" w:hAnsi="Arial"/>
                <w:sz w:val="14"/>
                <w:szCs w:val="14"/>
                <w:color w:val="41516E"/>
              </w:rPr>
              <w:t>—</w:t>
            </w:r>
          </w:p>
        </w:tc>
        <w:tc>
          <w:tcPr>
            <w:tcW w:w="180" w:type="dxa"/>
            <w:vAlign w:val="bottom"/>
            <w:tcBorders>
              <w:bottom w:val="single" w:sz="8" w:color="41516E"/>
            </w:tcBorders>
          </w:tcPr>
          <w:p>
            <w:pPr>
              <w:spacing w:after="0"/>
              <w:rPr>
                <w:sz w:val="13"/>
                <w:szCs w:val="13"/>
                <w:color w:val="auto"/>
              </w:rPr>
            </w:pPr>
          </w:p>
        </w:tc>
        <w:tc>
          <w:tcPr>
            <w:tcW w:w="900" w:type="dxa"/>
            <w:vAlign w:val="bottom"/>
            <w:tcBorders>
              <w:bottom w:val="single" w:sz="8" w:color="41516E"/>
            </w:tcBorders>
          </w:tcPr>
          <w:p>
            <w:pPr>
              <w:jc w:val="right"/>
              <w:ind w:right="168"/>
              <w:spacing w:after="0" w:line="155" w:lineRule="exact"/>
              <w:rPr>
                <w:sz w:val="20"/>
                <w:szCs w:val="20"/>
                <w:color w:val="auto"/>
              </w:rPr>
            </w:pPr>
            <w:r>
              <w:rPr>
                <w:rFonts w:ascii="Arial" w:cs="Arial" w:eastAsia="Arial" w:hAnsi="Arial"/>
                <w:sz w:val="14"/>
                <w:szCs w:val="14"/>
                <w:color w:val="41516E"/>
              </w:rPr>
              <w:t>—</w:t>
            </w:r>
          </w:p>
        </w:tc>
        <w:tc>
          <w:tcPr>
            <w:tcW w:w="1240" w:type="dxa"/>
            <w:vAlign w:val="bottom"/>
            <w:tcBorders>
              <w:bottom w:val="single" w:sz="8" w:color="41516E"/>
            </w:tcBorders>
            <w:gridSpan w:val="3"/>
          </w:tcPr>
          <w:p>
            <w:pPr>
              <w:jc w:val="right"/>
              <w:ind w:right="300"/>
              <w:spacing w:after="0" w:line="155" w:lineRule="exact"/>
              <w:rPr>
                <w:sz w:val="20"/>
                <w:szCs w:val="20"/>
                <w:color w:val="auto"/>
              </w:rPr>
            </w:pPr>
            <w:r>
              <w:rPr>
                <w:rFonts w:ascii="Arial" w:cs="Arial" w:eastAsia="Arial" w:hAnsi="Arial"/>
                <w:sz w:val="14"/>
                <w:szCs w:val="14"/>
                <w:color w:val="41516E"/>
              </w:rPr>
              <w:t>—</w:t>
            </w:r>
          </w:p>
        </w:tc>
        <w:tc>
          <w:tcPr>
            <w:tcW w:w="1220" w:type="dxa"/>
            <w:vAlign w:val="bottom"/>
            <w:tcBorders>
              <w:bottom w:val="single" w:sz="8" w:color="41516E"/>
            </w:tcBorders>
          </w:tcPr>
          <w:p>
            <w:pPr>
              <w:jc w:val="right"/>
              <w:ind w:right="277"/>
              <w:spacing w:after="0" w:line="155" w:lineRule="exact"/>
              <w:rPr>
                <w:sz w:val="20"/>
                <w:szCs w:val="20"/>
                <w:color w:val="auto"/>
              </w:rPr>
            </w:pPr>
            <w:r>
              <w:rPr>
                <w:rFonts w:ascii="Arial" w:cs="Arial" w:eastAsia="Arial" w:hAnsi="Arial"/>
                <w:sz w:val="14"/>
                <w:szCs w:val="14"/>
                <w:color w:val="41516E"/>
              </w:rPr>
              <w:t>—</w:t>
            </w:r>
          </w:p>
        </w:tc>
        <w:tc>
          <w:tcPr>
            <w:tcW w:w="220" w:type="dxa"/>
            <w:vAlign w:val="bottom"/>
            <w:tcBorders>
              <w:bottom w:val="single" w:sz="8" w:color="41516E"/>
            </w:tcBorders>
          </w:tcPr>
          <w:p>
            <w:pPr>
              <w:spacing w:after="0"/>
              <w:rPr>
                <w:sz w:val="13"/>
                <w:szCs w:val="13"/>
                <w:color w:val="auto"/>
              </w:rPr>
            </w:pPr>
          </w:p>
        </w:tc>
        <w:tc>
          <w:tcPr>
            <w:tcW w:w="460" w:type="dxa"/>
            <w:vAlign w:val="bottom"/>
            <w:tcBorders>
              <w:bottom w:val="single" w:sz="8" w:color="41516E"/>
            </w:tcBorders>
          </w:tcPr>
          <w:p>
            <w:pPr>
              <w:spacing w:after="0"/>
              <w:rPr>
                <w:sz w:val="13"/>
                <w:szCs w:val="13"/>
                <w:color w:val="auto"/>
              </w:rPr>
            </w:pPr>
          </w:p>
        </w:tc>
        <w:tc>
          <w:tcPr>
            <w:tcW w:w="420" w:type="dxa"/>
            <w:vAlign w:val="bottom"/>
            <w:tcBorders>
              <w:bottom w:val="single" w:sz="8" w:color="41516E"/>
            </w:tcBorders>
          </w:tcPr>
          <w:p>
            <w:pPr>
              <w:jc w:val="right"/>
              <w:ind w:right="24"/>
              <w:spacing w:after="0" w:line="155" w:lineRule="exact"/>
              <w:rPr>
                <w:sz w:val="20"/>
                <w:szCs w:val="20"/>
                <w:color w:val="auto"/>
              </w:rPr>
            </w:pPr>
            <w:r>
              <w:rPr>
                <w:rFonts w:ascii="Arial" w:cs="Arial" w:eastAsia="Arial" w:hAnsi="Arial"/>
                <w:sz w:val="14"/>
                <w:szCs w:val="14"/>
                <w:color w:val="41516E"/>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320" w:type="dxa"/>
            <w:vAlign w:val="bottom"/>
            <w:gridSpan w:val="2"/>
            <w:shd w:val="clear" w:color="auto" w:fill="EFF0F1"/>
          </w:tcPr>
          <w:p>
            <w:pPr>
              <w:ind w:left="60"/>
              <w:spacing w:after="0"/>
              <w:rPr>
                <w:sz w:val="20"/>
                <w:szCs w:val="20"/>
                <w:color w:val="auto"/>
              </w:rPr>
            </w:pPr>
            <w:r>
              <w:rPr>
                <w:rFonts w:ascii="Arial" w:cs="Arial" w:eastAsia="Arial" w:hAnsi="Arial"/>
                <w:sz w:val="14"/>
                <w:szCs w:val="14"/>
                <w:b w:val="1"/>
                <w:bCs w:val="1"/>
                <w:color w:val="41516E"/>
              </w:rPr>
              <w:t>Matthew Murphy</w:t>
            </w:r>
          </w:p>
        </w:tc>
        <w:tc>
          <w:tcPr>
            <w:tcW w:w="1160" w:type="dxa"/>
            <w:vAlign w:val="bottom"/>
            <w:shd w:val="clear" w:color="auto" w:fill="EFF0F1"/>
          </w:tcPr>
          <w:p>
            <w:pPr>
              <w:jc w:val="right"/>
              <w:ind w:right="190"/>
              <w:spacing w:after="0"/>
              <w:rPr>
                <w:sz w:val="20"/>
                <w:szCs w:val="20"/>
                <w:color w:val="auto"/>
              </w:rPr>
            </w:pPr>
            <w:r>
              <w:rPr>
                <w:rFonts w:ascii="Arial" w:cs="Arial" w:eastAsia="Arial" w:hAnsi="Arial"/>
                <w:sz w:val="14"/>
                <w:szCs w:val="14"/>
                <w:color w:val="41516E"/>
              </w:rPr>
              <w:t>2,077</w:t>
            </w:r>
          </w:p>
        </w:tc>
        <w:tc>
          <w:tcPr>
            <w:tcW w:w="1480" w:type="dxa"/>
            <w:vAlign w:val="bottom"/>
            <w:gridSpan w:val="2"/>
            <w:shd w:val="clear" w:color="auto" w:fill="EFF0F1"/>
          </w:tcPr>
          <w:p>
            <w:pPr>
              <w:jc w:val="right"/>
              <w:spacing w:after="0" w:line="183" w:lineRule="exact"/>
              <w:rPr>
                <w:sz w:val="20"/>
                <w:szCs w:val="20"/>
                <w:color w:val="auto"/>
              </w:rPr>
            </w:pPr>
            <w:r>
              <w:rPr>
                <w:rFonts w:ascii="Arial" w:cs="Arial" w:eastAsia="Arial" w:hAnsi="Arial"/>
                <w:sz w:val="13"/>
                <w:szCs w:val="13"/>
                <w:color w:val="41516E"/>
              </w:rPr>
              <w:t>2,078</w:t>
            </w:r>
            <w:r>
              <w:rPr>
                <w:rFonts w:ascii="Arial" w:cs="Arial" w:eastAsia="Arial" w:hAnsi="Arial"/>
                <w:sz w:val="21"/>
                <w:szCs w:val="21"/>
                <w:color w:val="41516E"/>
                <w:vertAlign w:val="superscript"/>
              </w:rPr>
              <w:t>(19)</w:t>
            </w:r>
          </w:p>
        </w:tc>
        <w:tc>
          <w:tcPr>
            <w:tcW w:w="1640" w:type="dxa"/>
            <w:vAlign w:val="bottom"/>
            <w:shd w:val="clear" w:color="auto" w:fill="EFF0F1"/>
          </w:tcPr>
          <w:p>
            <w:pPr>
              <w:jc w:val="right"/>
              <w:ind w:right="369"/>
              <w:spacing w:after="0"/>
              <w:rPr>
                <w:sz w:val="20"/>
                <w:szCs w:val="20"/>
                <w:color w:val="auto"/>
              </w:rPr>
            </w:pPr>
            <w:r>
              <w:rPr>
                <w:rFonts w:ascii="Arial" w:cs="Arial" w:eastAsia="Arial" w:hAnsi="Arial"/>
                <w:sz w:val="14"/>
                <w:szCs w:val="14"/>
                <w:color w:val="41516E"/>
              </w:rPr>
              <w:t>—</w:t>
            </w:r>
          </w:p>
        </w:tc>
        <w:tc>
          <w:tcPr>
            <w:tcW w:w="180" w:type="dxa"/>
            <w:vAlign w:val="bottom"/>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shd w:val="clear" w:color="auto" w:fill="EFF0F1"/>
          </w:tcPr>
          <w:p>
            <w:pPr>
              <w:jc w:val="right"/>
              <w:ind w:right="168"/>
              <w:spacing w:after="0"/>
              <w:rPr>
                <w:sz w:val="20"/>
                <w:szCs w:val="20"/>
                <w:color w:val="auto"/>
              </w:rPr>
            </w:pPr>
            <w:r>
              <w:rPr>
                <w:rFonts w:ascii="Arial" w:cs="Arial" w:eastAsia="Arial" w:hAnsi="Arial"/>
                <w:sz w:val="14"/>
                <w:szCs w:val="14"/>
                <w:color w:val="41516E"/>
              </w:rPr>
              <w:t>201.91</w:t>
            </w:r>
          </w:p>
        </w:tc>
        <w:tc>
          <w:tcPr>
            <w:tcW w:w="1240" w:type="dxa"/>
            <w:vAlign w:val="bottom"/>
            <w:gridSpan w:val="3"/>
            <w:shd w:val="clear" w:color="auto" w:fill="EFF0F1"/>
          </w:tcPr>
          <w:p>
            <w:pPr>
              <w:jc w:val="right"/>
              <w:ind w:right="300"/>
              <w:spacing w:after="0"/>
              <w:rPr>
                <w:sz w:val="20"/>
                <w:szCs w:val="20"/>
                <w:color w:val="auto"/>
              </w:rPr>
            </w:pPr>
            <w:r>
              <w:rPr>
                <w:rFonts w:ascii="Arial" w:cs="Arial" w:eastAsia="Arial" w:hAnsi="Arial"/>
                <w:sz w:val="14"/>
                <w:szCs w:val="14"/>
                <w:color w:val="41516E"/>
              </w:rPr>
              <w:t>12/31/2025</w:t>
            </w:r>
          </w:p>
        </w:tc>
        <w:tc>
          <w:tcPr>
            <w:tcW w:w="1220" w:type="dxa"/>
            <w:vAlign w:val="bottom"/>
            <w:shd w:val="clear" w:color="auto" w:fill="EFF0F1"/>
          </w:tcPr>
          <w:p>
            <w:pPr>
              <w:jc w:val="right"/>
              <w:ind w:right="77"/>
              <w:spacing w:after="0" w:line="183" w:lineRule="exact"/>
              <w:rPr>
                <w:sz w:val="20"/>
                <w:szCs w:val="20"/>
                <w:color w:val="auto"/>
              </w:rPr>
            </w:pPr>
            <w:r>
              <w:rPr>
                <w:rFonts w:ascii="Arial" w:cs="Arial" w:eastAsia="Arial" w:hAnsi="Arial"/>
                <w:sz w:val="21"/>
                <w:szCs w:val="21"/>
                <w:color w:val="41516E"/>
                <w:vertAlign w:val="subscript"/>
              </w:rPr>
              <w:t>101</w:t>
            </w:r>
            <w:r>
              <w:rPr>
                <w:rFonts w:ascii="Arial" w:cs="Arial" w:eastAsia="Arial" w:hAnsi="Arial"/>
                <w:sz w:val="10"/>
                <w:szCs w:val="10"/>
                <w:color w:val="41516E"/>
              </w:rPr>
              <w:t>(10)</w:t>
            </w:r>
          </w:p>
        </w:tc>
        <w:tc>
          <w:tcPr>
            <w:tcW w:w="220" w:type="dxa"/>
            <w:vAlign w:val="bottom"/>
            <w:shd w:val="clear" w:color="auto" w:fill="EFF0F1"/>
          </w:tcPr>
          <w:p>
            <w:pPr>
              <w:ind w:left="120"/>
              <w:spacing w:after="0"/>
              <w:rPr>
                <w:sz w:val="20"/>
                <w:szCs w:val="20"/>
                <w:color w:val="auto"/>
              </w:rPr>
            </w:pPr>
            <w:r>
              <w:rPr>
                <w:rFonts w:ascii="Arial" w:cs="Arial" w:eastAsia="Arial" w:hAnsi="Arial"/>
                <w:sz w:val="14"/>
                <w:szCs w:val="14"/>
                <w:color w:val="41516E"/>
              </w:rPr>
              <w:t>$</w:t>
            </w:r>
          </w:p>
        </w:tc>
        <w:tc>
          <w:tcPr>
            <w:tcW w:w="880" w:type="dxa"/>
            <w:vAlign w:val="bottom"/>
            <w:gridSpan w:val="2"/>
            <w:shd w:val="clear" w:color="auto" w:fill="EFF0F1"/>
          </w:tcPr>
          <w:p>
            <w:pPr>
              <w:jc w:val="right"/>
              <w:ind w:right="24"/>
              <w:spacing w:after="0"/>
              <w:rPr>
                <w:sz w:val="20"/>
                <w:szCs w:val="20"/>
                <w:color w:val="auto"/>
              </w:rPr>
            </w:pPr>
            <w:r>
              <w:rPr>
                <w:rFonts w:ascii="Arial" w:cs="Arial" w:eastAsia="Arial" w:hAnsi="Arial"/>
                <w:sz w:val="14"/>
                <w:szCs w:val="14"/>
                <w:color w:val="41516E"/>
              </w:rPr>
              <w:t>34,905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40" w:type="dxa"/>
            <w:vAlign w:val="bottom"/>
          </w:tcPr>
          <w:p>
            <w:pPr>
              <w:jc w:val="right"/>
              <w:ind w:right="229"/>
              <w:spacing w:after="0" w:line="189" w:lineRule="exact"/>
              <w:rPr>
                <w:sz w:val="20"/>
                <w:szCs w:val="20"/>
                <w:color w:val="auto"/>
              </w:rPr>
            </w:pPr>
            <w:r>
              <w:rPr>
                <w:rFonts w:ascii="Arial" w:cs="Arial" w:eastAsia="Arial" w:hAnsi="Arial"/>
                <w:sz w:val="13"/>
                <w:szCs w:val="13"/>
                <w:color w:val="41516E"/>
              </w:rPr>
              <w:t>771</w:t>
            </w:r>
            <w:r>
              <w:rPr>
                <w:rFonts w:ascii="Arial" w:cs="Arial" w:eastAsia="Arial" w:hAnsi="Arial"/>
                <w:sz w:val="21"/>
                <w:szCs w:val="21"/>
                <w:color w:val="41516E"/>
                <w:vertAlign w:val="superscript"/>
              </w:rPr>
              <w:t>(9)</w:t>
            </w:r>
          </w:p>
        </w:tc>
        <w:tc>
          <w:tcPr>
            <w:tcW w:w="18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323.80</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41516E"/>
              </w:rPr>
              <w:t>2/28/2033</w:t>
            </w:r>
          </w:p>
        </w:tc>
        <w:tc>
          <w:tcPr>
            <w:tcW w:w="1220" w:type="dxa"/>
            <w:vAlign w:val="bottom"/>
          </w:tcPr>
          <w:p>
            <w:pPr>
              <w:jc w:val="right"/>
              <w:ind w:right="77"/>
              <w:spacing w:after="0" w:line="189" w:lineRule="exact"/>
              <w:rPr>
                <w:sz w:val="20"/>
                <w:szCs w:val="20"/>
                <w:color w:val="auto"/>
              </w:rPr>
            </w:pPr>
            <w:r>
              <w:rPr>
                <w:rFonts w:ascii="Arial" w:cs="Arial" w:eastAsia="Arial" w:hAnsi="Arial"/>
                <w:sz w:val="21"/>
                <w:szCs w:val="21"/>
                <w:color w:val="41516E"/>
                <w:vertAlign w:val="subscript"/>
              </w:rPr>
              <w:t>74</w:t>
            </w:r>
            <w:r>
              <w:rPr>
                <w:rFonts w:ascii="Arial" w:cs="Arial" w:eastAsia="Arial" w:hAnsi="Arial"/>
                <w:sz w:val="10"/>
                <w:szCs w:val="10"/>
                <w:color w:val="41516E"/>
              </w:rPr>
              <w:t>(11)</w:t>
            </w:r>
          </w:p>
        </w:tc>
        <w:tc>
          <w:tcPr>
            <w:tcW w:w="220" w:type="dxa"/>
            <w:vAlign w:val="bottom"/>
          </w:tcPr>
          <w:p>
            <w:pPr>
              <w:ind w:left="120"/>
              <w:spacing w:after="0"/>
              <w:rPr>
                <w:sz w:val="20"/>
                <w:szCs w:val="20"/>
                <w:color w:val="auto"/>
              </w:rPr>
            </w:pPr>
            <w:r>
              <w:rPr>
                <w:rFonts w:ascii="Arial" w:cs="Arial" w:eastAsia="Arial" w:hAnsi="Arial"/>
                <w:sz w:val="14"/>
                <w:szCs w:val="14"/>
                <w:color w:val="41516E"/>
              </w:rPr>
              <w:t>$</w:t>
            </w:r>
          </w:p>
        </w:tc>
        <w:tc>
          <w:tcPr>
            <w:tcW w:w="880" w:type="dxa"/>
            <w:vAlign w:val="bottom"/>
            <w:gridSpan w:val="2"/>
          </w:tcPr>
          <w:p>
            <w:pPr>
              <w:jc w:val="right"/>
              <w:ind w:right="24"/>
              <w:spacing w:after="0"/>
              <w:rPr>
                <w:sz w:val="20"/>
                <w:szCs w:val="20"/>
                <w:color w:val="auto"/>
              </w:rPr>
            </w:pPr>
            <w:r>
              <w:rPr>
                <w:rFonts w:ascii="Arial" w:cs="Arial" w:eastAsia="Arial" w:hAnsi="Arial"/>
                <w:sz w:val="14"/>
                <w:szCs w:val="14"/>
                <w:color w:val="41516E"/>
              </w:rPr>
              <w:t>25,574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EFF0F1"/>
          </w:tcPr>
          <w:p>
            <w:pPr>
              <w:spacing w:after="0"/>
              <w:rPr>
                <w:sz w:val="16"/>
                <w:szCs w:val="16"/>
                <w:color w:val="auto"/>
              </w:rPr>
            </w:pPr>
          </w:p>
        </w:tc>
        <w:tc>
          <w:tcPr>
            <w:tcW w:w="540" w:type="dxa"/>
            <w:vAlign w:val="bottom"/>
            <w:shd w:val="clear" w:color="auto" w:fill="EFF0F1"/>
          </w:tcPr>
          <w:p>
            <w:pPr>
              <w:spacing w:after="0"/>
              <w:rPr>
                <w:sz w:val="16"/>
                <w:szCs w:val="16"/>
                <w:color w:val="auto"/>
              </w:rPr>
            </w:pPr>
          </w:p>
        </w:tc>
        <w:tc>
          <w:tcPr>
            <w:tcW w:w="1160" w:type="dxa"/>
            <w:vAlign w:val="bottom"/>
            <w:shd w:val="clear" w:color="auto" w:fill="EFF0F1"/>
          </w:tcPr>
          <w:p>
            <w:pPr>
              <w:spacing w:after="0"/>
              <w:rPr>
                <w:sz w:val="16"/>
                <w:szCs w:val="16"/>
                <w:color w:val="auto"/>
              </w:rPr>
            </w:pPr>
          </w:p>
        </w:tc>
        <w:tc>
          <w:tcPr>
            <w:tcW w:w="200" w:type="dxa"/>
            <w:vAlign w:val="bottom"/>
            <w:shd w:val="clear" w:color="auto" w:fill="EFF0F1"/>
          </w:tcPr>
          <w:p>
            <w:pPr>
              <w:spacing w:after="0"/>
              <w:rPr>
                <w:sz w:val="16"/>
                <w:szCs w:val="16"/>
                <w:color w:val="auto"/>
              </w:rPr>
            </w:pPr>
          </w:p>
        </w:tc>
        <w:tc>
          <w:tcPr>
            <w:tcW w:w="1280" w:type="dxa"/>
            <w:vAlign w:val="bottom"/>
            <w:shd w:val="clear" w:color="auto" w:fill="EFF0F1"/>
          </w:tcPr>
          <w:p>
            <w:pPr>
              <w:spacing w:after="0"/>
              <w:rPr>
                <w:sz w:val="16"/>
                <w:szCs w:val="16"/>
                <w:color w:val="auto"/>
              </w:rPr>
            </w:pPr>
          </w:p>
        </w:tc>
        <w:tc>
          <w:tcPr>
            <w:tcW w:w="1640" w:type="dxa"/>
            <w:vAlign w:val="bottom"/>
            <w:shd w:val="clear" w:color="auto" w:fill="EFF0F1"/>
          </w:tcPr>
          <w:p>
            <w:pPr>
              <w:jc w:val="right"/>
              <w:ind w:right="169"/>
              <w:spacing w:after="0" w:line="189" w:lineRule="exact"/>
              <w:rPr>
                <w:sz w:val="20"/>
                <w:szCs w:val="20"/>
                <w:color w:val="auto"/>
              </w:rPr>
            </w:pPr>
            <w:r>
              <w:rPr>
                <w:rFonts w:ascii="Arial" w:cs="Arial" w:eastAsia="Arial" w:hAnsi="Arial"/>
                <w:sz w:val="13"/>
                <w:szCs w:val="13"/>
                <w:color w:val="41516E"/>
              </w:rPr>
              <w:t>3,944</w:t>
            </w:r>
            <w:r>
              <w:rPr>
                <w:rFonts w:ascii="Arial" w:cs="Arial" w:eastAsia="Arial" w:hAnsi="Arial"/>
                <w:sz w:val="21"/>
                <w:szCs w:val="21"/>
                <w:color w:val="41516E"/>
                <w:vertAlign w:val="superscript"/>
              </w:rPr>
              <w:t>(20)</w:t>
            </w:r>
          </w:p>
        </w:tc>
        <w:tc>
          <w:tcPr>
            <w:tcW w:w="180" w:type="dxa"/>
            <w:vAlign w:val="bottom"/>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shd w:val="clear" w:color="auto" w:fill="EFF0F1"/>
          </w:tcPr>
          <w:p>
            <w:pPr>
              <w:jc w:val="right"/>
              <w:ind w:right="168"/>
              <w:spacing w:after="0"/>
              <w:rPr>
                <w:sz w:val="20"/>
                <w:szCs w:val="20"/>
                <w:color w:val="auto"/>
              </w:rPr>
            </w:pPr>
            <w:r>
              <w:rPr>
                <w:rFonts w:ascii="Arial" w:cs="Arial" w:eastAsia="Arial" w:hAnsi="Arial"/>
                <w:sz w:val="14"/>
                <w:szCs w:val="14"/>
                <w:color w:val="41516E"/>
              </w:rPr>
              <w:t>308.14</w:t>
            </w:r>
          </w:p>
        </w:tc>
        <w:tc>
          <w:tcPr>
            <w:tcW w:w="1240" w:type="dxa"/>
            <w:vAlign w:val="bottom"/>
            <w:gridSpan w:val="3"/>
            <w:shd w:val="clear" w:color="auto" w:fill="EFF0F1"/>
          </w:tcPr>
          <w:p>
            <w:pPr>
              <w:jc w:val="right"/>
              <w:ind w:right="300"/>
              <w:spacing w:after="0"/>
              <w:rPr>
                <w:sz w:val="20"/>
                <w:szCs w:val="20"/>
                <w:color w:val="auto"/>
              </w:rPr>
            </w:pPr>
            <w:r>
              <w:rPr>
                <w:rFonts w:ascii="Arial" w:cs="Arial" w:eastAsia="Arial" w:hAnsi="Arial"/>
                <w:sz w:val="14"/>
                <w:szCs w:val="14"/>
                <w:color w:val="41516E"/>
              </w:rPr>
              <w:t>5/14/2033</w:t>
            </w:r>
          </w:p>
        </w:tc>
        <w:tc>
          <w:tcPr>
            <w:tcW w:w="1220" w:type="dxa"/>
            <w:vAlign w:val="bottom"/>
            <w:shd w:val="clear" w:color="auto" w:fill="EFF0F1"/>
          </w:tcPr>
          <w:p>
            <w:pPr>
              <w:jc w:val="right"/>
              <w:ind w:right="77"/>
              <w:spacing w:after="0" w:line="189" w:lineRule="exact"/>
              <w:rPr>
                <w:sz w:val="20"/>
                <w:szCs w:val="20"/>
                <w:color w:val="auto"/>
              </w:rPr>
            </w:pPr>
            <w:r>
              <w:rPr>
                <w:rFonts w:ascii="Arial" w:cs="Arial" w:eastAsia="Arial" w:hAnsi="Arial"/>
                <w:sz w:val="21"/>
                <w:szCs w:val="21"/>
                <w:color w:val="41516E"/>
                <w:vertAlign w:val="subscript"/>
              </w:rPr>
              <w:t>588</w:t>
            </w:r>
            <w:r>
              <w:rPr>
                <w:rFonts w:ascii="Arial" w:cs="Arial" w:eastAsia="Arial" w:hAnsi="Arial"/>
                <w:sz w:val="10"/>
                <w:szCs w:val="10"/>
                <w:color w:val="41516E"/>
              </w:rPr>
              <w:t>(13)</w:t>
            </w:r>
          </w:p>
        </w:tc>
        <w:tc>
          <w:tcPr>
            <w:tcW w:w="220" w:type="dxa"/>
            <w:vAlign w:val="bottom"/>
            <w:shd w:val="clear" w:color="auto" w:fill="EFF0F1"/>
          </w:tcPr>
          <w:p>
            <w:pPr>
              <w:ind w:left="120"/>
              <w:spacing w:after="0"/>
              <w:rPr>
                <w:sz w:val="20"/>
                <w:szCs w:val="20"/>
                <w:color w:val="auto"/>
              </w:rPr>
            </w:pPr>
            <w:r>
              <w:rPr>
                <w:rFonts w:ascii="Arial" w:cs="Arial" w:eastAsia="Arial" w:hAnsi="Arial"/>
                <w:sz w:val="14"/>
                <w:szCs w:val="14"/>
                <w:color w:val="41516E"/>
              </w:rPr>
              <w:t>$</w:t>
            </w:r>
          </w:p>
        </w:tc>
        <w:tc>
          <w:tcPr>
            <w:tcW w:w="880" w:type="dxa"/>
            <w:vAlign w:val="bottom"/>
            <w:gridSpan w:val="2"/>
            <w:shd w:val="clear" w:color="auto" w:fill="EFF0F1"/>
          </w:tcPr>
          <w:p>
            <w:pPr>
              <w:jc w:val="right"/>
              <w:ind w:right="24"/>
              <w:spacing w:after="0"/>
              <w:rPr>
                <w:sz w:val="20"/>
                <w:szCs w:val="20"/>
                <w:color w:val="auto"/>
              </w:rPr>
            </w:pPr>
            <w:r>
              <w:rPr>
                <w:rFonts w:ascii="Arial" w:cs="Arial" w:eastAsia="Arial" w:hAnsi="Arial"/>
                <w:sz w:val="14"/>
                <w:szCs w:val="14"/>
                <w:color w:val="41516E"/>
              </w:rPr>
              <w:t>203,207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41516E"/>
            </w:tcBorders>
          </w:tcPr>
          <w:p>
            <w:pPr>
              <w:spacing w:after="0"/>
              <w:rPr>
                <w:sz w:val="16"/>
                <w:szCs w:val="16"/>
                <w:color w:val="auto"/>
              </w:rPr>
            </w:pPr>
          </w:p>
        </w:tc>
        <w:tc>
          <w:tcPr>
            <w:tcW w:w="540" w:type="dxa"/>
            <w:vAlign w:val="bottom"/>
            <w:tcBorders>
              <w:bottom w:val="single" w:sz="8" w:color="41516E"/>
            </w:tcBorders>
          </w:tcPr>
          <w:p>
            <w:pPr>
              <w:spacing w:after="0"/>
              <w:rPr>
                <w:sz w:val="16"/>
                <w:szCs w:val="16"/>
                <w:color w:val="auto"/>
              </w:rPr>
            </w:pPr>
          </w:p>
        </w:tc>
        <w:tc>
          <w:tcPr>
            <w:tcW w:w="1160" w:type="dxa"/>
            <w:vAlign w:val="bottom"/>
            <w:tcBorders>
              <w:bottom w:val="single" w:sz="8" w:color="41516E"/>
            </w:tcBorders>
          </w:tcPr>
          <w:p>
            <w:pPr>
              <w:spacing w:after="0"/>
              <w:rPr>
                <w:sz w:val="16"/>
                <w:szCs w:val="16"/>
                <w:color w:val="auto"/>
              </w:rPr>
            </w:pPr>
          </w:p>
        </w:tc>
        <w:tc>
          <w:tcPr>
            <w:tcW w:w="200" w:type="dxa"/>
            <w:vAlign w:val="bottom"/>
            <w:tcBorders>
              <w:bottom w:val="single" w:sz="8" w:color="41516E"/>
            </w:tcBorders>
          </w:tcPr>
          <w:p>
            <w:pPr>
              <w:spacing w:after="0"/>
              <w:rPr>
                <w:sz w:val="16"/>
                <w:szCs w:val="16"/>
                <w:color w:val="auto"/>
              </w:rPr>
            </w:pPr>
          </w:p>
        </w:tc>
        <w:tc>
          <w:tcPr>
            <w:tcW w:w="1280" w:type="dxa"/>
            <w:vAlign w:val="bottom"/>
            <w:tcBorders>
              <w:bottom w:val="single" w:sz="8" w:color="41516E"/>
            </w:tcBorders>
          </w:tcPr>
          <w:p>
            <w:pPr>
              <w:spacing w:after="0"/>
              <w:rPr>
                <w:sz w:val="16"/>
                <w:szCs w:val="16"/>
                <w:color w:val="auto"/>
              </w:rPr>
            </w:pPr>
          </w:p>
        </w:tc>
        <w:tc>
          <w:tcPr>
            <w:tcW w:w="1640" w:type="dxa"/>
            <w:vAlign w:val="bottom"/>
            <w:tcBorders>
              <w:bottom w:val="single" w:sz="8" w:color="41516E"/>
            </w:tcBorders>
          </w:tcPr>
          <w:p>
            <w:pPr>
              <w:spacing w:after="0"/>
              <w:rPr>
                <w:sz w:val="16"/>
                <w:szCs w:val="16"/>
                <w:color w:val="auto"/>
              </w:rPr>
            </w:pPr>
          </w:p>
        </w:tc>
        <w:tc>
          <w:tcPr>
            <w:tcW w:w="180" w:type="dxa"/>
            <w:vAlign w:val="bottom"/>
            <w:tcBorders>
              <w:bottom w:val="single" w:sz="8" w:color="41516E"/>
            </w:tcBorders>
          </w:tcPr>
          <w:p>
            <w:pPr>
              <w:spacing w:after="0"/>
              <w:rPr>
                <w:sz w:val="16"/>
                <w:szCs w:val="16"/>
                <w:color w:val="auto"/>
              </w:rPr>
            </w:pPr>
          </w:p>
        </w:tc>
        <w:tc>
          <w:tcPr>
            <w:tcW w:w="900" w:type="dxa"/>
            <w:vAlign w:val="bottom"/>
            <w:tcBorders>
              <w:bottom w:val="single" w:sz="8" w:color="41516E"/>
            </w:tcBorders>
          </w:tcPr>
          <w:p>
            <w:pPr>
              <w:spacing w:after="0"/>
              <w:rPr>
                <w:sz w:val="16"/>
                <w:szCs w:val="16"/>
                <w:color w:val="auto"/>
              </w:rPr>
            </w:pPr>
          </w:p>
        </w:tc>
        <w:tc>
          <w:tcPr>
            <w:tcW w:w="920" w:type="dxa"/>
            <w:vAlign w:val="bottom"/>
            <w:tcBorders>
              <w:bottom w:val="single" w:sz="8" w:color="41516E"/>
            </w:tcBorders>
          </w:tcPr>
          <w:p>
            <w:pPr>
              <w:spacing w:after="0"/>
              <w:rPr>
                <w:sz w:val="16"/>
                <w:szCs w:val="16"/>
                <w:color w:val="auto"/>
              </w:rPr>
            </w:pPr>
          </w:p>
        </w:tc>
        <w:tc>
          <w:tcPr>
            <w:tcW w:w="20" w:type="dxa"/>
            <w:vAlign w:val="bottom"/>
            <w:tcBorders>
              <w:bottom w:val="single" w:sz="8" w:color="41516E"/>
            </w:tcBorders>
          </w:tcPr>
          <w:p>
            <w:pPr>
              <w:spacing w:after="0"/>
              <w:rPr>
                <w:sz w:val="16"/>
                <w:szCs w:val="16"/>
                <w:color w:val="auto"/>
              </w:rPr>
            </w:pPr>
          </w:p>
        </w:tc>
        <w:tc>
          <w:tcPr>
            <w:tcW w:w="300" w:type="dxa"/>
            <w:vAlign w:val="bottom"/>
            <w:tcBorders>
              <w:bottom w:val="single" w:sz="8" w:color="41516E"/>
            </w:tcBorders>
          </w:tcPr>
          <w:p>
            <w:pPr>
              <w:spacing w:after="0"/>
              <w:rPr>
                <w:sz w:val="16"/>
                <w:szCs w:val="16"/>
                <w:color w:val="auto"/>
              </w:rPr>
            </w:pPr>
          </w:p>
        </w:tc>
        <w:tc>
          <w:tcPr>
            <w:tcW w:w="1220" w:type="dxa"/>
            <w:vAlign w:val="bottom"/>
            <w:tcBorders>
              <w:bottom w:val="single" w:sz="8" w:color="41516E"/>
            </w:tcBorders>
          </w:tcPr>
          <w:p>
            <w:pPr>
              <w:jc w:val="right"/>
              <w:ind w:right="77"/>
              <w:spacing w:after="0" w:line="189" w:lineRule="exact"/>
              <w:rPr>
                <w:sz w:val="20"/>
                <w:szCs w:val="20"/>
                <w:color w:val="auto"/>
              </w:rPr>
            </w:pPr>
            <w:r>
              <w:rPr>
                <w:rFonts w:ascii="Arial" w:cs="Arial" w:eastAsia="Arial" w:hAnsi="Arial"/>
                <w:sz w:val="21"/>
                <w:szCs w:val="21"/>
                <w:color w:val="41516E"/>
                <w:vertAlign w:val="subscript"/>
              </w:rPr>
              <w:t>387</w:t>
            </w:r>
            <w:r>
              <w:rPr>
                <w:rFonts w:ascii="Arial" w:cs="Arial" w:eastAsia="Arial" w:hAnsi="Arial"/>
                <w:sz w:val="10"/>
                <w:szCs w:val="10"/>
                <w:color w:val="41516E"/>
              </w:rPr>
              <w:t>(14)</w:t>
            </w:r>
          </w:p>
        </w:tc>
        <w:tc>
          <w:tcPr>
            <w:tcW w:w="220" w:type="dxa"/>
            <w:vAlign w:val="bottom"/>
            <w:tcBorders>
              <w:bottom w:val="single" w:sz="8" w:color="41516E"/>
            </w:tcBorders>
          </w:tcPr>
          <w:p>
            <w:pPr>
              <w:ind w:left="120"/>
              <w:spacing w:after="0"/>
              <w:rPr>
                <w:sz w:val="20"/>
                <w:szCs w:val="20"/>
                <w:color w:val="auto"/>
              </w:rPr>
            </w:pPr>
            <w:r>
              <w:rPr>
                <w:rFonts w:ascii="Arial" w:cs="Arial" w:eastAsia="Arial" w:hAnsi="Arial"/>
                <w:sz w:val="14"/>
                <w:szCs w:val="14"/>
                <w:color w:val="41516E"/>
              </w:rPr>
              <w:t>$</w:t>
            </w:r>
          </w:p>
        </w:tc>
        <w:tc>
          <w:tcPr>
            <w:tcW w:w="880" w:type="dxa"/>
            <w:vAlign w:val="bottom"/>
            <w:tcBorders>
              <w:bottom w:val="single" w:sz="8" w:color="41516E"/>
            </w:tcBorders>
            <w:gridSpan w:val="2"/>
          </w:tcPr>
          <w:p>
            <w:pPr>
              <w:jc w:val="right"/>
              <w:ind w:right="24"/>
              <w:spacing w:after="0"/>
              <w:rPr>
                <w:sz w:val="20"/>
                <w:szCs w:val="20"/>
                <w:color w:val="auto"/>
              </w:rPr>
            </w:pPr>
            <w:r>
              <w:rPr>
                <w:rFonts w:ascii="Arial" w:cs="Arial" w:eastAsia="Arial" w:hAnsi="Arial"/>
                <w:sz w:val="14"/>
                <w:szCs w:val="14"/>
                <w:color w:val="41516E"/>
              </w:rPr>
              <w:t>133,743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41516E"/>
              </w:rPr>
              <w:t>www.bostonbeer.com</w:t>
            </w:r>
          </w:p>
        </w:tc>
        <w:tc>
          <w:tcPr>
            <w:tcW w:w="540" w:type="dxa"/>
            <w:vAlign w:val="bottom"/>
            <w:tcBorders>
              <w:bottom w:val="single" w:sz="8" w:color="41516E"/>
            </w:tcBorders>
          </w:tcPr>
          <w:p>
            <w:pPr>
              <w:spacing w:after="0"/>
              <w:rPr>
                <w:sz w:val="24"/>
                <w:szCs w:val="24"/>
                <w:color w:val="auto"/>
              </w:rPr>
            </w:pPr>
          </w:p>
        </w:tc>
        <w:tc>
          <w:tcPr>
            <w:tcW w:w="1160" w:type="dxa"/>
            <w:vAlign w:val="bottom"/>
            <w:tcBorders>
              <w:bottom w:val="single" w:sz="8" w:color="41516E"/>
            </w:tcBorders>
          </w:tcPr>
          <w:p>
            <w:pPr>
              <w:spacing w:after="0"/>
              <w:rPr>
                <w:sz w:val="24"/>
                <w:szCs w:val="24"/>
                <w:color w:val="auto"/>
              </w:rPr>
            </w:pPr>
          </w:p>
        </w:tc>
        <w:tc>
          <w:tcPr>
            <w:tcW w:w="200" w:type="dxa"/>
            <w:vAlign w:val="bottom"/>
            <w:tcBorders>
              <w:bottom w:val="single" w:sz="8" w:color="41516E"/>
            </w:tcBorders>
          </w:tcPr>
          <w:p>
            <w:pPr>
              <w:spacing w:after="0"/>
              <w:rPr>
                <w:sz w:val="24"/>
                <w:szCs w:val="24"/>
                <w:color w:val="auto"/>
              </w:rPr>
            </w:pPr>
          </w:p>
        </w:tc>
        <w:tc>
          <w:tcPr>
            <w:tcW w:w="29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1516E"/>
              </w:rPr>
              <w:t>THE BOSTON BEER COMPANY, INC.</w:t>
            </w:r>
          </w:p>
        </w:tc>
        <w:tc>
          <w:tcPr>
            <w:tcW w:w="180" w:type="dxa"/>
            <w:vAlign w:val="bottom"/>
          </w:tcPr>
          <w:p>
            <w:pPr>
              <w:spacing w:after="0"/>
              <w:rPr>
                <w:sz w:val="24"/>
                <w:szCs w:val="24"/>
                <w:color w:val="auto"/>
              </w:rPr>
            </w:pPr>
          </w:p>
        </w:tc>
        <w:tc>
          <w:tcPr>
            <w:tcW w:w="18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41516E"/>
              </w:rPr>
              <w:t xml:space="preserve">2024 </w:t>
            </w:r>
            <w:r>
              <w:rPr>
                <w:rFonts w:ascii="Arial" w:cs="Arial" w:eastAsia="Arial" w:hAnsi="Arial"/>
                <w:sz w:val="16"/>
                <w:szCs w:val="16"/>
                <w:color w:val="41516E"/>
              </w:rPr>
              <w:t>Proxy Statement</w:t>
            </w:r>
          </w:p>
        </w:tc>
        <w:tc>
          <w:tcPr>
            <w:tcW w:w="320" w:type="dxa"/>
            <w:vAlign w:val="bottom"/>
            <w:tcBorders>
              <w:bottom w:val="single" w:sz="8" w:color="41516E"/>
            </w:tcBorders>
            <w:gridSpan w:val="2"/>
          </w:tcPr>
          <w:p>
            <w:pPr>
              <w:spacing w:after="0"/>
              <w:rPr>
                <w:sz w:val="24"/>
                <w:szCs w:val="24"/>
                <w:color w:val="auto"/>
              </w:rPr>
            </w:pPr>
          </w:p>
        </w:tc>
        <w:tc>
          <w:tcPr>
            <w:tcW w:w="1220" w:type="dxa"/>
            <w:vAlign w:val="bottom"/>
            <w:tcBorders>
              <w:bottom w:val="single" w:sz="8" w:color="41516E"/>
            </w:tcBorders>
          </w:tcPr>
          <w:p>
            <w:pPr>
              <w:spacing w:after="0"/>
              <w:rPr>
                <w:sz w:val="24"/>
                <w:szCs w:val="24"/>
                <w:color w:val="auto"/>
              </w:rPr>
            </w:pPr>
          </w:p>
        </w:tc>
        <w:tc>
          <w:tcPr>
            <w:tcW w:w="220" w:type="dxa"/>
            <w:vAlign w:val="bottom"/>
            <w:tcBorders>
              <w:bottom w:val="single" w:sz="8" w:color="41516E"/>
            </w:tcBorders>
          </w:tcPr>
          <w:p>
            <w:pPr>
              <w:spacing w:after="0"/>
              <w:rPr>
                <w:sz w:val="24"/>
                <w:szCs w:val="24"/>
                <w:color w:val="auto"/>
              </w:rPr>
            </w:pPr>
          </w:p>
        </w:tc>
        <w:tc>
          <w:tcPr>
            <w:tcW w:w="460" w:type="dxa"/>
            <w:vAlign w:val="bottom"/>
            <w:tcBorders>
              <w:bottom w:val="single" w:sz="8" w:color="41516E"/>
            </w:tcBorders>
          </w:tcPr>
          <w:p>
            <w:pPr>
              <w:spacing w:after="0"/>
              <w:rPr>
                <w:sz w:val="24"/>
                <w:szCs w:val="24"/>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41516E"/>
              </w:rPr>
              <w:t>42</w:t>
            </w:r>
          </w:p>
        </w:tc>
        <w:tc>
          <w:tcPr>
            <w:tcW w:w="0" w:type="dxa"/>
            <w:vAlign w:val="bottom"/>
          </w:tcPr>
          <w:p>
            <w:pPr>
              <w:spacing w:after="0"/>
              <w:rPr>
                <w:sz w:val="1"/>
                <w:szCs w:val="1"/>
                <w:color w:val="auto"/>
              </w:rPr>
            </w:pPr>
          </w:p>
        </w:tc>
      </w:tr>
      <w:tr>
        <w:trPr>
          <w:trHeight w:val="94"/>
        </w:trPr>
        <w:tc>
          <w:tcPr>
            <w:tcW w:w="17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320" w:type="dxa"/>
            <w:vAlign w:val="bottom"/>
            <w:gridSpan w:val="2"/>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178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1160" w:type="dxa"/>
            <w:vAlign w:val="bottom"/>
            <w:tcBorders>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1280" w:type="dxa"/>
            <w:vAlign w:val="bottom"/>
            <w:tcBorders>
              <w:bottom w:val="single" w:sz="8" w:color="C0C0C0"/>
            </w:tcBorders>
          </w:tcPr>
          <w:p>
            <w:pPr>
              <w:spacing w:after="0"/>
              <w:rPr>
                <w:sz w:val="24"/>
                <w:szCs w:val="24"/>
                <w:color w:val="auto"/>
              </w:rPr>
            </w:pPr>
          </w:p>
        </w:tc>
        <w:tc>
          <w:tcPr>
            <w:tcW w:w="1640" w:type="dxa"/>
            <w:vAlign w:val="bottom"/>
            <w:tcBorders>
              <w:bottom w:val="single" w:sz="8" w:color="C0C0C0"/>
            </w:tcBorders>
          </w:tcPr>
          <w:p>
            <w:pPr>
              <w:spacing w:after="0"/>
              <w:rPr>
                <w:sz w:val="24"/>
                <w:szCs w:val="24"/>
                <w:color w:val="auto"/>
              </w:rPr>
            </w:pPr>
          </w:p>
        </w:tc>
        <w:tc>
          <w:tcPr>
            <w:tcW w:w="18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c>
          <w:tcPr>
            <w:tcW w:w="92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300" w:type="dxa"/>
            <w:vAlign w:val="bottom"/>
            <w:tcBorders>
              <w:bottom w:val="single" w:sz="8" w:color="C0C0C0"/>
            </w:tcBorders>
          </w:tcPr>
          <w:p>
            <w:pPr>
              <w:spacing w:after="0"/>
              <w:rPr>
                <w:sz w:val="24"/>
                <w:szCs w:val="24"/>
                <w:color w:val="auto"/>
              </w:rPr>
            </w:pPr>
          </w:p>
        </w:tc>
        <w:tc>
          <w:tcPr>
            <w:tcW w:w="122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46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-393700</wp:posOffset>
            </wp:positionV>
            <wp:extent cx="76835"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2400" w:type="dxa"/>
            <w:vAlign w:val="bottom"/>
            <w:gridSpan w:val="2"/>
          </w:tcPr>
          <w:p>
            <w:pPr>
              <w:spacing w:after="0"/>
              <w:rPr>
                <w:sz w:val="20"/>
                <w:szCs w:val="20"/>
                <w:color w:val="auto"/>
              </w:rPr>
            </w:pPr>
            <w:r>
              <w:rPr>
                <w:rFonts w:ascii="Arial" w:cs="Arial" w:eastAsia="Arial" w:hAnsi="Arial"/>
                <w:sz w:val="14"/>
                <w:szCs w:val="14"/>
                <w:b w:val="1"/>
                <w:bCs w:val="1"/>
                <w:color w:val="0000EE"/>
              </w:rPr>
              <w:t>Back to Contents</w:t>
            </w:r>
          </w:p>
        </w:tc>
        <w:tc>
          <w:tcPr>
            <w:tcW w:w="1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Borders>
              <w:bottom w:val="single" w:sz="8" w:color="41516E"/>
            </w:tcBorders>
          </w:tcPr>
          <w:p>
            <w:pPr>
              <w:spacing w:after="0"/>
              <w:rPr>
                <w:sz w:val="24"/>
                <w:szCs w:val="24"/>
                <w:color w:val="auto"/>
              </w:rPr>
            </w:pPr>
          </w:p>
        </w:tc>
        <w:tc>
          <w:tcPr>
            <w:tcW w:w="1520" w:type="dxa"/>
            <w:vAlign w:val="bottom"/>
            <w:tcBorders>
              <w:bottom w:val="single" w:sz="8" w:color="41516E"/>
            </w:tcBorders>
          </w:tcPr>
          <w:p>
            <w:pPr>
              <w:spacing w:after="0"/>
              <w:rPr>
                <w:sz w:val="24"/>
                <w:szCs w:val="24"/>
                <w:color w:val="auto"/>
              </w:rPr>
            </w:pPr>
          </w:p>
        </w:tc>
        <w:tc>
          <w:tcPr>
            <w:tcW w:w="1520" w:type="dxa"/>
            <w:vAlign w:val="bottom"/>
            <w:tcBorders>
              <w:bottom w:val="single" w:sz="8" w:color="41516E"/>
            </w:tcBorders>
          </w:tcPr>
          <w:p>
            <w:pPr>
              <w:jc w:val="right"/>
              <w:ind w:right="389"/>
              <w:spacing w:after="0"/>
              <w:rPr>
                <w:sz w:val="20"/>
                <w:szCs w:val="20"/>
                <w:color w:val="auto"/>
              </w:rPr>
            </w:pPr>
            <w:r>
              <w:rPr>
                <w:rFonts w:ascii="Arial" w:cs="Arial" w:eastAsia="Arial" w:hAnsi="Arial"/>
                <w:sz w:val="14"/>
                <w:szCs w:val="14"/>
                <w:b w:val="1"/>
                <w:bCs w:val="1"/>
                <w:color w:val="41516E"/>
              </w:rPr>
              <w:t>Option Awards</w:t>
            </w:r>
          </w:p>
        </w:tc>
        <w:tc>
          <w:tcPr>
            <w:tcW w:w="300" w:type="dxa"/>
            <w:vAlign w:val="bottom"/>
            <w:tcBorders>
              <w:bottom w:val="single" w:sz="8" w:color="41516E"/>
            </w:tcBorders>
          </w:tcPr>
          <w:p>
            <w:pPr>
              <w:spacing w:after="0"/>
              <w:rPr>
                <w:sz w:val="24"/>
                <w:szCs w:val="24"/>
                <w:color w:val="auto"/>
              </w:rPr>
            </w:pPr>
          </w:p>
        </w:tc>
        <w:tc>
          <w:tcPr>
            <w:tcW w:w="900" w:type="dxa"/>
            <w:vAlign w:val="bottom"/>
            <w:tcBorders>
              <w:bottom w:val="single" w:sz="8" w:color="41516E"/>
            </w:tcBorders>
          </w:tcPr>
          <w:p>
            <w:pPr>
              <w:spacing w:after="0"/>
              <w:rPr>
                <w:sz w:val="24"/>
                <w:szCs w:val="24"/>
                <w:color w:val="auto"/>
              </w:rPr>
            </w:pPr>
          </w:p>
        </w:tc>
        <w:tc>
          <w:tcPr>
            <w:tcW w:w="940" w:type="dxa"/>
            <w:vAlign w:val="bottom"/>
            <w:tcBorders>
              <w:bottom w:val="single" w:sz="8" w:color="41516E"/>
            </w:tcBorders>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Borders>
              <w:bottom w:val="single" w:sz="8" w:color="41516E"/>
            </w:tcBorders>
            <w:gridSpan w:val="3"/>
          </w:tcPr>
          <w:p>
            <w:pPr>
              <w:jc w:val="right"/>
              <w:ind w:right="608"/>
              <w:spacing w:after="0"/>
              <w:rPr>
                <w:sz w:val="20"/>
                <w:szCs w:val="20"/>
                <w:color w:val="auto"/>
              </w:rPr>
            </w:pPr>
            <w:r>
              <w:rPr>
                <w:rFonts w:ascii="Arial" w:cs="Arial" w:eastAsia="Arial" w:hAnsi="Arial"/>
                <w:sz w:val="14"/>
                <w:szCs w:val="14"/>
                <w:b w:val="1"/>
                <w:bCs w:val="1"/>
                <w:color w:val="41516E"/>
              </w:rPr>
              <w:t>Stock Awards</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jc w:val="right"/>
              <w:ind w:right="269"/>
              <w:spacing w:after="0" w:line="147" w:lineRule="exact"/>
              <w:rPr>
                <w:sz w:val="20"/>
                <w:szCs w:val="20"/>
                <w:color w:val="auto"/>
              </w:rPr>
            </w:pPr>
            <w:r>
              <w:rPr>
                <w:rFonts w:ascii="Arial" w:cs="Arial" w:eastAsia="Arial" w:hAnsi="Arial"/>
                <w:sz w:val="14"/>
                <w:szCs w:val="14"/>
                <w:b w:val="1"/>
                <w:bCs w:val="1"/>
                <w:color w:val="41516E"/>
              </w:rPr>
              <w:t>Equity</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jc w:val="right"/>
              <w:ind w:right="269"/>
              <w:spacing w:after="0"/>
              <w:rPr>
                <w:sz w:val="20"/>
                <w:szCs w:val="20"/>
                <w:color w:val="auto"/>
              </w:rPr>
            </w:pPr>
            <w:r>
              <w:rPr>
                <w:rFonts w:ascii="Arial" w:cs="Arial" w:eastAsia="Arial" w:hAnsi="Arial"/>
                <w:sz w:val="14"/>
                <w:szCs w:val="14"/>
                <w:b w:val="1"/>
                <w:bCs w:val="1"/>
                <w:color w:val="41516E"/>
              </w:rPr>
              <w:t>Incentive Plan</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41516E"/>
              </w:rPr>
              <w:t>No. of</w:t>
            </w:r>
          </w:p>
        </w:tc>
        <w:tc>
          <w:tcPr>
            <w:tcW w:w="1520" w:type="dxa"/>
            <w:vAlign w:val="bottom"/>
          </w:tcPr>
          <w:p>
            <w:pPr>
              <w:spacing w:after="0"/>
              <w:rPr>
                <w:sz w:val="14"/>
                <w:szCs w:val="14"/>
                <w:color w:val="auto"/>
              </w:rPr>
            </w:pPr>
          </w:p>
        </w:tc>
        <w:tc>
          <w:tcPr>
            <w:tcW w:w="1520" w:type="dxa"/>
            <w:vAlign w:val="bottom"/>
          </w:tcPr>
          <w:p>
            <w:pPr>
              <w:jc w:val="right"/>
              <w:ind w:right="269"/>
              <w:spacing w:after="0"/>
              <w:rPr>
                <w:sz w:val="20"/>
                <w:szCs w:val="20"/>
                <w:color w:val="auto"/>
              </w:rPr>
            </w:pPr>
            <w:r>
              <w:rPr>
                <w:rFonts w:ascii="Arial" w:cs="Arial" w:eastAsia="Arial" w:hAnsi="Arial"/>
                <w:sz w:val="14"/>
                <w:szCs w:val="14"/>
                <w:b w:val="1"/>
                <w:bCs w:val="1"/>
                <w:color w:val="41516E"/>
              </w:rPr>
              <w:t>Awards: No.</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41516E"/>
              </w:rPr>
              <w:t>Market Value</w:t>
            </w: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40" w:type="dxa"/>
            <w:vAlign w:val="bottom"/>
          </w:tcPr>
          <w:p>
            <w:pPr>
              <w:jc w:val="right"/>
              <w:ind w:right="88"/>
              <w:spacing w:after="0" w:line="145" w:lineRule="exact"/>
              <w:rPr>
                <w:sz w:val="20"/>
                <w:szCs w:val="20"/>
                <w:color w:val="auto"/>
              </w:rPr>
            </w:pPr>
            <w:r>
              <w:rPr>
                <w:rFonts w:ascii="Arial" w:cs="Arial" w:eastAsia="Arial" w:hAnsi="Arial"/>
                <w:sz w:val="14"/>
                <w:szCs w:val="14"/>
                <w:b w:val="1"/>
                <w:bCs w:val="1"/>
                <w:color w:val="41516E"/>
              </w:rPr>
              <w:t>Securities</w:t>
            </w:r>
          </w:p>
        </w:tc>
        <w:tc>
          <w:tcPr>
            <w:tcW w:w="1520" w:type="dxa"/>
            <w:vAlign w:val="bottom"/>
          </w:tcPr>
          <w:p>
            <w:pPr>
              <w:jc w:val="right"/>
              <w:ind w:right="173"/>
              <w:spacing w:after="0" w:line="145" w:lineRule="exact"/>
              <w:rPr>
                <w:sz w:val="20"/>
                <w:szCs w:val="20"/>
                <w:color w:val="auto"/>
              </w:rPr>
            </w:pPr>
            <w:r>
              <w:rPr>
                <w:rFonts w:ascii="Arial" w:cs="Arial" w:eastAsia="Arial" w:hAnsi="Arial"/>
                <w:sz w:val="14"/>
                <w:szCs w:val="14"/>
                <w:b w:val="1"/>
                <w:bCs w:val="1"/>
                <w:color w:val="41516E"/>
              </w:rPr>
              <w:t>No. of Securities</w:t>
            </w:r>
          </w:p>
        </w:tc>
        <w:tc>
          <w:tcPr>
            <w:tcW w:w="1520" w:type="dxa"/>
            <w:vAlign w:val="bottom"/>
          </w:tcPr>
          <w:p>
            <w:pPr>
              <w:jc w:val="right"/>
              <w:ind w:right="269"/>
              <w:spacing w:after="0" w:line="145" w:lineRule="exact"/>
              <w:rPr>
                <w:sz w:val="20"/>
                <w:szCs w:val="20"/>
                <w:color w:val="auto"/>
              </w:rPr>
            </w:pPr>
            <w:r>
              <w:rPr>
                <w:rFonts w:ascii="Arial" w:cs="Arial" w:eastAsia="Arial" w:hAnsi="Arial"/>
                <w:sz w:val="14"/>
                <w:szCs w:val="14"/>
                <w:b w:val="1"/>
                <w:bCs w:val="1"/>
                <w:color w:val="41516E"/>
              </w:rPr>
              <w:t>of Securities</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right"/>
              <w:ind w:right="278"/>
              <w:spacing w:after="0" w:line="145" w:lineRule="exact"/>
              <w:rPr>
                <w:sz w:val="20"/>
                <w:szCs w:val="20"/>
                <w:color w:val="auto"/>
              </w:rPr>
            </w:pPr>
            <w:r>
              <w:rPr>
                <w:rFonts w:ascii="Arial" w:cs="Arial" w:eastAsia="Arial" w:hAnsi="Arial"/>
                <w:sz w:val="14"/>
                <w:szCs w:val="14"/>
                <w:b w:val="1"/>
                <w:bCs w:val="1"/>
                <w:color w:val="41516E"/>
              </w:rPr>
              <w:t>No. of</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41516E"/>
              </w:rPr>
              <w:t>Underlying</w:t>
            </w:r>
          </w:p>
        </w:tc>
        <w:tc>
          <w:tcPr>
            <w:tcW w:w="1520" w:type="dxa"/>
            <w:vAlign w:val="bottom"/>
          </w:tcPr>
          <w:p>
            <w:pPr>
              <w:jc w:val="right"/>
              <w:ind w:right="173"/>
              <w:spacing w:after="0"/>
              <w:rPr>
                <w:sz w:val="20"/>
                <w:szCs w:val="20"/>
                <w:color w:val="auto"/>
              </w:rPr>
            </w:pPr>
            <w:r>
              <w:rPr>
                <w:rFonts w:ascii="Arial" w:cs="Arial" w:eastAsia="Arial" w:hAnsi="Arial"/>
                <w:sz w:val="14"/>
                <w:szCs w:val="14"/>
                <w:b w:val="1"/>
                <w:bCs w:val="1"/>
                <w:color w:val="41516E"/>
              </w:rPr>
              <w:t>Underlying</w:t>
            </w:r>
          </w:p>
        </w:tc>
        <w:tc>
          <w:tcPr>
            <w:tcW w:w="1520" w:type="dxa"/>
            <w:vAlign w:val="bottom"/>
          </w:tcPr>
          <w:p>
            <w:pPr>
              <w:jc w:val="right"/>
              <w:ind w:right="269"/>
              <w:spacing w:after="0"/>
              <w:rPr>
                <w:sz w:val="20"/>
                <w:szCs w:val="20"/>
                <w:color w:val="auto"/>
              </w:rPr>
            </w:pPr>
            <w:r>
              <w:rPr>
                <w:rFonts w:ascii="Arial" w:cs="Arial" w:eastAsia="Arial" w:hAnsi="Arial"/>
                <w:sz w:val="14"/>
                <w:szCs w:val="14"/>
                <w:b w:val="1"/>
                <w:bCs w:val="1"/>
                <w:color w:val="41516E"/>
              </w:rPr>
              <w:t>Underlying</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41516E"/>
              </w:rPr>
              <w:t>Option</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78"/>
              <w:spacing w:after="0"/>
              <w:rPr>
                <w:sz w:val="20"/>
                <w:szCs w:val="20"/>
                <w:color w:val="auto"/>
              </w:rPr>
            </w:pPr>
            <w:r>
              <w:rPr>
                <w:rFonts w:ascii="Arial" w:cs="Arial" w:eastAsia="Arial" w:hAnsi="Arial"/>
                <w:sz w:val="14"/>
                <w:szCs w:val="14"/>
                <w:b w:val="1"/>
                <w:bCs w:val="1"/>
                <w:color w:val="41516E"/>
              </w:rPr>
              <w:t>Shares of</w:t>
            </w:r>
          </w:p>
        </w:tc>
        <w:tc>
          <w:tcPr>
            <w:tcW w:w="2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41516E"/>
              </w:rPr>
              <w:t>of Shares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41516E"/>
              </w:rPr>
              <w:t>Unexercised</w:t>
            </w:r>
          </w:p>
        </w:tc>
        <w:tc>
          <w:tcPr>
            <w:tcW w:w="1520" w:type="dxa"/>
            <w:vAlign w:val="bottom"/>
          </w:tcPr>
          <w:p>
            <w:pPr>
              <w:jc w:val="right"/>
              <w:ind w:right="173"/>
              <w:spacing w:after="0"/>
              <w:rPr>
                <w:sz w:val="20"/>
                <w:szCs w:val="20"/>
                <w:color w:val="auto"/>
              </w:rPr>
            </w:pPr>
            <w:r>
              <w:rPr>
                <w:rFonts w:ascii="Arial" w:cs="Arial" w:eastAsia="Arial" w:hAnsi="Arial"/>
                <w:sz w:val="14"/>
                <w:szCs w:val="14"/>
                <w:b w:val="1"/>
                <w:bCs w:val="1"/>
                <w:color w:val="41516E"/>
              </w:rPr>
              <w:t>Unexercised</w:t>
            </w:r>
          </w:p>
        </w:tc>
        <w:tc>
          <w:tcPr>
            <w:tcW w:w="1520" w:type="dxa"/>
            <w:vAlign w:val="bottom"/>
          </w:tcPr>
          <w:p>
            <w:pPr>
              <w:jc w:val="right"/>
              <w:ind w:right="269"/>
              <w:spacing w:after="0"/>
              <w:rPr>
                <w:sz w:val="20"/>
                <w:szCs w:val="20"/>
                <w:color w:val="auto"/>
              </w:rPr>
            </w:pPr>
            <w:r>
              <w:rPr>
                <w:rFonts w:ascii="Arial" w:cs="Arial" w:eastAsia="Arial" w:hAnsi="Arial"/>
                <w:sz w:val="14"/>
                <w:szCs w:val="14"/>
                <w:b w:val="1"/>
                <w:bCs w:val="1"/>
                <w:color w:val="41516E"/>
              </w:rPr>
              <w:t>Unexercised</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41516E"/>
              </w:rPr>
              <w:t>Exercise</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41516E"/>
              </w:rPr>
              <w:t>Option</w:t>
            </w:r>
          </w:p>
        </w:tc>
        <w:tc>
          <w:tcPr>
            <w:tcW w:w="1220" w:type="dxa"/>
            <w:vAlign w:val="bottom"/>
          </w:tcPr>
          <w:p>
            <w:pPr>
              <w:jc w:val="right"/>
              <w:ind w:right="278"/>
              <w:spacing w:after="0"/>
              <w:rPr>
                <w:sz w:val="20"/>
                <w:szCs w:val="20"/>
                <w:color w:val="auto"/>
              </w:rPr>
            </w:pPr>
            <w:r>
              <w:rPr>
                <w:rFonts w:ascii="Arial" w:cs="Arial" w:eastAsia="Arial" w:hAnsi="Arial"/>
                <w:sz w:val="14"/>
                <w:szCs w:val="14"/>
                <w:b w:val="1"/>
                <w:bCs w:val="1"/>
                <w:color w:val="41516E"/>
              </w:rPr>
              <w:t>Stock That</w:t>
            </w:r>
          </w:p>
        </w:tc>
        <w:tc>
          <w:tcPr>
            <w:tcW w:w="2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41516E"/>
              </w:rPr>
              <w:t>that Have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41516E"/>
              </w:rPr>
              <w:t>Options</w:t>
            </w:r>
          </w:p>
        </w:tc>
        <w:tc>
          <w:tcPr>
            <w:tcW w:w="1520" w:type="dxa"/>
            <w:vAlign w:val="bottom"/>
          </w:tcPr>
          <w:p>
            <w:pPr>
              <w:jc w:val="right"/>
              <w:ind w:right="173"/>
              <w:spacing w:after="0"/>
              <w:rPr>
                <w:sz w:val="20"/>
                <w:szCs w:val="20"/>
                <w:color w:val="auto"/>
              </w:rPr>
            </w:pPr>
            <w:r>
              <w:rPr>
                <w:rFonts w:ascii="Arial" w:cs="Arial" w:eastAsia="Arial" w:hAnsi="Arial"/>
                <w:sz w:val="14"/>
                <w:szCs w:val="14"/>
                <w:b w:val="1"/>
                <w:bCs w:val="1"/>
                <w:color w:val="41516E"/>
              </w:rPr>
              <w:t>Options</w:t>
            </w:r>
          </w:p>
        </w:tc>
        <w:tc>
          <w:tcPr>
            <w:tcW w:w="1520" w:type="dxa"/>
            <w:vAlign w:val="bottom"/>
          </w:tcPr>
          <w:p>
            <w:pPr>
              <w:jc w:val="right"/>
              <w:ind w:right="269"/>
              <w:spacing w:after="0"/>
              <w:rPr>
                <w:sz w:val="20"/>
                <w:szCs w:val="20"/>
                <w:color w:val="auto"/>
              </w:rPr>
            </w:pPr>
            <w:r>
              <w:rPr>
                <w:rFonts w:ascii="Arial" w:cs="Arial" w:eastAsia="Arial" w:hAnsi="Arial"/>
                <w:sz w:val="14"/>
                <w:szCs w:val="14"/>
                <w:b w:val="1"/>
                <w:bCs w:val="1"/>
                <w:color w:val="41516E"/>
              </w:rPr>
              <w:t>Unearned</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41516E"/>
              </w:rPr>
              <w:t>Price</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41516E"/>
              </w:rPr>
              <w:t>Expiration</w:t>
            </w:r>
          </w:p>
        </w:tc>
        <w:tc>
          <w:tcPr>
            <w:tcW w:w="1220" w:type="dxa"/>
            <w:vAlign w:val="bottom"/>
          </w:tcPr>
          <w:p>
            <w:pPr>
              <w:jc w:val="right"/>
              <w:ind w:right="278"/>
              <w:spacing w:after="0"/>
              <w:rPr>
                <w:sz w:val="20"/>
                <w:szCs w:val="20"/>
                <w:color w:val="auto"/>
              </w:rPr>
            </w:pPr>
            <w:r>
              <w:rPr>
                <w:rFonts w:ascii="Arial" w:cs="Arial" w:eastAsia="Arial" w:hAnsi="Arial"/>
                <w:sz w:val="14"/>
                <w:szCs w:val="14"/>
                <w:b w:val="1"/>
                <w:bCs w:val="1"/>
                <w:color w:val="41516E"/>
              </w:rPr>
              <w:t>Have Not</w:t>
            </w:r>
          </w:p>
        </w:tc>
        <w:tc>
          <w:tcPr>
            <w:tcW w:w="2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41516E"/>
              </w:rPr>
              <w:t>Not Vested</w:t>
            </w:r>
          </w:p>
        </w:tc>
        <w:tc>
          <w:tcPr>
            <w:tcW w:w="0" w:type="dxa"/>
            <w:vAlign w:val="bottom"/>
          </w:tcPr>
          <w:p>
            <w:pPr>
              <w:spacing w:after="0"/>
              <w:rPr>
                <w:sz w:val="1"/>
                <w:szCs w:val="1"/>
                <w:color w:val="auto"/>
              </w:rPr>
            </w:pPr>
          </w:p>
        </w:tc>
      </w:tr>
      <w:tr>
        <w:trPr>
          <w:trHeight w:val="189"/>
        </w:trPr>
        <w:tc>
          <w:tcPr>
            <w:tcW w:w="2400" w:type="dxa"/>
            <w:vAlign w:val="bottom"/>
            <w:tcBorders>
              <w:bottom w:val="single" w:sz="8" w:color="41516E"/>
            </w:tcBorders>
            <w:gridSpan w:val="2"/>
          </w:tcPr>
          <w:p>
            <w:pPr>
              <w:ind w:left="60"/>
              <w:spacing w:after="0"/>
              <w:rPr>
                <w:sz w:val="20"/>
                <w:szCs w:val="20"/>
                <w:color w:val="auto"/>
              </w:rPr>
            </w:pPr>
            <w:r>
              <w:rPr>
                <w:rFonts w:ascii="Arial" w:cs="Arial" w:eastAsia="Arial" w:hAnsi="Arial"/>
                <w:sz w:val="14"/>
                <w:szCs w:val="14"/>
                <w:b w:val="1"/>
                <w:bCs w:val="1"/>
                <w:color w:val="41516E"/>
              </w:rPr>
              <w:t>Name</w:t>
            </w:r>
          </w:p>
        </w:tc>
        <w:tc>
          <w:tcPr>
            <w:tcW w:w="1040" w:type="dxa"/>
            <w:vAlign w:val="bottom"/>
            <w:tcBorders>
              <w:bottom w:val="single" w:sz="8" w:color="41516E"/>
            </w:tcBorders>
          </w:tcPr>
          <w:p>
            <w:pPr>
              <w:jc w:val="right"/>
              <w:ind w:right="88"/>
              <w:spacing w:after="0"/>
              <w:rPr>
                <w:sz w:val="20"/>
                <w:szCs w:val="20"/>
                <w:color w:val="auto"/>
              </w:rPr>
            </w:pPr>
            <w:r>
              <w:rPr>
                <w:rFonts w:ascii="Arial" w:cs="Arial" w:eastAsia="Arial" w:hAnsi="Arial"/>
                <w:sz w:val="14"/>
                <w:szCs w:val="14"/>
                <w:b w:val="1"/>
                <w:bCs w:val="1"/>
                <w:color w:val="41516E"/>
              </w:rPr>
              <w:t>Exercisable</w:t>
            </w:r>
          </w:p>
        </w:tc>
        <w:tc>
          <w:tcPr>
            <w:tcW w:w="1520" w:type="dxa"/>
            <w:vAlign w:val="bottom"/>
            <w:tcBorders>
              <w:bottom w:val="single" w:sz="8" w:color="41516E"/>
            </w:tcBorders>
          </w:tcPr>
          <w:p>
            <w:pPr>
              <w:jc w:val="right"/>
              <w:ind w:right="173"/>
              <w:spacing w:after="0"/>
              <w:rPr>
                <w:sz w:val="20"/>
                <w:szCs w:val="20"/>
                <w:color w:val="auto"/>
              </w:rPr>
            </w:pPr>
            <w:r>
              <w:rPr>
                <w:rFonts w:ascii="Arial" w:cs="Arial" w:eastAsia="Arial" w:hAnsi="Arial"/>
                <w:sz w:val="14"/>
                <w:szCs w:val="14"/>
                <w:b w:val="1"/>
                <w:bCs w:val="1"/>
                <w:color w:val="41516E"/>
              </w:rPr>
              <w:t>Unexercisable</w:t>
            </w:r>
          </w:p>
        </w:tc>
        <w:tc>
          <w:tcPr>
            <w:tcW w:w="1520" w:type="dxa"/>
            <w:vAlign w:val="bottom"/>
            <w:tcBorders>
              <w:bottom w:val="single" w:sz="8" w:color="41516E"/>
            </w:tcBorders>
          </w:tcPr>
          <w:p>
            <w:pPr>
              <w:jc w:val="right"/>
              <w:ind w:right="269"/>
              <w:spacing w:after="0"/>
              <w:rPr>
                <w:sz w:val="20"/>
                <w:szCs w:val="20"/>
                <w:color w:val="auto"/>
              </w:rPr>
            </w:pPr>
            <w:r>
              <w:rPr>
                <w:rFonts w:ascii="Arial" w:cs="Arial" w:eastAsia="Arial" w:hAnsi="Arial"/>
                <w:sz w:val="14"/>
                <w:szCs w:val="14"/>
                <w:b w:val="1"/>
                <w:bCs w:val="1"/>
                <w:color w:val="41516E"/>
              </w:rPr>
              <w:t>Options</w:t>
            </w:r>
          </w:p>
        </w:tc>
        <w:tc>
          <w:tcPr>
            <w:tcW w:w="300" w:type="dxa"/>
            <w:vAlign w:val="bottom"/>
            <w:tcBorders>
              <w:bottom w:val="single" w:sz="8" w:color="41516E"/>
            </w:tcBorders>
          </w:tcPr>
          <w:p>
            <w:pPr>
              <w:spacing w:after="0"/>
              <w:rPr>
                <w:sz w:val="16"/>
                <w:szCs w:val="16"/>
                <w:color w:val="auto"/>
              </w:rPr>
            </w:pPr>
          </w:p>
        </w:tc>
        <w:tc>
          <w:tcPr>
            <w:tcW w:w="900" w:type="dxa"/>
            <w:vAlign w:val="bottom"/>
            <w:tcBorders>
              <w:bottom w:val="single" w:sz="8" w:color="41516E"/>
            </w:tcBorders>
          </w:tcPr>
          <w:p>
            <w:pPr>
              <w:jc w:val="right"/>
              <w:ind w:right="168"/>
              <w:spacing w:after="0"/>
              <w:rPr>
                <w:sz w:val="20"/>
                <w:szCs w:val="20"/>
                <w:color w:val="auto"/>
              </w:rPr>
            </w:pPr>
            <w:r>
              <w:rPr>
                <w:rFonts w:ascii="Arial" w:cs="Arial" w:eastAsia="Arial" w:hAnsi="Arial"/>
                <w:sz w:val="14"/>
                <w:szCs w:val="14"/>
                <w:b w:val="1"/>
                <w:bCs w:val="1"/>
                <w:color w:val="41516E"/>
              </w:rPr>
              <w:t>($)</w:t>
            </w:r>
          </w:p>
        </w:tc>
        <w:tc>
          <w:tcPr>
            <w:tcW w:w="1240" w:type="dxa"/>
            <w:vAlign w:val="bottom"/>
            <w:tcBorders>
              <w:bottom w:val="single" w:sz="8" w:color="41516E"/>
            </w:tcBorders>
            <w:gridSpan w:val="2"/>
          </w:tcPr>
          <w:p>
            <w:pPr>
              <w:jc w:val="right"/>
              <w:ind w:right="300"/>
              <w:spacing w:after="0"/>
              <w:rPr>
                <w:sz w:val="20"/>
                <w:szCs w:val="20"/>
                <w:color w:val="auto"/>
              </w:rPr>
            </w:pPr>
            <w:r>
              <w:rPr>
                <w:rFonts w:ascii="Arial" w:cs="Arial" w:eastAsia="Arial" w:hAnsi="Arial"/>
                <w:sz w:val="14"/>
                <w:szCs w:val="14"/>
                <w:b w:val="1"/>
                <w:bCs w:val="1"/>
                <w:color w:val="41516E"/>
              </w:rPr>
              <w:t>Date</w:t>
            </w:r>
          </w:p>
        </w:tc>
        <w:tc>
          <w:tcPr>
            <w:tcW w:w="1220" w:type="dxa"/>
            <w:vAlign w:val="bottom"/>
            <w:tcBorders>
              <w:bottom w:val="single" w:sz="8" w:color="41516E"/>
            </w:tcBorders>
          </w:tcPr>
          <w:p>
            <w:pPr>
              <w:jc w:val="right"/>
              <w:ind w:right="278"/>
              <w:spacing w:after="0"/>
              <w:rPr>
                <w:sz w:val="20"/>
                <w:szCs w:val="20"/>
                <w:color w:val="auto"/>
              </w:rPr>
            </w:pPr>
            <w:r>
              <w:rPr>
                <w:rFonts w:ascii="Arial" w:cs="Arial" w:eastAsia="Arial" w:hAnsi="Arial"/>
                <w:sz w:val="14"/>
                <w:szCs w:val="14"/>
                <w:b w:val="1"/>
                <w:bCs w:val="1"/>
                <w:color w:val="41516E"/>
              </w:rPr>
              <w:t>Vested</w:t>
            </w:r>
          </w:p>
        </w:tc>
        <w:tc>
          <w:tcPr>
            <w:tcW w:w="220" w:type="dxa"/>
            <w:vAlign w:val="bottom"/>
            <w:tcBorders>
              <w:bottom w:val="single" w:sz="8" w:color="41516E"/>
            </w:tcBorders>
          </w:tcPr>
          <w:p>
            <w:pPr>
              <w:spacing w:after="0"/>
              <w:rPr>
                <w:sz w:val="16"/>
                <w:szCs w:val="16"/>
                <w:color w:val="auto"/>
              </w:rPr>
            </w:pPr>
          </w:p>
        </w:tc>
        <w:tc>
          <w:tcPr>
            <w:tcW w:w="880" w:type="dxa"/>
            <w:vAlign w:val="bottom"/>
            <w:tcBorders>
              <w:bottom w:val="single" w:sz="8" w:color="41516E"/>
            </w:tcBorders>
          </w:tcPr>
          <w:p>
            <w:pPr>
              <w:jc w:val="right"/>
              <w:ind w:right="28"/>
              <w:spacing w:after="0" w:line="189" w:lineRule="exact"/>
              <w:rPr>
                <w:sz w:val="20"/>
                <w:szCs w:val="20"/>
                <w:color w:val="auto"/>
              </w:rPr>
            </w:pPr>
            <w:r>
              <w:rPr>
                <w:rFonts w:ascii="Arial" w:cs="Arial" w:eastAsia="Arial" w:hAnsi="Arial"/>
                <w:sz w:val="13"/>
                <w:szCs w:val="13"/>
                <w:b w:val="1"/>
                <w:bCs w:val="1"/>
                <w:color w:val="41516E"/>
              </w:rPr>
              <w:t>($)</w:t>
            </w:r>
            <w:r>
              <w:rPr>
                <w:rFonts w:ascii="Arial" w:cs="Arial" w:eastAsia="Arial" w:hAnsi="Arial"/>
                <w:sz w:val="21"/>
                <w:szCs w:val="21"/>
                <w:b w:val="1"/>
                <w:bCs w:val="1"/>
                <w:color w:val="41516E"/>
                <w:vertAlign w:val="superscript"/>
              </w:rPr>
              <w:t>(1)</w:t>
            </w:r>
          </w:p>
        </w:tc>
        <w:tc>
          <w:tcPr>
            <w:tcW w:w="0" w:type="dxa"/>
            <w:vAlign w:val="bottom"/>
          </w:tcPr>
          <w:p>
            <w:pPr>
              <w:spacing w:after="0"/>
              <w:rPr>
                <w:sz w:val="1"/>
                <w:szCs w:val="1"/>
                <w:color w:val="auto"/>
              </w:rPr>
            </w:pPr>
          </w:p>
        </w:tc>
      </w:tr>
      <w:tr>
        <w:trPr>
          <w:trHeight w:val="183"/>
        </w:trPr>
        <w:tc>
          <w:tcPr>
            <w:tcW w:w="2400" w:type="dxa"/>
            <w:vAlign w:val="bottom"/>
            <w:gridSpan w:val="2"/>
          </w:tcPr>
          <w:p>
            <w:pPr>
              <w:ind w:left="60"/>
              <w:spacing w:after="0"/>
              <w:rPr>
                <w:sz w:val="20"/>
                <w:szCs w:val="20"/>
                <w:color w:val="auto"/>
              </w:rPr>
            </w:pPr>
            <w:r>
              <w:rPr>
                <w:rFonts w:ascii="Arial" w:cs="Arial" w:eastAsia="Arial" w:hAnsi="Arial"/>
                <w:sz w:val="14"/>
                <w:szCs w:val="14"/>
                <w:b w:val="1"/>
                <w:bCs w:val="1"/>
                <w:color w:val="41516E"/>
              </w:rPr>
              <w:t>Phil Hodges</w:t>
            </w:r>
          </w:p>
        </w:tc>
        <w:tc>
          <w:tcPr>
            <w:tcW w:w="1040" w:type="dxa"/>
            <w:vAlign w:val="bottom"/>
          </w:tcPr>
          <w:p>
            <w:pPr>
              <w:jc w:val="right"/>
              <w:ind w:right="88"/>
              <w:spacing w:after="0"/>
              <w:rPr>
                <w:sz w:val="20"/>
                <w:szCs w:val="20"/>
                <w:color w:val="auto"/>
              </w:rPr>
            </w:pPr>
            <w:r>
              <w:rPr>
                <w:rFonts w:ascii="Arial" w:cs="Arial" w:eastAsia="Arial" w:hAnsi="Arial"/>
                <w:sz w:val="14"/>
                <w:szCs w:val="14"/>
                <w:color w:val="41516E"/>
              </w:rPr>
              <w:t>—</w:t>
            </w:r>
          </w:p>
        </w:tc>
        <w:tc>
          <w:tcPr>
            <w:tcW w:w="1520" w:type="dxa"/>
            <w:vAlign w:val="bottom"/>
          </w:tcPr>
          <w:p>
            <w:pPr>
              <w:jc w:val="right"/>
              <w:ind w:right="173"/>
              <w:spacing w:after="0"/>
              <w:rPr>
                <w:sz w:val="20"/>
                <w:szCs w:val="20"/>
                <w:color w:val="auto"/>
              </w:rPr>
            </w:pPr>
            <w:r>
              <w:rPr>
                <w:rFonts w:ascii="Arial" w:cs="Arial" w:eastAsia="Arial" w:hAnsi="Arial"/>
                <w:sz w:val="14"/>
                <w:szCs w:val="14"/>
                <w:color w:val="41516E"/>
              </w:rPr>
              <w:t>—</w:t>
            </w:r>
          </w:p>
        </w:tc>
        <w:tc>
          <w:tcPr>
            <w:tcW w:w="1520" w:type="dxa"/>
            <w:vAlign w:val="bottom"/>
          </w:tcPr>
          <w:p>
            <w:pPr>
              <w:jc w:val="right"/>
              <w:ind w:right="49"/>
              <w:spacing w:after="0" w:line="183" w:lineRule="exact"/>
              <w:rPr>
                <w:sz w:val="20"/>
                <w:szCs w:val="20"/>
                <w:color w:val="auto"/>
              </w:rPr>
            </w:pPr>
            <w:r>
              <w:rPr>
                <w:rFonts w:ascii="Arial" w:cs="Arial" w:eastAsia="Arial" w:hAnsi="Arial"/>
                <w:sz w:val="13"/>
                <w:szCs w:val="13"/>
                <w:color w:val="41516E"/>
              </w:rPr>
              <w:t>13,276</w:t>
            </w:r>
            <w:r>
              <w:rPr>
                <w:rFonts w:ascii="Arial" w:cs="Arial" w:eastAsia="Arial" w:hAnsi="Arial"/>
                <w:sz w:val="21"/>
                <w:szCs w:val="21"/>
                <w:color w:val="41516E"/>
                <w:vertAlign w:val="superscript"/>
              </w:rPr>
              <w:t>(22)</w:t>
            </w:r>
          </w:p>
        </w:tc>
        <w:tc>
          <w:tcPr>
            <w:tcW w:w="30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330.68</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41516E"/>
              </w:rPr>
              <w:t>5/24/2033</w:t>
            </w:r>
          </w:p>
        </w:tc>
        <w:tc>
          <w:tcPr>
            <w:tcW w:w="1220" w:type="dxa"/>
            <w:vAlign w:val="bottom"/>
          </w:tcPr>
          <w:p>
            <w:pPr>
              <w:jc w:val="right"/>
              <w:ind w:right="78"/>
              <w:spacing w:after="0" w:line="183" w:lineRule="exact"/>
              <w:rPr>
                <w:sz w:val="20"/>
                <w:szCs w:val="20"/>
                <w:color w:val="auto"/>
              </w:rPr>
            </w:pPr>
            <w:r>
              <w:rPr>
                <w:rFonts w:ascii="Arial" w:cs="Arial" w:eastAsia="Arial" w:hAnsi="Arial"/>
                <w:sz w:val="13"/>
                <w:szCs w:val="13"/>
                <w:color w:val="41516E"/>
              </w:rPr>
              <w:t>6,049</w:t>
            </w:r>
            <w:r>
              <w:rPr>
                <w:rFonts w:ascii="Arial" w:cs="Arial" w:eastAsia="Arial" w:hAnsi="Arial"/>
                <w:sz w:val="21"/>
                <w:szCs w:val="21"/>
                <w:color w:val="41516E"/>
                <w:vertAlign w:val="superscript"/>
              </w:rPr>
              <w:t>(24)</w:t>
            </w:r>
          </w:p>
        </w:tc>
        <w:tc>
          <w:tcPr>
            <w:tcW w:w="220" w:type="dxa"/>
            <w:vAlign w:val="bottom"/>
          </w:tcPr>
          <w:p>
            <w:pPr>
              <w:ind w:left="120"/>
              <w:spacing w:after="0"/>
              <w:rPr>
                <w:sz w:val="20"/>
                <w:szCs w:val="20"/>
                <w:color w:val="auto"/>
              </w:rPr>
            </w:pPr>
            <w:r>
              <w:rPr>
                <w:rFonts w:ascii="Arial" w:cs="Arial" w:eastAsia="Arial" w:hAnsi="Arial"/>
                <w:sz w:val="14"/>
                <w:szCs w:val="14"/>
                <w:color w:val="41516E"/>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41516E"/>
              </w:rPr>
              <w:t>2,090,474</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41516E"/>
            </w:tcBorders>
            <w:shd w:val="clear" w:color="auto" w:fill="EFF0F1"/>
          </w:tcPr>
          <w:p>
            <w:pPr>
              <w:spacing w:after="0"/>
              <w:rPr>
                <w:sz w:val="16"/>
                <w:szCs w:val="16"/>
                <w:color w:val="auto"/>
              </w:rPr>
            </w:pPr>
          </w:p>
        </w:tc>
        <w:tc>
          <w:tcPr>
            <w:tcW w:w="1200" w:type="dxa"/>
            <w:vAlign w:val="bottom"/>
            <w:tcBorders>
              <w:bottom w:val="single" w:sz="8" w:color="41516E"/>
            </w:tcBorders>
            <w:shd w:val="clear" w:color="auto" w:fill="EFF0F1"/>
          </w:tcPr>
          <w:p>
            <w:pPr>
              <w:spacing w:after="0"/>
              <w:rPr>
                <w:sz w:val="16"/>
                <w:szCs w:val="16"/>
                <w:color w:val="auto"/>
              </w:rPr>
            </w:pPr>
          </w:p>
        </w:tc>
        <w:tc>
          <w:tcPr>
            <w:tcW w:w="1040" w:type="dxa"/>
            <w:vAlign w:val="bottom"/>
            <w:tcBorders>
              <w:bottom w:val="single" w:sz="8" w:color="41516E"/>
            </w:tcBorders>
            <w:shd w:val="clear" w:color="auto" w:fill="EFF0F1"/>
          </w:tcPr>
          <w:p>
            <w:pPr>
              <w:jc w:val="right"/>
              <w:ind w:right="88"/>
              <w:spacing w:after="0"/>
              <w:rPr>
                <w:sz w:val="20"/>
                <w:szCs w:val="20"/>
                <w:color w:val="auto"/>
              </w:rPr>
            </w:pPr>
            <w:r>
              <w:rPr>
                <w:rFonts w:ascii="Arial" w:cs="Arial" w:eastAsia="Arial" w:hAnsi="Arial"/>
                <w:sz w:val="14"/>
                <w:szCs w:val="14"/>
                <w:color w:val="41516E"/>
              </w:rPr>
              <w:t>—</w:t>
            </w:r>
          </w:p>
        </w:tc>
        <w:tc>
          <w:tcPr>
            <w:tcW w:w="1520" w:type="dxa"/>
            <w:vAlign w:val="bottom"/>
            <w:tcBorders>
              <w:bottom w:val="single" w:sz="8" w:color="41516E"/>
            </w:tcBorders>
            <w:shd w:val="clear" w:color="auto" w:fill="EFF0F1"/>
          </w:tcPr>
          <w:p>
            <w:pPr>
              <w:jc w:val="right"/>
              <w:ind w:right="173"/>
              <w:spacing w:after="0"/>
              <w:rPr>
                <w:sz w:val="20"/>
                <w:szCs w:val="20"/>
                <w:color w:val="auto"/>
              </w:rPr>
            </w:pPr>
            <w:r>
              <w:rPr>
                <w:rFonts w:ascii="Arial" w:cs="Arial" w:eastAsia="Arial" w:hAnsi="Arial"/>
                <w:sz w:val="14"/>
                <w:szCs w:val="14"/>
                <w:color w:val="41516E"/>
              </w:rPr>
              <w:t>—</w:t>
            </w:r>
          </w:p>
        </w:tc>
        <w:tc>
          <w:tcPr>
            <w:tcW w:w="1520" w:type="dxa"/>
            <w:vAlign w:val="bottom"/>
            <w:tcBorders>
              <w:bottom w:val="single" w:sz="8" w:color="41516E"/>
            </w:tcBorders>
            <w:shd w:val="clear" w:color="auto" w:fill="EFF0F1"/>
          </w:tcPr>
          <w:p>
            <w:pPr>
              <w:jc w:val="right"/>
              <w:ind w:right="49"/>
              <w:spacing w:after="0" w:line="189" w:lineRule="exact"/>
              <w:rPr>
                <w:sz w:val="20"/>
                <w:szCs w:val="20"/>
                <w:color w:val="auto"/>
              </w:rPr>
            </w:pPr>
            <w:r>
              <w:rPr>
                <w:rFonts w:ascii="Arial" w:cs="Arial" w:eastAsia="Arial" w:hAnsi="Arial"/>
                <w:sz w:val="13"/>
                <w:szCs w:val="13"/>
                <w:color w:val="41516E"/>
              </w:rPr>
              <w:t>6,348</w:t>
            </w:r>
            <w:r>
              <w:rPr>
                <w:rFonts w:ascii="Arial" w:cs="Arial" w:eastAsia="Arial" w:hAnsi="Arial"/>
                <w:sz w:val="21"/>
                <w:szCs w:val="21"/>
                <w:color w:val="41516E"/>
                <w:vertAlign w:val="superscript"/>
              </w:rPr>
              <w:t>(21)</w:t>
            </w:r>
          </w:p>
        </w:tc>
        <w:tc>
          <w:tcPr>
            <w:tcW w:w="300" w:type="dxa"/>
            <w:vAlign w:val="bottom"/>
            <w:tcBorders>
              <w:bottom w:val="single" w:sz="8" w:color="41516E"/>
            </w:tcBorders>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Borders>
              <w:bottom w:val="single" w:sz="8" w:color="41516E"/>
            </w:tcBorders>
            <w:shd w:val="clear" w:color="auto" w:fill="EFF0F1"/>
          </w:tcPr>
          <w:p>
            <w:pPr>
              <w:jc w:val="right"/>
              <w:ind w:right="168"/>
              <w:spacing w:after="0"/>
              <w:rPr>
                <w:sz w:val="20"/>
                <w:szCs w:val="20"/>
                <w:color w:val="auto"/>
              </w:rPr>
            </w:pPr>
            <w:r>
              <w:rPr>
                <w:rFonts w:ascii="Arial" w:cs="Arial" w:eastAsia="Arial" w:hAnsi="Arial"/>
                <w:sz w:val="14"/>
                <w:szCs w:val="14"/>
                <w:color w:val="41516E"/>
              </w:rPr>
              <w:t>330.68</w:t>
            </w:r>
          </w:p>
        </w:tc>
        <w:tc>
          <w:tcPr>
            <w:tcW w:w="1240" w:type="dxa"/>
            <w:vAlign w:val="bottom"/>
            <w:tcBorders>
              <w:bottom w:val="single" w:sz="8" w:color="41516E"/>
            </w:tcBorders>
            <w:gridSpan w:val="2"/>
            <w:shd w:val="clear" w:color="auto" w:fill="EFF0F1"/>
          </w:tcPr>
          <w:p>
            <w:pPr>
              <w:jc w:val="right"/>
              <w:ind w:right="300"/>
              <w:spacing w:after="0"/>
              <w:rPr>
                <w:sz w:val="20"/>
                <w:szCs w:val="20"/>
                <w:color w:val="auto"/>
              </w:rPr>
            </w:pPr>
            <w:r>
              <w:rPr>
                <w:rFonts w:ascii="Arial" w:cs="Arial" w:eastAsia="Arial" w:hAnsi="Arial"/>
                <w:sz w:val="14"/>
                <w:szCs w:val="14"/>
                <w:color w:val="41516E"/>
              </w:rPr>
              <w:t>5/23/2033</w:t>
            </w:r>
          </w:p>
        </w:tc>
        <w:tc>
          <w:tcPr>
            <w:tcW w:w="1220" w:type="dxa"/>
            <w:vAlign w:val="bottom"/>
            <w:tcBorders>
              <w:bottom w:val="single" w:sz="8" w:color="41516E"/>
            </w:tcBorders>
            <w:shd w:val="clear" w:color="auto" w:fill="EFF0F1"/>
          </w:tcPr>
          <w:p>
            <w:pPr>
              <w:jc w:val="right"/>
              <w:ind w:right="78"/>
              <w:spacing w:after="0" w:line="189" w:lineRule="exact"/>
              <w:rPr>
                <w:sz w:val="20"/>
                <w:szCs w:val="20"/>
                <w:color w:val="auto"/>
              </w:rPr>
            </w:pPr>
            <w:r>
              <w:rPr>
                <w:rFonts w:ascii="Arial" w:cs="Arial" w:eastAsia="Arial" w:hAnsi="Arial"/>
                <w:sz w:val="13"/>
                <w:szCs w:val="13"/>
                <w:color w:val="41516E"/>
              </w:rPr>
              <w:t>9,073</w:t>
            </w:r>
            <w:r>
              <w:rPr>
                <w:rFonts w:ascii="Arial" w:cs="Arial" w:eastAsia="Arial" w:hAnsi="Arial"/>
                <w:sz w:val="21"/>
                <w:szCs w:val="21"/>
                <w:color w:val="41516E"/>
                <w:vertAlign w:val="superscript"/>
              </w:rPr>
              <w:t>(23)</w:t>
            </w:r>
          </w:p>
        </w:tc>
        <w:tc>
          <w:tcPr>
            <w:tcW w:w="220" w:type="dxa"/>
            <w:vAlign w:val="bottom"/>
            <w:tcBorders>
              <w:bottom w:val="single" w:sz="8" w:color="41516E"/>
            </w:tcBorders>
            <w:shd w:val="clear" w:color="auto" w:fill="EFF0F1"/>
          </w:tcPr>
          <w:p>
            <w:pPr>
              <w:ind w:left="120"/>
              <w:spacing w:after="0"/>
              <w:rPr>
                <w:sz w:val="20"/>
                <w:szCs w:val="20"/>
                <w:color w:val="auto"/>
              </w:rPr>
            </w:pPr>
            <w:r>
              <w:rPr>
                <w:rFonts w:ascii="Arial" w:cs="Arial" w:eastAsia="Arial" w:hAnsi="Arial"/>
                <w:sz w:val="14"/>
                <w:szCs w:val="14"/>
                <w:color w:val="41516E"/>
              </w:rPr>
              <w:t>$</w:t>
            </w:r>
          </w:p>
        </w:tc>
        <w:tc>
          <w:tcPr>
            <w:tcW w:w="880" w:type="dxa"/>
            <w:vAlign w:val="bottom"/>
            <w:tcBorders>
              <w:bottom w:val="single" w:sz="8" w:color="41516E"/>
            </w:tcBorders>
            <w:shd w:val="clear" w:color="auto" w:fill="EFF0F1"/>
          </w:tcPr>
          <w:p>
            <w:pPr>
              <w:jc w:val="right"/>
              <w:ind w:right="28"/>
              <w:spacing w:after="0"/>
              <w:rPr>
                <w:sz w:val="20"/>
                <w:szCs w:val="20"/>
                <w:color w:val="auto"/>
              </w:rPr>
            </w:pPr>
            <w:r>
              <w:rPr>
                <w:rFonts w:ascii="Arial" w:cs="Arial" w:eastAsia="Arial" w:hAnsi="Arial"/>
                <w:sz w:val="14"/>
                <w:szCs w:val="14"/>
                <w:color w:val="41516E"/>
              </w:rPr>
              <w:t>3,135,538</w:t>
            </w:r>
          </w:p>
        </w:tc>
        <w:tc>
          <w:tcPr>
            <w:tcW w:w="0" w:type="dxa"/>
            <w:vAlign w:val="bottom"/>
          </w:tcPr>
          <w:p>
            <w:pPr>
              <w:spacing w:after="0"/>
              <w:rPr>
                <w:sz w:val="1"/>
                <w:szCs w:val="1"/>
                <w:color w:val="auto"/>
              </w:rPr>
            </w:pPr>
          </w:p>
        </w:tc>
      </w:tr>
      <w:tr>
        <w:trPr>
          <w:trHeight w:val="183"/>
        </w:trPr>
        <w:tc>
          <w:tcPr>
            <w:tcW w:w="2400" w:type="dxa"/>
            <w:vAlign w:val="bottom"/>
            <w:gridSpan w:val="2"/>
          </w:tcPr>
          <w:p>
            <w:pPr>
              <w:ind w:left="60"/>
              <w:spacing w:after="0"/>
              <w:rPr>
                <w:sz w:val="20"/>
                <w:szCs w:val="20"/>
                <w:color w:val="auto"/>
              </w:rPr>
            </w:pPr>
            <w:r>
              <w:rPr>
                <w:rFonts w:ascii="Arial" w:cs="Arial" w:eastAsia="Arial" w:hAnsi="Arial"/>
                <w:sz w:val="14"/>
                <w:szCs w:val="14"/>
                <w:b w:val="1"/>
                <w:bCs w:val="1"/>
                <w:color w:val="41516E"/>
              </w:rPr>
              <w:t>John C. Geist</w:t>
            </w:r>
          </w:p>
        </w:tc>
        <w:tc>
          <w:tcPr>
            <w:tcW w:w="1040" w:type="dxa"/>
            <w:vAlign w:val="bottom"/>
          </w:tcPr>
          <w:p>
            <w:pPr>
              <w:jc w:val="right"/>
              <w:ind w:right="88"/>
              <w:spacing w:after="0"/>
              <w:rPr>
                <w:sz w:val="20"/>
                <w:szCs w:val="20"/>
                <w:color w:val="auto"/>
              </w:rPr>
            </w:pPr>
            <w:r>
              <w:rPr>
                <w:rFonts w:ascii="Arial" w:cs="Arial" w:eastAsia="Arial" w:hAnsi="Arial"/>
                <w:sz w:val="14"/>
                <w:szCs w:val="14"/>
                <w:color w:val="41516E"/>
              </w:rPr>
              <w:t>524</w:t>
            </w:r>
          </w:p>
        </w:tc>
        <w:tc>
          <w:tcPr>
            <w:tcW w:w="1520" w:type="dxa"/>
            <w:vAlign w:val="bottom"/>
          </w:tcPr>
          <w:p>
            <w:pPr>
              <w:jc w:val="right"/>
              <w:spacing w:after="0" w:line="183" w:lineRule="exact"/>
              <w:rPr>
                <w:sz w:val="20"/>
                <w:szCs w:val="20"/>
                <w:color w:val="auto"/>
              </w:rPr>
            </w:pPr>
            <w:r>
              <w:rPr>
                <w:rFonts w:ascii="Arial" w:cs="Arial" w:eastAsia="Arial" w:hAnsi="Arial"/>
                <w:sz w:val="13"/>
                <w:szCs w:val="13"/>
                <w:color w:val="41516E"/>
              </w:rPr>
              <w:t>12,524</w:t>
            </w:r>
            <w:r>
              <w:rPr>
                <w:rFonts w:ascii="Arial" w:cs="Arial" w:eastAsia="Arial" w:hAnsi="Arial"/>
                <w:sz w:val="21"/>
                <w:szCs w:val="21"/>
                <w:color w:val="41516E"/>
                <w:vertAlign w:val="superscript"/>
              </w:rPr>
              <w:t>(16)</w:t>
            </w:r>
          </w:p>
        </w:tc>
        <w:tc>
          <w:tcPr>
            <w:tcW w:w="1520" w:type="dxa"/>
            <w:vAlign w:val="bottom"/>
          </w:tcPr>
          <w:p>
            <w:pPr>
              <w:jc w:val="right"/>
              <w:ind w:right="269"/>
              <w:spacing w:after="0"/>
              <w:rPr>
                <w:sz w:val="20"/>
                <w:szCs w:val="20"/>
                <w:color w:val="auto"/>
              </w:rPr>
            </w:pPr>
            <w:r>
              <w:rPr>
                <w:rFonts w:ascii="Arial" w:cs="Arial" w:eastAsia="Arial" w:hAnsi="Arial"/>
                <w:sz w:val="14"/>
                <w:szCs w:val="14"/>
                <w:color w:val="41516E"/>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201.91</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41516E"/>
              </w:rPr>
              <w:t>1/1/2026</w:t>
            </w:r>
          </w:p>
        </w:tc>
        <w:tc>
          <w:tcPr>
            <w:tcW w:w="1220" w:type="dxa"/>
            <w:vAlign w:val="bottom"/>
          </w:tcPr>
          <w:p>
            <w:pPr>
              <w:jc w:val="right"/>
              <w:ind w:right="78"/>
              <w:spacing w:after="0" w:line="183" w:lineRule="exact"/>
              <w:rPr>
                <w:sz w:val="20"/>
                <w:szCs w:val="20"/>
                <w:color w:val="auto"/>
              </w:rPr>
            </w:pPr>
            <w:r>
              <w:rPr>
                <w:rFonts w:ascii="Arial" w:cs="Arial" w:eastAsia="Arial" w:hAnsi="Arial"/>
                <w:sz w:val="13"/>
                <w:szCs w:val="13"/>
                <w:color w:val="41516E"/>
              </w:rPr>
              <w:t>2,696</w:t>
            </w:r>
            <w:r>
              <w:rPr>
                <w:rFonts w:ascii="Arial" w:cs="Arial" w:eastAsia="Arial" w:hAnsi="Arial"/>
                <w:sz w:val="21"/>
                <w:szCs w:val="21"/>
                <w:color w:val="41516E"/>
                <w:vertAlign w:val="superscript"/>
              </w:rPr>
              <w:t>(15)</w:t>
            </w:r>
          </w:p>
        </w:tc>
        <w:tc>
          <w:tcPr>
            <w:tcW w:w="220" w:type="dxa"/>
            <w:vAlign w:val="bottom"/>
          </w:tcPr>
          <w:p>
            <w:pPr>
              <w:ind w:left="120"/>
              <w:spacing w:after="0"/>
              <w:rPr>
                <w:sz w:val="20"/>
                <w:szCs w:val="20"/>
                <w:color w:val="auto"/>
              </w:rPr>
            </w:pPr>
            <w:r>
              <w:rPr>
                <w:rFonts w:ascii="Arial" w:cs="Arial" w:eastAsia="Arial" w:hAnsi="Arial"/>
                <w:sz w:val="14"/>
                <w:szCs w:val="14"/>
                <w:color w:val="41516E"/>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41516E"/>
              </w:rPr>
              <w:t>931,711</w:t>
            </w:r>
          </w:p>
        </w:tc>
        <w:tc>
          <w:tcPr>
            <w:tcW w:w="0" w:type="dxa"/>
            <w:vAlign w:val="bottom"/>
          </w:tcPr>
          <w:p>
            <w:pPr>
              <w:spacing w:after="0"/>
              <w:rPr>
                <w:sz w:val="1"/>
                <w:szCs w:val="1"/>
                <w:color w:val="auto"/>
              </w:rPr>
            </w:pPr>
          </w:p>
        </w:tc>
      </w:tr>
      <w:tr>
        <w:trPr>
          <w:trHeight w:val="189"/>
        </w:trPr>
        <w:tc>
          <w:tcPr>
            <w:tcW w:w="1200" w:type="dxa"/>
            <w:vAlign w:val="bottom"/>
            <w:shd w:val="clear" w:color="auto" w:fill="EFF0F1"/>
          </w:tcPr>
          <w:p>
            <w:pPr>
              <w:spacing w:after="0"/>
              <w:rPr>
                <w:sz w:val="16"/>
                <w:szCs w:val="16"/>
                <w:color w:val="auto"/>
              </w:rPr>
            </w:pPr>
          </w:p>
        </w:tc>
        <w:tc>
          <w:tcPr>
            <w:tcW w:w="1200" w:type="dxa"/>
            <w:vAlign w:val="bottom"/>
            <w:shd w:val="clear" w:color="auto" w:fill="EFF0F1"/>
          </w:tcPr>
          <w:p>
            <w:pPr>
              <w:spacing w:after="0"/>
              <w:rPr>
                <w:sz w:val="16"/>
                <w:szCs w:val="16"/>
                <w:color w:val="auto"/>
              </w:rPr>
            </w:pPr>
          </w:p>
        </w:tc>
        <w:tc>
          <w:tcPr>
            <w:tcW w:w="1040" w:type="dxa"/>
            <w:vAlign w:val="bottom"/>
            <w:shd w:val="clear" w:color="auto" w:fill="EFF0F1"/>
          </w:tcPr>
          <w:p>
            <w:pPr>
              <w:jc w:val="right"/>
              <w:ind w:right="88"/>
              <w:spacing w:after="0"/>
              <w:rPr>
                <w:sz w:val="20"/>
                <w:szCs w:val="20"/>
                <w:color w:val="auto"/>
              </w:rPr>
            </w:pPr>
            <w:r>
              <w:rPr>
                <w:rFonts w:ascii="Arial" w:cs="Arial" w:eastAsia="Arial" w:hAnsi="Arial"/>
                <w:sz w:val="14"/>
                <w:szCs w:val="14"/>
                <w:color w:val="41516E"/>
              </w:rPr>
              <w:t>1,274</w:t>
            </w:r>
          </w:p>
        </w:tc>
        <w:tc>
          <w:tcPr>
            <w:tcW w:w="1520" w:type="dxa"/>
            <w:vAlign w:val="bottom"/>
            <w:shd w:val="clear" w:color="auto" w:fill="EFF0F1"/>
          </w:tcPr>
          <w:p>
            <w:pPr>
              <w:jc w:val="right"/>
              <w:ind w:right="33"/>
              <w:spacing w:after="0" w:line="189" w:lineRule="exact"/>
              <w:rPr>
                <w:sz w:val="20"/>
                <w:szCs w:val="20"/>
                <w:color w:val="auto"/>
              </w:rPr>
            </w:pPr>
            <w:r>
              <w:rPr>
                <w:rFonts w:ascii="Arial" w:cs="Arial" w:eastAsia="Arial" w:hAnsi="Arial"/>
                <w:sz w:val="21"/>
                <w:szCs w:val="21"/>
                <w:color w:val="41516E"/>
                <w:vertAlign w:val="subscript"/>
              </w:rPr>
              <w:t>—</w:t>
            </w:r>
            <w:r>
              <w:rPr>
                <w:rFonts w:ascii="Arial" w:cs="Arial" w:eastAsia="Arial" w:hAnsi="Arial"/>
                <w:sz w:val="10"/>
                <w:szCs w:val="10"/>
                <w:color w:val="41516E"/>
              </w:rPr>
              <w:t>(4)</w:t>
            </w:r>
          </w:p>
        </w:tc>
        <w:tc>
          <w:tcPr>
            <w:tcW w:w="1520" w:type="dxa"/>
            <w:vAlign w:val="bottom"/>
            <w:shd w:val="clear" w:color="auto" w:fill="EFF0F1"/>
          </w:tcPr>
          <w:p>
            <w:pPr>
              <w:jc w:val="right"/>
              <w:ind w:right="269"/>
              <w:spacing w:after="0"/>
              <w:rPr>
                <w:sz w:val="20"/>
                <w:szCs w:val="20"/>
                <w:color w:val="auto"/>
              </w:rPr>
            </w:pPr>
            <w:r>
              <w:rPr>
                <w:rFonts w:ascii="Arial" w:cs="Arial" w:eastAsia="Arial" w:hAnsi="Arial"/>
                <w:sz w:val="14"/>
                <w:szCs w:val="14"/>
                <w:color w:val="41516E"/>
              </w:rPr>
              <w:t>—</w:t>
            </w:r>
          </w:p>
        </w:tc>
        <w:tc>
          <w:tcPr>
            <w:tcW w:w="300" w:type="dxa"/>
            <w:vAlign w:val="bottom"/>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shd w:val="clear" w:color="auto" w:fill="EFF0F1"/>
          </w:tcPr>
          <w:p>
            <w:pPr>
              <w:jc w:val="right"/>
              <w:ind w:right="168"/>
              <w:spacing w:after="0"/>
              <w:rPr>
                <w:sz w:val="20"/>
                <w:szCs w:val="20"/>
                <w:color w:val="auto"/>
              </w:rPr>
            </w:pPr>
            <w:r>
              <w:rPr>
                <w:rFonts w:ascii="Arial" w:cs="Arial" w:eastAsia="Arial" w:hAnsi="Arial"/>
                <w:sz w:val="14"/>
                <w:szCs w:val="14"/>
                <w:color w:val="41516E"/>
              </w:rPr>
              <w:t>312.56</w:t>
            </w:r>
          </w:p>
        </w:tc>
        <w:tc>
          <w:tcPr>
            <w:tcW w:w="1240" w:type="dxa"/>
            <w:vAlign w:val="bottom"/>
            <w:gridSpan w:val="2"/>
            <w:shd w:val="clear" w:color="auto" w:fill="EFF0F1"/>
          </w:tcPr>
          <w:p>
            <w:pPr>
              <w:jc w:val="right"/>
              <w:ind w:right="300"/>
              <w:spacing w:after="0"/>
              <w:rPr>
                <w:sz w:val="20"/>
                <w:szCs w:val="20"/>
                <w:color w:val="auto"/>
              </w:rPr>
            </w:pPr>
            <w:r>
              <w:rPr>
                <w:rFonts w:ascii="Arial" w:cs="Arial" w:eastAsia="Arial" w:hAnsi="Arial"/>
                <w:sz w:val="14"/>
                <w:szCs w:val="14"/>
                <w:color w:val="41516E"/>
              </w:rPr>
              <w:t>2/28/2029</w:t>
            </w:r>
          </w:p>
        </w:tc>
        <w:tc>
          <w:tcPr>
            <w:tcW w:w="1220" w:type="dxa"/>
            <w:vAlign w:val="bottom"/>
            <w:shd w:val="clear" w:color="auto" w:fill="EFF0F1"/>
          </w:tcPr>
          <w:p>
            <w:pPr>
              <w:jc w:val="right"/>
              <w:ind w:right="78"/>
              <w:spacing w:after="0" w:line="189" w:lineRule="exact"/>
              <w:rPr>
                <w:sz w:val="20"/>
                <w:szCs w:val="20"/>
                <w:color w:val="auto"/>
              </w:rPr>
            </w:pPr>
            <w:r>
              <w:rPr>
                <w:rFonts w:ascii="Arial" w:cs="Arial" w:eastAsia="Arial" w:hAnsi="Arial"/>
                <w:sz w:val="21"/>
                <w:szCs w:val="21"/>
                <w:color w:val="41516E"/>
                <w:vertAlign w:val="subscript"/>
              </w:rPr>
              <w:t>181</w:t>
            </w:r>
            <w:r>
              <w:rPr>
                <w:rFonts w:ascii="Arial" w:cs="Arial" w:eastAsia="Arial" w:hAnsi="Arial"/>
                <w:sz w:val="10"/>
                <w:szCs w:val="10"/>
                <w:color w:val="41516E"/>
              </w:rPr>
              <w:t>(10)</w:t>
            </w:r>
          </w:p>
        </w:tc>
        <w:tc>
          <w:tcPr>
            <w:tcW w:w="220" w:type="dxa"/>
            <w:vAlign w:val="bottom"/>
            <w:shd w:val="clear" w:color="auto" w:fill="EFF0F1"/>
          </w:tcPr>
          <w:p>
            <w:pPr>
              <w:ind w:left="120"/>
              <w:spacing w:after="0"/>
              <w:rPr>
                <w:sz w:val="20"/>
                <w:szCs w:val="20"/>
                <w:color w:val="auto"/>
              </w:rPr>
            </w:pPr>
            <w:r>
              <w:rPr>
                <w:rFonts w:ascii="Arial" w:cs="Arial" w:eastAsia="Arial" w:hAnsi="Arial"/>
                <w:sz w:val="14"/>
                <w:szCs w:val="14"/>
                <w:color w:val="41516E"/>
              </w:rPr>
              <w:t>$</w:t>
            </w:r>
          </w:p>
        </w:tc>
        <w:tc>
          <w:tcPr>
            <w:tcW w:w="88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62,552</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41516E"/>
              </w:rPr>
              <w:t>1,255</w:t>
            </w:r>
          </w:p>
        </w:tc>
        <w:tc>
          <w:tcPr>
            <w:tcW w:w="1520" w:type="dxa"/>
            <w:vAlign w:val="bottom"/>
          </w:tcPr>
          <w:p>
            <w:pPr>
              <w:jc w:val="right"/>
              <w:ind w:right="33"/>
              <w:spacing w:after="0" w:line="189" w:lineRule="exact"/>
              <w:rPr>
                <w:sz w:val="20"/>
                <w:szCs w:val="20"/>
                <w:color w:val="auto"/>
              </w:rPr>
            </w:pPr>
            <w:r>
              <w:rPr>
                <w:rFonts w:ascii="Arial" w:cs="Arial" w:eastAsia="Arial" w:hAnsi="Arial"/>
                <w:sz w:val="13"/>
                <w:szCs w:val="13"/>
                <w:color w:val="41516E"/>
              </w:rPr>
              <w:t>628</w:t>
            </w:r>
            <w:r>
              <w:rPr>
                <w:rFonts w:ascii="Arial" w:cs="Arial" w:eastAsia="Arial" w:hAnsi="Arial"/>
                <w:sz w:val="21"/>
                <w:szCs w:val="21"/>
                <w:color w:val="41516E"/>
                <w:vertAlign w:val="superscript"/>
              </w:rPr>
              <w:t>(5)</w:t>
            </w:r>
          </w:p>
        </w:tc>
        <w:tc>
          <w:tcPr>
            <w:tcW w:w="1520" w:type="dxa"/>
            <w:vAlign w:val="bottom"/>
          </w:tcPr>
          <w:p>
            <w:pPr>
              <w:jc w:val="right"/>
              <w:ind w:right="269"/>
              <w:spacing w:after="0"/>
              <w:rPr>
                <w:sz w:val="20"/>
                <w:szCs w:val="20"/>
                <w:color w:val="auto"/>
              </w:rPr>
            </w:pPr>
            <w:r>
              <w:rPr>
                <w:rFonts w:ascii="Arial" w:cs="Arial" w:eastAsia="Arial" w:hAnsi="Arial"/>
                <w:sz w:val="14"/>
                <w:szCs w:val="14"/>
                <w:color w:val="41516E"/>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370.79</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41516E"/>
              </w:rPr>
              <w:t>2/28/2030</w:t>
            </w:r>
          </w:p>
        </w:tc>
        <w:tc>
          <w:tcPr>
            <w:tcW w:w="1220" w:type="dxa"/>
            <w:vAlign w:val="bottom"/>
          </w:tcPr>
          <w:p>
            <w:pPr>
              <w:jc w:val="right"/>
              <w:ind w:right="78"/>
              <w:spacing w:after="0" w:line="189" w:lineRule="exact"/>
              <w:rPr>
                <w:sz w:val="20"/>
                <w:szCs w:val="20"/>
                <w:color w:val="auto"/>
              </w:rPr>
            </w:pPr>
            <w:r>
              <w:rPr>
                <w:rFonts w:ascii="Arial" w:cs="Arial" w:eastAsia="Arial" w:hAnsi="Arial"/>
                <w:sz w:val="21"/>
                <w:szCs w:val="21"/>
                <w:color w:val="41516E"/>
                <w:vertAlign w:val="subscript"/>
              </w:rPr>
              <w:t>138</w:t>
            </w:r>
            <w:r>
              <w:rPr>
                <w:rFonts w:ascii="Arial" w:cs="Arial" w:eastAsia="Arial" w:hAnsi="Arial"/>
                <w:sz w:val="10"/>
                <w:szCs w:val="10"/>
                <w:color w:val="41516E"/>
              </w:rPr>
              <w:t>(11)</w:t>
            </w:r>
          </w:p>
        </w:tc>
        <w:tc>
          <w:tcPr>
            <w:tcW w:w="220" w:type="dxa"/>
            <w:vAlign w:val="bottom"/>
          </w:tcPr>
          <w:p>
            <w:pPr>
              <w:ind w:left="120"/>
              <w:spacing w:after="0"/>
              <w:rPr>
                <w:sz w:val="20"/>
                <w:szCs w:val="20"/>
                <w:color w:val="auto"/>
              </w:rPr>
            </w:pPr>
            <w:r>
              <w:rPr>
                <w:rFonts w:ascii="Arial" w:cs="Arial" w:eastAsia="Arial" w:hAnsi="Arial"/>
                <w:sz w:val="14"/>
                <w:szCs w:val="14"/>
                <w:color w:val="41516E"/>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41516E"/>
              </w:rPr>
              <w:t>47,691</w:t>
            </w:r>
          </w:p>
        </w:tc>
        <w:tc>
          <w:tcPr>
            <w:tcW w:w="0" w:type="dxa"/>
            <w:vAlign w:val="bottom"/>
          </w:tcPr>
          <w:p>
            <w:pPr>
              <w:spacing w:after="0"/>
              <w:rPr>
                <w:sz w:val="1"/>
                <w:szCs w:val="1"/>
                <w:color w:val="auto"/>
              </w:rPr>
            </w:pPr>
          </w:p>
        </w:tc>
      </w:tr>
      <w:tr>
        <w:trPr>
          <w:trHeight w:val="189"/>
        </w:trPr>
        <w:tc>
          <w:tcPr>
            <w:tcW w:w="1200" w:type="dxa"/>
            <w:vAlign w:val="bottom"/>
            <w:shd w:val="clear" w:color="auto" w:fill="EFF0F1"/>
          </w:tcPr>
          <w:p>
            <w:pPr>
              <w:spacing w:after="0"/>
              <w:rPr>
                <w:sz w:val="16"/>
                <w:szCs w:val="16"/>
                <w:color w:val="auto"/>
              </w:rPr>
            </w:pPr>
          </w:p>
        </w:tc>
        <w:tc>
          <w:tcPr>
            <w:tcW w:w="1200" w:type="dxa"/>
            <w:vAlign w:val="bottom"/>
            <w:shd w:val="clear" w:color="auto" w:fill="EFF0F1"/>
          </w:tcPr>
          <w:p>
            <w:pPr>
              <w:spacing w:after="0"/>
              <w:rPr>
                <w:sz w:val="16"/>
                <w:szCs w:val="16"/>
                <w:color w:val="auto"/>
              </w:rPr>
            </w:pPr>
          </w:p>
        </w:tc>
        <w:tc>
          <w:tcPr>
            <w:tcW w:w="1040" w:type="dxa"/>
            <w:vAlign w:val="bottom"/>
            <w:shd w:val="clear" w:color="auto" w:fill="EFF0F1"/>
          </w:tcPr>
          <w:p>
            <w:pPr>
              <w:jc w:val="right"/>
              <w:ind w:right="88"/>
              <w:spacing w:after="0"/>
              <w:rPr>
                <w:sz w:val="20"/>
                <w:szCs w:val="20"/>
                <w:color w:val="auto"/>
              </w:rPr>
            </w:pPr>
            <w:r>
              <w:rPr>
                <w:rFonts w:ascii="Arial" w:cs="Arial" w:eastAsia="Arial" w:hAnsi="Arial"/>
                <w:sz w:val="14"/>
                <w:szCs w:val="14"/>
                <w:color w:val="41516E"/>
              </w:rPr>
              <w:t>208</w:t>
            </w:r>
          </w:p>
        </w:tc>
        <w:tc>
          <w:tcPr>
            <w:tcW w:w="1520" w:type="dxa"/>
            <w:vAlign w:val="bottom"/>
            <w:shd w:val="clear" w:color="auto" w:fill="EFF0F1"/>
          </w:tcPr>
          <w:p>
            <w:pPr>
              <w:jc w:val="right"/>
              <w:ind w:right="33"/>
              <w:spacing w:after="0" w:line="189" w:lineRule="exact"/>
              <w:rPr>
                <w:sz w:val="20"/>
                <w:szCs w:val="20"/>
                <w:color w:val="auto"/>
              </w:rPr>
            </w:pPr>
            <w:r>
              <w:rPr>
                <w:rFonts w:ascii="Arial" w:cs="Arial" w:eastAsia="Arial" w:hAnsi="Arial"/>
                <w:sz w:val="13"/>
                <w:szCs w:val="13"/>
                <w:color w:val="41516E"/>
              </w:rPr>
              <w:t>417</w:t>
            </w:r>
            <w:r>
              <w:rPr>
                <w:rFonts w:ascii="Arial" w:cs="Arial" w:eastAsia="Arial" w:hAnsi="Arial"/>
                <w:sz w:val="21"/>
                <w:szCs w:val="21"/>
                <w:color w:val="41516E"/>
                <w:vertAlign w:val="superscript"/>
              </w:rPr>
              <w:t>(6)</w:t>
            </w:r>
          </w:p>
        </w:tc>
        <w:tc>
          <w:tcPr>
            <w:tcW w:w="1520" w:type="dxa"/>
            <w:vAlign w:val="bottom"/>
            <w:shd w:val="clear" w:color="auto" w:fill="EFF0F1"/>
          </w:tcPr>
          <w:p>
            <w:pPr>
              <w:jc w:val="right"/>
              <w:ind w:right="269"/>
              <w:spacing w:after="0"/>
              <w:rPr>
                <w:sz w:val="20"/>
                <w:szCs w:val="20"/>
                <w:color w:val="auto"/>
              </w:rPr>
            </w:pPr>
            <w:r>
              <w:rPr>
                <w:rFonts w:ascii="Arial" w:cs="Arial" w:eastAsia="Arial" w:hAnsi="Arial"/>
                <w:sz w:val="14"/>
                <w:szCs w:val="14"/>
                <w:color w:val="41516E"/>
              </w:rPr>
              <w:t>—</w:t>
            </w:r>
          </w:p>
        </w:tc>
        <w:tc>
          <w:tcPr>
            <w:tcW w:w="300" w:type="dxa"/>
            <w:vAlign w:val="bottom"/>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shd w:val="clear" w:color="auto" w:fill="EFF0F1"/>
          </w:tcPr>
          <w:p>
            <w:pPr>
              <w:jc w:val="right"/>
              <w:ind w:right="168"/>
              <w:spacing w:after="0"/>
              <w:rPr>
                <w:sz w:val="20"/>
                <w:szCs w:val="20"/>
                <w:color w:val="auto"/>
              </w:rPr>
            </w:pPr>
            <w:r>
              <w:rPr>
                <w:rFonts w:ascii="Arial" w:cs="Arial" w:eastAsia="Arial" w:hAnsi="Arial"/>
                <w:sz w:val="14"/>
                <w:szCs w:val="14"/>
                <w:color w:val="41516E"/>
              </w:rPr>
              <w:t>1,028.71</w:t>
            </w:r>
          </w:p>
        </w:tc>
        <w:tc>
          <w:tcPr>
            <w:tcW w:w="1240" w:type="dxa"/>
            <w:vAlign w:val="bottom"/>
            <w:gridSpan w:val="2"/>
            <w:shd w:val="clear" w:color="auto" w:fill="EFF0F1"/>
          </w:tcPr>
          <w:p>
            <w:pPr>
              <w:jc w:val="right"/>
              <w:ind w:right="300"/>
              <w:spacing w:after="0"/>
              <w:rPr>
                <w:sz w:val="20"/>
                <w:szCs w:val="20"/>
                <w:color w:val="auto"/>
              </w:rPr>
            </w:pPr>
            <w:r>
              <w:rPr>
                <w:rFonts w:ascii="Arial" w:cs="Arial" w:eastAsia="Arial" w:hAnsi="Arial"/>
                <w:sz w:val="14"/>
                <w:szCs w:val="14"/>
                <w:color w:val="41516E"/>
              </w:rPr>
              <w:t>2/28/2031</w:t>
            </w:r>
          </w:p>
        </w:tc>
        <w:tc>
          <w:tcPr>
            <w:tcW w:w="1220" w:type="dxa"/>
            <w:vAlign w:val="bottom"/>
            <w:shd w:val="clear" w:color="auto" w:fill="EFF0F1"/>
          </w:tcPr>
          <w:p>
            <w:pPr>
              <w:jc w:val="right"/>
              <w:ind w:right="78"/>
              <w:spacing w:after="0" w:line="189" w:lineRule="exact"/>
              <w:rPr>
                <w:sz w:val="20"/>
                <w:szCs w:val="20"/>
                <w:color w:val="auto"/>
              </w:rPr>
            </w:pPr>
            <w:r>
              <w:rPr>
                <w:rFonts w:ascii="Arial" w:cs="Arial" w:eastAsia="Arial" w:hAnsi="Arial"/>
                <w:sz w:val="21"/>
                <w:szCs w:val="21"/>
                <w:color w:val="41516E"/>
                <w:vertAlign w:val="subscript"/>
              </w:rPr>
              <w:t>567</w:t>
            </w:r>
            <w:r>
              <w:rPr>
                <w:rFonts w:ascii="Arial" w:cs="Arial" w:eastAsia="Arial" w:hAnsi="Arial"/>
                <w:sz w:val="10"/>
                <w:szCs w:val="10"/>
                <w:color w:val="41516E"/>
              </w:rPr>
              <w:t>(13)</w:t>
            </w:r>
          </w:p>
        </w:tc>
        <w:tc>
          <w:tcPr>
            <w:tcW w:w="220" w:type="dxa"/>
            <w:vAlign w:val="bottom"/>
            <w:shd w:val="clear" w:color="auto" w:fill="EFF0F1"/>
          </w:tcPr>
          <w:p>
            <w:pPr>
              <w:ind w:left="120"/>
              <w:spacing w:after="0"/>
              <w:rPr>
                <w:sz w:val="20"/>
                <w:szCs w:val="20"/>
                <w:color w:val="auto"/>
              </w:rPr>
            </w:pPr>
            <w:r>
              <w:rPr>
                <w:rFonts w:ascii="Arial" w:cs="Arial" w:eastAsia="Arial" w:hAnsi="Arial"/>
                <w:sz w:val="14"/>
                <w:szCs w:val="14"/>
                <w:color w:val="41516E"/>
              </w:rPr>
              <w:t>$</w:t>
            </w:r>
          </w:p>
        </w:tc>
        <w:tc>
          <w:tcPr>
            <w:tcW w:w="88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195,950</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41516E"/>
              </w:rPr>
              <w:t>—</w:t>
            </w:r>
          </w:p>
        </w:tc>
        <w:tc>
          <w:tcPr>
            <w:tcW w:w="1520" w:type="dxa"/>
            <w:vAlign w:val="bottom"/>
          </w:tcPr>
          <w:p>
            <w:pPr>
              <w:jc w:val="right"/>
              <w:ind w:right="173"/>
              <w:spacing w:after="0"/>
              <w:rPr>
                <w:sz w:val="20"/>
                <w:szCs w:val="20"/>
                <w:color w:val="auto"/>
              </w:rPr>
            </w:pPr>
            <w:r>
              <w:rPr>
                <w:rFonts w:ascii="Arial" w:cs="Arial" w:eastAsia="Arial" w:hAnsi="Arial"/>
                <w:sz w:val="14"/>
                <w:szCs w:val="14"/>
                <w:color w:val="41516E"/>
              </w:rPr>
              <w:t>—</w:t>
            </w:r>
          </w:p>
        </w:tc>
        <w:tc>
          <w:tcPr>
            <w:tcW w:w="1520" w:type="dxa"/>
            <w:vAlign w:val="bottom"/>
          </w:tcPr>
          <w:p>
            <w:pPr>
              <w:jc w:val="right"/>
              <w:ind w:right="129"/>
              <w:spacing w:after="0" w:line="189" w:lineRule="exact"/>
              <w:rPr>
                <w:sz w:val="20"/>
                <w:szCs w:val="20"/>
                <w:color w:val="auto"/>
              </w:rPr>
            </w:pPr>
            <w:r>
              <w:rPr>
                <w:rFonts w:ascii="Arial" w:cs="Arial" w:eastAsia="Arial" w:hAnsi="Arial"/>
                <w:sz w:val="13"/>
                <w:szCs w:val="13"/>
                <w:color w:val="41516E"/>
              </w:rPr>
              <w:t>1,627</w:t>
            </w:r>
            <w:r>
              <w:rPr>
                <w:rFonts w:ascii="Arial" w:cs="Arial" w:eastAsia="Arial" w:hAnsi="Arial"/>
                <w:sz w:val="21"/>
                <w:szCs w:val="21"/>
                <w:color w:val="41516E"/>
                <w:vertAlign w:val="superscript"/>
              </w:rPr>
              <w:t>(8)</w:t>
            </w:r>
          </w:p>
        </w:tc>
        <w:tc>
          <w:tcPr>
            <w:tcW w:w="30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383.46</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41516E"/>
              </w:rPr>
              <w:t>2/28/2032</w:t>
            </w:r>
          </w:p>
        </w:tc>
        <w:tc>
          <w:tcPr>
            <w:tcW w:w="1220" w:type="dxa"/>
            <w:vAlign w:val="bottom"/>
          </w:tcPr>
          <w:p>
            <w:pPr>
              <w:jc w:val="right"/>
              <w:ind w:right="78"/>
              <w:spacing w:after="0" w:line="189" w:lineRule="exact"/>
              <w:rPr>
                <w:sz w:val="20"/>
                <w:szCs w:val="20"/>
                <w:color w:val="auto"/>
              </w:rPr>
            </w:pPr>
            <w:r>
              <w:rPr>
                <w:rFonts w:ascii="Arial" w:cs="Arial" w:eastAsia="Arial" w:hAnsi="Arial"/>
                <w:sz w:val="13"/>
                <w:szCs w:val="13"/>
                <w:color w:val="41516E"/>
              </w:rPr>
              <w:t>1,545</w:t>
            </w:r>
            <w:r>
              <w:rPr>
                <w:rFonts w:ascii="Arial" w:cs="Arial" w:eastAsia="Arial" w:hAnsi="Arial"/>
                <w:sz w:val="21"/>
                <w:szCs w:val="21"/>
                <w:color w:val="41516E"/>
                <w:vertAlign w:val="superscript"/>
              </w:rPr>
              <w:t>(14)</w:t>
            </w:r>
          </w:p>
        </w:tc>
        <w:tc>
          <w:tcPr>
            <w:tcW w:w="220" w:type="dxa"/>
            <w:vAlign w:val="bottom"/>
          </w:tcPr>
          <w:p>
            <w:pPr>
              <w:ind w:left="120"/>
              <w:spacing w:after="0"/>
              <w:rPr>
                <w:sz w:val="20"/>
                <w:szCs w:val="20"/>
                <w:color w:val="auto"/>
              </w:rPr>
            </w:pPr>
            <w:r>
              <w:rPr>
                <w:rFonts w:ascii="Arial" w:cs="Arial" w:eastAsia="Arial" w:hAnsi="Arial"/>
                <w:sz w:val="14"/>
                <w:szCs w:val="14"/>
                <w:color w:val="41516E"/>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41516E"/>
              </w:rPr>
              <w:t>533,937</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41516E"/>
            </w:tcBorders>
            <w:shd w:val="clear" w:color="auto" w:fill="EFF0F1"/>
          </w:tcPr>
          <w:p>
            <w:pPr>
              <w:spacing w:after="0"/>
              <w:rPr>
                <w:sz w:val="16"/>
                <w:szCs w:val="16"/>
                <w:color w:val="auto"/>
              </w:rPr>
            </w:pPr>
          </w:p>
        </w:tc>
        <w:tc>
          <w:tcPr>
            <w:tcW w:w="1200" w:type="dxa"/>
            <w:vAlign w:val="bottom"/>
            <w:tcBorders>
              <w:bottom w:val="single" w:sz="8" w:color="41516E"/>
            </w:tcBorders>
            <w:shd w:val="clear" w:color="auto" w:fill="EFF0F1"/>
          </w:tcPr>
          <w:p>
            <w:pPr>
              <w:spacing w:after="0"/>
              <w:rPr>
                <w:sz w:val="16"/>
                <w:szCs w:val="16"/>
                <w:color w:val="auto"/>
              </w:rPr>
            </w:pPr>
          </w:p>
        </w:tc>
        <w:tc>
          <w:tcPr>
            <w:tcW w:w="1040" w:type="dxa"/>
            <w:vAlign w:val="bottom"/>
            <w:tcBorders>
              <w:bottom w:val="single" w:sz="8" w:color="41516E"/>
            </w:tcBorders>
            <w:shd w:val="clear" w:color="auto" w:fill="EFF0F1"/>
          </w:tcPr>
          <w:p>
            <w:pPr>
              <w:spacing w:after="0"/>
              <w:rPr>
                <w:sz w:val="16"/>
                <w:szCs w:val="16"/>
                <w:color w:val="auto"/>
              </w:rPr>
            </w:pPr>
          </w:p>
        </w:tc>
        <w:tc>
          <w:tcPr>
            <w:tcW w:w="1520" w:type="dxa"/>
            <w:vAlign w:val="bottom"/>
            <w:tcBorders>
              <w:bottom w:val="single" w:sz="8" w:color="41516E"/>
            </w:tcBorders>
            <w:shd w:val="clear" w:color="auto" w:fill="EFF0F1"/>
          </w:tcPr>
          <w:p>
            <w:pPr>
              <w:spacing w:after="0"/>
              <w:rPr>
                <w:sz w:val="16"/>
                <w:szCs w:val="16"/>
                <w:color w:val="auto"/>
              </w:rPr>
            </w:pPr>
          </w:p>
        </w:tc>
        <w:tc>
          <w:tcPr>
            <w:tcW w:w="1520" w:type="dxa"/>
            <w:vAlign w:val="bottom"/>
            <w:tcBorders>
              <w:bottom w:val="single" w:sz="8" w:color="41516E"/>
            </w:tcBorders>
            <w:shd w:val="clear" w:color="auto" w:fill="EFF0F1"/>
          </w:tcPr>
          <w:p>
            <w:pPr>
              <w:jc w:val="right"/>
              <w:ind w:right="129"/>
              <w:spacing w:after="0" w:line="189" w:lineRule="exact"/>
              <w:rPr>
                <w:sz w:val="20"/>
                <w:szCs w:val="20"/>
                <w:color w:val="auto"/>
              </w:rPr>
            </w:pPr>
            <w:r>
              <w:rPr>
                <w:rFonts w:ascii="Arial" w:cs="Arial" w:eastAsia="Arial" w:hAnsi="Arial"/>
                <w:sz w:val="13"/>
                <w:szCs w:val="13"/>
                <w:color w:val="41516E"/>
              </w:rPr>
              <w:t>3,084</w:t>
            </w:r>
            <w:r>
              <w:rPr>
                <w:rFonts w:ascii="Arial" w:cs="Arial" w:eastAsia="Arial" w:hAnsi="Arial"/>
                <w:sz w:val="21"/>
                <w:szCs w:val="21"/>
                <w:color w:val="41516E"/>
                <w:vertAlign w:val="superscript"/>
              </w:rPr>
              <w:t>(9)</w:t>
            </w:r>
          </w:p>
        </w:tc>
        <w:tc>
          <w:tcPr>
            <w:tcW w:w="300" w:type="dxa"/>
            <w:vAlign w:val="bottom"/>
            <w:tcBorders>
              <w:bottom w:val="single" w:sz="8" w:color="41516E"/>
            </w:tcBorders>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Borders>
              <w:bottom w:val="single" w:sz="8" w:color="41516E"/>
            </w:tcBorders>
            <w:shd w:val="clear" w:color="auto" w:fill="EFF0F1"/>
          </w:tcPr>
          <w:p>
            <w:pPr>
              <w:jc w:val="right"/>
              <w:ind w:right="168"/>
              <w:spacing w:after="0"/>
              <w:rPr>
                <w:sz w:val="20"/>
                <w:szCs w:val="20"/>
                <w:color w:val="auto"/>
              </w:rPr>
            </w:pPr>
            <w:r>
              <w:rPr>
                <w:rFonts w:ascii="Arial" w:cs="Arial" w:eastAsia="Arial" w:hAnsi="Arial"/>
                <w:sz w:val="14"/>
                <w:szCs w:val="14"/>
                <w:color w:val="41516E"/>
              </w:rPr>
              <w:t>323.80</w:t>
            </w:r>
          </w:p>
        </w:tc>
        <w:tc>
          <w:tcPr>
            <w:tcW w:w="1240" w:type="dxa"/>
            <w:vAlign w:val="bottom"/>
            <w:tcBorders>
              <w:bottom w:val="single" w:sz="8" w:color="41516E"/>
            </w:tcBorders>
            <w:gridSpan w:val="2"/>
            <w:shd w:val="clear" w:color="auto" w:fill="EFF0F1"/>
          </w:tcPr>
          <w:p>
            <w:pPr>
              <w:jc w:val="right"/>
              <w:ind w:right="300"/>
              <w:spacing w:after="0"/>
              <w:rPr>
                <w:sz w:val="20"/>
                <w:szCs w:val="20"/>
                <w:color w:val="auto"/>
              </w:rPr>
            </w:pPr>
            <w:r>
              <w:rPr>
                <w:rFonts w:ascii="Arial" w:cs="Arial" w:eastAsia="Arial" w:hAnsi="Arial"/>
                <w:sz w:val="14"/>
                <w:szCs w:val="14"/>
                <w:color w:val="41516E"/>
              </w:rPr>
              <w:t>2/28/2033</w:t>
            </w:r>
          </w:p>
        </w:tc>
        <w:tc>
          <w:tcPr>
            <w:tcW w:w="1220" w:type="dxa"/>
            <w:vAlign w:val="bottom"/>
            <w:tcBorders>
              <w:bottom w:val="single" w:sz="8" w:color="41516E"/>
            </w:tcBorders>
            <w:shd w:val="clear" w:color="auto" w:fill="EFF0F1"/>
          </w:tcPr>
          <w:p>
            <w:pPr>
              <w:spacing w:after="0"/>
              <w:rPr>
                <w:sz w:val="16"/>
                <w:szCs w:val="16"/>
                <w:color w:val="auto"/>
              </w:rPr>
            </w:pPr>
          </w:p>
        </w:tc>
        <w:tc>
          <w:tcPr>
            <w:tcW w:w="220" w:type="dxa"/>
            <w:vAlign w:val="bottom"/>
            <w:tcBorders>
              <w:bottom w:val="single" w:sz="8" w:color="41516E"/>
            </w:tcBorders>
            <w:shd w:val="clear" w:color="auto" w:fill="EFF0F1"/>
          </w:tcPr>
          <w:p>
            <w:pPr>
              <w:spacing w:after="0"/>
              <w:rPr>
                <w:sz w:val="16"/>
                <w:szCs w:val="16"/>
                <w:color w:val="auto"/>
              </w:rPr>
            </w:pPr>
          </w:p>
        </w:tc>
        <w:tc>
          <w:tcPr>
            <w:tcW w:w="880" w:type="dxa"/>
            <w:vAlign w:val="bottom"/>
            <w:tcBorders>
              <w:bottom w:val="single" w:sz="8" w:color="41516E"/>
            </w:tcBorders>
            <w:shd w:val="clear" w:color="auto" w:fill="EFF0F1"/>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60"/>
              <w:spacing w:after="0"/>
              <w:rPr>
                <w:sz w:val="20"/>
                <w:szCs w:val="20"/>
                <w:color w:val="auto"/>
              </w:rPr>
            </w:pPr>
            <w:r>
              <w:rPr>
                <w:rFonts w:ascii="Arial" w:cs="Arial" w:eastAsia="Arial" w:hAnsi="Arial"/>
                <w:sz w:val="14"/>
                <w:szCs w:val="14"/>
                <w:b w:val="1"/>
                <w:bCs w:val="1"/>
                <w:color w:val="41516E"/>
              </w:rPr>
              <w:t>Lesya Lysyj</w:t>
            </w:r>
          </w:p>
        </w:tc>
        <w:tc>
          <w:tcPr>
            <w:tcW w:w="1040" w:type="dxa"/>
            <w:vAlign w:val="bottom"/>
          </w:tcPr>
          <w:p>
            <w:pPr>
              <w:jc w:val="right"/>
              <w:ind w:right="88"/>
              <w:spacing w:after="0"/>
              <w:rPr>
                <w:sz w:val="20"/>
                <w:szCs w:val="20"/>
                <w:color w:val="auto"/>
              </w:rPr>
            </w:pPr>
            <w:r>
              <w:rPr>
                <w:rFonts w:ascii="Arial" w:cs="Arial" w:eastAsia="Arial" w:hAnsi="Arial"/>
                <w:sz w:val="14"/>
                <w:szCs w:val="14"/>
                <w:color w:val="41516E"/>
              </w:rPr>
              <w:t>8,870</w:t>
            </w:r>
          </w:p>
        </w:tc>
        <w:tc>
          <w:tcPr>
            <w:tcW w:w="1520" w:type="dxa"/>
            <w:vAlign w:val="bottom"/>
          </w:tcPr>
          <w:p>
            <w:pPr>
              <w:jc w:val="right"/>
              <w:spacing w:after="0" w:line="183" w:lineRule="exact"/>
              <w:rPr>
                <w:sz w:val="20"/>
                <w:szCs w:val="20"/>
                <w:color w:val="auto"/>
              </w:rPr>
            </w:pPr>
            <w:r>
              <w:rPr>
                <w:rFonts w:ascii="Arial" w:cs="Arial" w:eastAsia="Arial" w:hAnsi="Arial"/>
                <w:sz w:val="13"/>
                <w:szCs w:val="13"/>
                <w:color w:val="41516E"/>
              </w:rPr>
              <w:t>2,957</w:t>
            </w:r>
            <w:r>
              <w:rPr>
                <w:rFonts w:ascii="Arial" w:cs="Arial" w:eastAsia="Arial" w:hAnsi="Arial"/>
                <w:sz w:val="21"/>
                <w:szCs w:val="21"/>
                <w:color w:val="41516E"/>
                <w:vertAlign w:val="superscript"/>
              </w:rPr>
              <w:t>(18)</w:t>
            </w:r>
          </w:p>
        </w:tc>
        <w:tc>
          <w:tcPr>
            <w:tcW w:w="1520" w:type="dxa"/>
            <w:vAlign w:val="bottom"/>
          </w:tcPr>
          <w:p>
            <w:pPr>
              <w:jc w:val="right"/>
              <w:ind w:right="269"/>
              <w:spacing w:after="0"/>
              <w:rPr>
                <w:sz w:val="20"/>
                <w:szCs w:val="20"/>
                <w:color w:val="auto"/>
              </w:rPr>
            </w:pPr>
            <w:r>
              <w:rPr>
                <w:rFonts w:ascii="Arial" w:cs="Arial" w:eastAsia="Arial" w:hAnsi="Arial"/>
                <w:sz w:val="14"/>
                <w:szCs w:val="14"/>
                <w:color w:val="41516E"/>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304.56</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41516E"/>
              </w:rPr>
              <w:t>4/28/2029</w:t>
            </w:r>
          </w:p>
        </w:tc>
        <w:tc>
          <w:tcPr>
            <w:tcW w:w="1220" w:type="dxa"/>
            <w:vAlign w:val="bottom"/>
          </w:tcPr>
          <w:p>
            <w:pPr>
              <w:jc w:val="right"/>
              <w:ind w:right="78"/>
              <w:spacing w:after="0" w:line="183" w:lineRule="exact"/>
              <w:rPr>
                <w:sz w:val="20"/>
                <w:szCs w:val="20"/>
                <w:color w:val="auto"/>
              </w:rPr>
            </w:pPr>
            <w:r>
              <w:rPr>
                <w:rFonts w:ascii="Arial" w:cs="Arial" w:eastAsia="Arial" w:hAnsi="Arial"/>
                <w:sz w:val="21"/>
                <w:szCs w:val="21"/>
                <w:color w:val="41516E"/>
                <w:vertAlign w:val="subscript"/>
              </w:rPr>
              <w:t>160</w:t>
            </w:r>
            <w:r>
              <w:rPr>
                <w:rFonts w:ascii="Arial" w:cs="Arial" w:eastAsia="Arial" w:hAnsi="Arial"/>
                <w:sz w:val="10"/>
                <w:szCs w:val="10"/>
                <w:color w:val="41516E"/>
              </w:rPr>
              <w:t>(10)</w:t>
            </w:r>
          </w:p>
        </w:tc>
        <w:tc>
          <w:tcPr>
            <w:tcW w:w="220" w:type="dxa"/>
            <w:vAlign w:val="bottom"/>
          </w:tcPr>
          <w:p>
            <w:pPr>
              <w:ind w:left="120"/>
              <w:spacing w:after="0"/>
              <w:rPr>
                <w:sz w:val="20"/>
                <w:szCs w:val="20"/>
                <w:color w:val="auto"/>
              </w:rPr>
            </w:pPr>
            <w:r>
              <w:rPr>
                <w:rFonts w:ascii="Arial" w:cs="Arial" w:eastAsia="Arial" w:hAnsi="Arial"/>
                <w:sz w:val="14"/>
                <w:szCs w:val="14"/>
                <w:color w:val="41516E"/>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41516E"/>
              </w:rPr>
              <w:t>55,294</w:t>
            </w:r>
          </w:p>
        </w:tc>
        <w:tc>
          <w:tcPr>
            <w:tcW w:w="0" w:type="dxa"/>
            <w:vAlign w:val="bottom"/>
          </w:tcPr>
          <w:p>
            <w:pPr>
              <w:spacing w:after="0"/>
              <w:rPr>
                <w:sz w:val="1"/>
                <w:szCs w:val="1"/>
                <w:color w:val="auto"/>
              </w:rPr>
            </w:pPr>
          </w:p>
        </w:tc>
      </w:tr>
      <w:tr>
        <w:trPr>
          <w:trHeight w:val="189"/>
        </w:trPr>
        <w:tc>
          <w:tcPr>
            <w:tcW w:w="1200" w:type="dxa"/>
            <w:vAlign w:val="bottom"/>
            <w:shd w:val="clear" w:color="auto" w:fill="EFF0F1"/>
          </w:tcPr>
          <w:p>
            <w:pPr>
              <w:spacing w:after="0"/>
              <w:rPr>
                <w:sz w:val="16"/>
                <w:szCs w:val="16"/>
                <w:color w:val="auto"/>
              </w:rPr>
            </w:pPr>
          </w:p>
        </w:tc>
        <w:tc>
          <w:tcPr>
            <w:tcW w:w="1200" w:type="dxa"/>
            <w:vAlign w:val="bottom"/>
            <w:shd w:val="clear" w:color="auto" w:fill="EFF0F1"/>
          </w:tcPr>
          <w:p>
            <w:pPr>
              <w:spacing w:after="0"/>
              <w:rPr>
                <w:sz w:val="16"/>
                <w:szCs w:val="16"/>
                <w:color w:val="auto"/>
              </w:rPr>
            </w:pPr>
          </w:p>
        </w:tc>
        <w:tc>
          <w:tcPr>
            <w:tcW w:w="1040" w:type="dxa"/>
            <w:vAlign w:val="bottom"/>
            <w:shd w:val="clear" w:color="auto" w:fill="EFF0F1"/>
          </w:tcPr>
          <w:p>
            <w:pPr>
              <w:jc w:val="right"/>
              <w:ind w:right="88"/>
              <w:spacing w:after="0"/>
              <w:rPr>
                <w:sz w:val="20"/>
                <w:szCs w:val="20"/>
                <w:color w:val="auto"/>
              </w:rPr>
            </w:pPr>
            <w:r>
              <w:rPr>
                <w:rFonts w:ascii="Arial" w:cs="Arial" w:eastAsia="Arial" w:hAnsi="Arial"/>
                <w:sz w:val="14"/>
                <w:szCs w:val="14"/>
                <w:color w:val="41516E"/>
              </w:rPr>
              <w:t>1,112</w:t>
            </w:r>
          </w:p>
        </w:tc>
        <w:tc>
          <w:tcPr>
            <w:tcW w:w="1520" w:type="dxa"/>
            <w:vAlign w:val="bottom"/>
            <w:shd w:val="clear" w:color="auto" w:fill="EFF0F1"/>
          </w:tcPr>
          <w:p>
            <w:pPr>
              <w:jc w:val="right"/>
              <w:ind w:right="33"/>
              <w:spacing w:after="0" w:line="189" w:lineRule="exact"/>
              <w:rPr>
                <w:sz w:val="20"/>
                <w:szCs w:val="20"/>
                <w:color w:val="auto"/>
              </w:rPr>
            </w:pPr>
            <w:r>
              <w:rPr>
                <w:rFonts w:ascii="Arial" w:cs="Arial" w:eastAsia="Arial" w:hAnsi="Arial"/>
                <w:sz w:val="21"/>
                <w:szCs w:val="21"/>
                <w:color w:val="41516E"/>
                <w:vertAlign w:val="subscript"/>
              </w:rPr>
              <w:t>557</w:t>
            </w:r>
            <w:r>
              <w:rPr>
                <w:rFonts w:ascii="Arial" w:cs="Arial" w:eastAsia="Arial" w:hAnsi="Arial"/>
                <w:sz w:val="10"/>
                <w:szCs w:val="10"/>
                <w:color w:val="41516E"/>
              </w:rPr>
              <w:t>(5)</w:t>
            </w:r>
          </w:p>
        </w:tc>
        <w:tc>
          <w:tcPr>
            <w:tcW w:w="1520" w:type="dxa"/>
            <w:vAlign w:val="bottom"/>
            <w:shd w:val="clear" w:color="auto" w:fill="EFF0F1"/>
          </w:tcPr>
          <w:p>
            <w:pPr>
              <w:jc w:val="right"/>
              <w:ind w:right="269"/>
              <w:spacing w:after="0"/>
              <w:rPr>
                <w:sz w:val="20"/>
                <w:szCs w:val="20"/>
                <w:color w:val="auto"/>
              </w:rPr>
            </w:pPr>
            <w:r>
              <w:rPr>
                <w:rFonts w:ascii="Arial" w:cs="Arial" w:eastAsia="Arial" w:hAnsi="Arial"/>
                <w:sz w:val="14"/>
                <w:szCs w:val="14"/>
                <w:color w:val="41516E"/>
              </w:rPr>
              <w:t>—</w:t>
            </w:r>
          </w:p>
        </w:tc>
        <w:tc>
          <w:tcPr>
            <w:tcW w:w="300" w:type="dxa"/>
            <w:vAlign w:val="bottom"/>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shd w:val="clear" w:color="auto" w:fill="EFF0F1"/>
          </w:tcPr>
          <w:p>
            <w:pPr>
              <w:jc w:val="right"/>
              <w:ind w:right="168"/>
              <w:spacing w:after="0"/>
              <w:rPr>
                <w:sz w:val="20"/>
                <w:szCs w:val="20"/>
                <w:color w:val="auto"/>
              </w:rPr>
            </w:pPr>
            <w:r>
              <w:rPr>
                <w:rFonts w:ascii="Arial" w:cs="Arial" w:eastAsia="Arial" w:hAnsi="Arial"/>
                <w:sz w:val="14"/>
                <w:szCs w:val="14"/>
                <w:color w:val="41516E"/>
              </w:rPr>
              <w:t>370.79</w:t>
            </w:r>
          </w:p>
        </w:tc>
        <w:tc>
          <w:tcPr>
            <w:tcW w:w="1240" w:type="dxa"/>
            <w:vAlign w:val="bottom"/>
            <w:gridSpan w:val="2"/>
            <w:shd w:val="clear" w:color="auto" w:fill="EFF0F1"/>
          </w:tcPr>
          <w:p>
            <w:pPr>
              <w:jc w:val="right"/>
              <w:ind w:right="300"/>
              <w:spacing w:after="0"/>
              <w:rPr>
                <w:sz w:val="20"/>
                <w:szCs w:val="20"/>
                <w:color w:val="auto"/>
              </w:rPr>
            </w:pPr>
            <w:r>
              <w:rPr>
                <w:rFonts w:ascii="Arial" w:cs="Arial" w:eastAsia="Arial" w:hAnsi="Arial"/>
                <w:sz w:val="14"/>
                <w:szCs w:val="14"/>
                <w:color w:val="41516E"/>
              </w:rPr>
              <w:t>2/28/2030</w:t>
            </w:r>
          </w:p>
        </w:tc>
        <w:tc>
          <w:tcPr>
            <w:tcW w:w="1220" w:type="dxa"/>
            <w:vAlign w:val="bottom"/>
            <w:shd w:val="clear" w:color="auto" w:fill="EFF0F1"/>
          </w:tcPr>
          <w:p>
            <w:pPr>
              <w:jc w:val="right"/>
              <w:ind w:right="78"/>
              <w:spacing w:after="0" w:line="189" w:lineRule="exact"/>
              <w:rPr>
                <w:sz w:val="20"/>
                <w:szCs w:val="20"/>
                <w:color w:val="auto"/>
              </w:rPr>
            </w:pPr>
            <w:r>
              <w:rPr>
                <w:rFonts w:ascii="Arial" w:cs="Arial" w:eastAsia="Arial" w:hAnsi="Arial"/>
                <w:sz w:val="21"/>
                <w:szCs w:val="21"/>
                <w:color w:val="41516E"/>
                <w:vertAlign w:val="subscript"/>
              </w:rPr>
              <w:t>120</w:t>
            </w:r>
            <w:r>
              <w:rPr>
                <w:rFonts w:ascii="Arial" w:cs="Arial" w:eastAsia="Arial" w:hAnsi="Arial"/>
                <w:sz w:val="10"/>
                <w:szCs w:val="10"/>
                <w:color w:val="41516E"/>
              </w:rPr>
              <w:t>(11)</w:t>
            </w:r>
          </w:p>
        </w:tc>
        <w:tc>
          <w:tcPr>
            <w:tcW w:w="220" w:type="dxa"/>
            <w:vAlign w:val="bottom"/>
            <w:shd w:val="clear" w:color="auto" w:fill="EFF0F1"/>
          </w:tcPr>
          <w:p>
            <w:pPr>
              <w:ind w:left="120"/>
              <w:spacing w:after="0"/>
              <w:rPr>
                <w:sz w:val="20"/>
                <w:szCs w:val="20"/>
                <w:color w:val="auto"/>
              </w:rPr>
            </w:pPr>
            <w:r>
              <w:rPr>
                <w:rFonts w:ascii="Arial" w:cs="Arial" w:eastAsia="Arial" w:hAnsi="Arial"/>
                <w:sz w:val="14"/>
                <w:szCs w:val="14"/>
                <w:color w:val="41516E"/>
              </w:rPr>
              <w:t>$</w:t>
            </w:r>
          </w:p>
        </w:tc>
        <w:tc>
          <w:tcPr>
            <w:tcW w:w="88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41,471</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41516E"/>
              </w:rPr>
              <w:t>181</w:t>
            </w:r>
          </w:p>
        </w:tc>
        <w:tc>
          <w:tcPr>
            <w:tcW w:w="1520" w:type="dxa"/>
            <w:vAlign w:val="bottom"/>
          </w:tcPr>
          <w:p>
            <w:pPr>
              <w:jc w:val="right"/>
              <w:ind w:right="33"/>
              <w:spacing w:after="0" w:line="189" w:lineRule="exact"/>
              <w:rPr>
                <w:sz w:val="20"/>
                <w:szCs w:val="20"/>
                <w:color w:val="auto"/>
              </w:rPr>
            </w:pPr>
            <w:r>
              <w:rPr>
                <w:rFonts w:ascii="Arial" w:cs="Arial" w:eastAsia="Arial" w:hAnsi="Arial"/>
                <w:sz w:val="13"/>
                <w:szCs w:val="13"/>
                <w:color w:val="41516E"/>
              </w:rPr>
              <w:t>363</w:t>
            </w:r>
            <w:r>
              <w:rPr>
                <w:rFonts w:ascii="Arial" w:cs="Arial" w:eastAsia="Arial" w:hAnsi="Arial"/>
                <w:sz w:val="21"/>
                <w:szCs w:val="21"/>
                <w:color w:val="41516E"/>
                <w:vertAlign w:val="superscript"/>
              </w:rPr>
              <w:t>(6)</w:t>
            </w:r>
          </w:p>
        </w:tc>
        <w:tc>
          <w:tcPr>
            <w:tcW w:w="1520" w:type="dxa"/>
            <w:vAlign w:val="bottom"/>
          </w:tcPr>
          <w:p>
            <w:pPr>
              <w:jc w:val="right"/>
              <w:ind w:right="269"/>
              <w:spacing w:after="0"/>
              <w:rPr>
                <w:sz w:val="20"/>
                <w:szCs w:val="20"/>
                <w:color w:val="auto"/>
              </w:rPr>
            </w:pPr>
            <w:r>
              <w:rPr>
                <w:rFonts w:ascii="Arial" w:cs="Arial" w:eastAsia="Arial" w:hAnsi="Arial"/>
                <w:sz w:val="14"/>
                <w:szCs w:val="14"/>
                <w:color w:val="41516E"/>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41516E"/>
              </w:rPr>
              <w:t>1,028.71</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41516E"/>
              </w:rPr>
              <w:t>2/28/2031</w:t>
            </w:r>
          </w:p>
        </w:tc>
        <w:tc>
          <w:tcPr>
            <w:tcW w:w="1220" w:type="dxa"/>
            <w:vAlign w:val="bottom"/>
          </w:tcPr>
          <w:p>
            <w:pPr>
              <w:jc w:val="right"/>
              <w:ind w:right="78"/>
              <w:spacing w:after="0" w:line="189" w:lineRule="exact"/>
              <w:rPr>
                <w:sz w:val="20"/>
                <w:szCs w:val="20"/>
                <w:color w:val="auto"/>
              </w:rPr>
            </w:pPr>
            <w:r>
              <w:rPr>
                <w:rFonts w:ascii="Arial" w:cs="Arial" w:eastAsia="Arial" w:hAnsi="Arial"/>
                <w:sz w:val="21"/>
                <w:szCs w:val="21"/>
                <w:color w:val="41516E"/>
                <w:vertAlign w:val="subscript"/>
              </w:rPr>
              <w:t>494</w:t>
            </w:r>
            <w:r>
              <w:rPr>
                <w:rFonts w:ascii="Arial" w:cs="Arial" w:eastAsia="Arial" w:hAnsi="Arial"/>
                <w:sz w:val="10"/>
                <w:szCs w:val="10"/>
                <w:color w:val="41516E"/>
              </w:rPr>
              <w:t>(13)</w:t>
            </w:r>
          </w:p>
        </w:tc>
        <w:tc>
          <w:tcPr>
            <w:tcW w:w="220" w:type="dxa"/>
            <w:vAlign w:val="bottom"/>
          </w:tcPr>
          <w:p>
            <w:pPr>
              <w:ind w:left="120"/>
              <w:spacing w:after="0"/>
              <w:rPr>
                <w:sz w:val="20"/>
                <w:szCs w:val="20"/>
                <w:color w:val="auto"/>
              </w:rPr>
            </w:pPr>
            <w:r>
              <w:rPr>
                <w:rFonts w:ascii="Arial" w:cs="Arial" w:eastAsia="Arial" w:hAnsi="Arial"/>
                <w:sz w:val="14"/>
                <w:szCs w:val="14"/>
                <w:color w:val="41516E"/>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41516E"/>
              </w:rPr>
              <w:t>170,721</w:t>
            </w:r>
          </w:p>
        </w:tc>
        <w:tc>
          <w:tcPr>
            <w:tcW w:w="0" w:type="dxa"/>
            <w:vAlign w:val="bottom"/>
          </w:tcPr>
          <w:p>
            <w:pPr>
              <w:spacing w:after="0"/>
              <w:rPr>
                <w:sz w:val="1"/>
                <w:szCs w:val="1"/>
                <w:color w:val="auto"/>
              </w:rPr>
            </w:pPr>
          </w:p>
        </w:tc>
      </w:tr>
      <w:tr>
        <w:trPr>
          <w:trHeight w:val="189"/>
        </w:trPr>
        <w:tc>
          <w:tcPr>
            <w:tcW w:w="1200" w:type="dxa"/>
            <w:vAlign w:val="bottom"/>
            <w:shd w:val="clear" w:color="auto" w:fill="EFF0F1"/>
          </w:tcPr>
          <w:p>
            <w:pPr>
              <w:spacing w:after="0"/>
              <w:rPr>
                <w:sz w:val="16"/>
                <w:szCs w:val="16"/>
                <w:color w:val="auto"/>
              </w:rPr>
            </w:pPr>
          </w:p>
        </w:tc>
        <w:tc>
          <w:tcPr>
            <w:tcW w:w="1200" w:type="dxa"/>
            <w:vAlign w:val="bottom"/>
            <w:shd w:val="clear" w:color="auto" w:fill="EFF0F1"/>
          </w:tcPr>
          <w:p>
            <w:pPr>
              <w:spacing w:after="0"/>
              <w:rPr>
                <w:sz w:val="16"/>
                <w:szCs w:val="16"/>
                <w:color w:val="auto"/>
              </w:rPr>
            </w:pPr>
          </w:p>
        </w:tc>
        <w:tc>
          <w:tcPr>
            <w:tcW w:w="1040" w:type="dxa"/>
            <w:vAlign w:val="bottom"/>
            <w:shd w:val="clear" w:color="auto" w:fill="EFF0F1"/>
          </w:tcPr>
          <w:p>
            <w:pPr>
              <w:spacing w:after="0"/>
              <w:rPr>
                <w:sz w:val="16"/>
                <w:szCs w:val="16"/>
                <w:color w:val="auto"/>
              </w:rPr>
            </w:pPr>
          </w:p>
        </w:tc>
        <w:tc>
          <w:tcPr>
            <w:tcW w:w="1520" w:type="dxa"/>
            <w:vAlign w:val="bottom"/>
            <w:shd w:val="clear" w:color="auto" w:fill="EFF0F1"/>
          </w:tcPr>
          <w:p>
            <w:pPr>
              <w:spacing w:after="0"/>
              <w:rPr>
                <w:sz w:val="16"/>
                <w:szCs w:val="16"/>
                <w:color w:val="auto"/>
              </w:rPr>
            </w:pPr>
          </w:p>
        </w:tc>
        <w:tc>
          <w:tcPr>
            <w:tcW w:w="1520" w:type="dxa"/>
            <w:vAlign w:val="bottom"/>
            <w:shd w:val="clear" w:color="auto" w:fill="EFF0F1"/>
          </w:tcPr>
          <w:p>
            <w:pPr>
              <w:jc w:val="right"/>
              <w:ind w:right="129"/>
              <w:spacing w:after="0" w:line="189" w:lineRule="exact"/>
              <w:rPr>
                <w:sz w:val="20"/>
                <w:szCs w:val="20"/>
                <w:color w:val="auto"/>
              </w:rPr>
            </w:pPr>
            <w:r>
              <w:rPr>
                <w:rFonts w:ascii="Arial" w:cs="Arial" w:eastAsia="Arial" w:hAnsi="Arial"/>
                <w:sz w:val="13"/>
                <w:szCs w:val="13"/>
                <w:color w:val="41516E"/>
              </w:rPr>
              <w:t>1,415</w:t>
            </w:r>
            <w:r>
              <w:rPr>
                <w:rFonts w:ascii="Arial" w:cs="Arial" w:eastAsia="Arial" w:hAnsi="Arial"/>
                <w:sz w:val="21"/>
                <w:szCs w:val="21"/>
                <w:color w:val="41516E"/>
                <w:vertAlign w:val="superscript"/>
              </w:rPr>
              <w:t>(8)</w:t>
            </w:r>
          </w:p>
        </w:tc>
        <w:tc>
          <w:tcPr>
            <w:tcW w:w="300" w:type="dxa"/>
            <w:vAlign w:val="bottom"/>
            <w:shd w:val="clear" w:color="auto" w:fill="EFF0F1"/>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shd w:val="clear" w:color="auto" w:fill="EFF0F1"/>
          </w:tcPr>
          <w:p>
            <w:pPr>
              <w:jc w:val="right"/>
              <w:ind w:right="168"/>
              <w:spacing w:after="0"/>
              <w:rPr>
                <w:sz w:val="20"/>
                <w:szCs w:val="20"/>
                <w:color w:val="auto"/>
              </w:rPr>
            </w:pPr>
            <w:r>
              <w:rPr>
                <w:rFonts w:ascii="Arial" w:cs="Arial" w:eastAsia="Arial" w:hAnsi="Arial"/>
                <w:sz w:val="14"/>
                <w:szCs w:val="14"/>
                <w:color w:val="41516E"/>
              </w:rPr>
              <w:t>383.46</w:t>
            </w:r>
          </w:p>
        </w:tc>
        <w:tc>
          <w:tcPr>
            <w:tcW w:w="1240" w:type="dxa"/>
            <w:vAlign w:val="bottom"/>
            <w:gridSpan w:val="2"/>
            <w:shd w:val="clear" w:color="auto" w:fill="EFF0F1"/>
          </w:tcPr>
          <w:p>
            <w:pPr>
              <w:jc w:val="right"/>
              <w:ind w:right="300"/>
              <w:spacing w:after="0"/>
              <w:rPr>
                <w:sz w:val="20"/>
                <w:szCs w:val="20"/>
                <w:color w:val="auto"/>
              </w:rPr>
            </w:pPr>
            <w:r>
              <w:rPr>
                <w:rFonts w:ascii="Arial" w:cs="Arial" w:eastAsia="Arial" w:hAnsi="Arial"/>
                <w:sz w:val="14"/>
                <w:szCs w:val="14"/>
                <w:color w:val="41516E"/>
              </w:rPr>
              <w:t>2/28/2032</w:t>
            </w:r>
          </w:p>
        </w:tc>
        <w:tc>
          <w:tcPr>
            <w:tcW w:w="1220" w:type="dxa"/>
            <w:vAlign w:val="bottom"/>
            <w:shd w:val="clear" w:color="auto" w:fill="EFF0F1"/>
          </w:tcPr>
          <w:p>
            <w:pPr>
              <w:jc w:val="right"/>
              <w:ind w:right="78"/>
              <w:spacing w:after="0" w:line="189" w:lineRule="exact"/>
              <w:rPr>
                <w:sz w:val="20"/>
                <w:szCs w:val="20"/>
                <w:color w:val="auto"/>
              </w:rPr>
            </w:pPr>
            <w:r>
              <w:rPr>
                <w:rFonts w:ascii="Arial" w:cs="Arial" w:eastAsia="Arial" w:hAnsi="Arial"/>
                <w:sz w:val="21"/>
                <w:szCs w:val="21"/>
                <w:color w:val="41516E"/>
                <w:vertAlign w:val="subscript"/>
              </w:rPr>
              <w:t>850</w:t>
            </w:r>
            <w:r>
              <w:rPr>
                <w:rFonts w:ascii="Arial" w:cs="Arial" w:eastAsia="Arial" w:hAnsi="Arial"/>
                <w:sz w:val="10"/>
                <w:szCs w:val="10"/>
                <w:color w:val="41516E"/>
              </w:rPr>
              <w:t>(14)</w:t>
            </w:r>
          </w:p>
        </w:tc>
        <w:tc>
          <w:tcPr>
            <w:tcW w:w="220" w:type="dxa"/>
            <w:vAlign w:val="bottom"/>
            <w:shd w:val="clear" w:color="auto" w:fill="EFF0F1"/>
          </w:tcPr>
          <w:p>
            <w:pPr>
              <w:ind w:left="120"/>
              <w:spacing w:after="0"/>
              <w:rPr>
                <w:sz w:val="20"/>
                <w:szCs w:val="20"/>
                <w:color w:val="auto"/>
              </w:rPr>
            </w:pPr>
            <w:r>
              <w:rPr>
                <w:rFonts w:ascii="Arial" w:cs="Arial" w:eastAsia="Arial" w:hAnsi="Arial"/>
                <w:sz w:val="14"/>
                <w:szCs w:val="14"/>
                <w:color w:val="41516E"/>
              </w:rPr>
              <w:t>$</w:t>
            </w:r>
          </w:p>
        </w:tc>
        <w:tc>
          <w:tcPr>
            <w:tcW w:w="88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293,752</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41516E"/>
            </w:tcBorders>
          </w:tcPr>
          <w:p>
            <w:pPr>
              <w:spacing w:after="0"/>
              <w:rPr>
                <w:sz w:val="16"/>
                <w:szCs w:val="16"/>
                <w:color w:val="auto"/>
              </w:rPr>
            </w:pPr>
          </w:p>
        </w:tc>
        <w:tc>
          <w:tcPr>
            <w:tcW w:w="1200" w:type="dxa"/>
            <w:vAlign w:val="bottom"/>
            <w:tcBorders>
              <w:bottom w:val="single" w:sz="8" w:color="41516E"/>
            </w:tcBorders>
          </w:tcPr>
          <w:p>
            <w:pPr>
              <w:spacing w:after="0"/>
              <w:rPr>
                <w:sz w:val="16"/>
                <w:szCs w:val="16"/>
                <w:color w:val="auto"/>
              </w:rPr>
            </w:pPr>
          </w:p>
        </w:tc>
        <w:tc>
          <w:tcPr>
            <w:tcW w:w="1040" w:type="dxa"/>
            <w:vAlign w:val="bottom"/>
            <w:tcBorders>
              <w:bottom w:val="single" w:sz="8" w:color="41516E"/>
            </w:tcBorders>
          </w:tcPr>
          <w:p>
            <w:pPr>
              <w:spacing w:after="0"/>
              <w:rPr>
                <w:sz w:val="16"/>
                <w:szCs w:val="16"/>
                <w:color w:val="auto"/>
              </w:rPr>
            </w:pPr>
          </w:p>
        </w:tc>
        <w:tc>
          <w:tcPr>
            <w:tcW w:w="1520" w:type="dxa"/>
            <w:vAlign w:val="bottom"/>
            <w:tcBorders>
              <w:bottom w:val="single" w:sz="8" w:color="41516E"/>
            </w:tcBorders>
          </w:tcPr>
          <w:p>
            <w:pPr>
              <w:spacing w:after="0"/>
              <w:rPr>
                <w:sz w:val="16"/>
                <w:szCs w:val="16"/>
                <w:color w:val="auto"/>
              </w:rPr>
            </w:pPr>
          </w:p>
        </w:tc>
        <w:tc>
          <w:tcPr>
            <w:tcW w:w="1520" w:type="dxa"/>
            <w:vAlign w:val="bottom"/>
            <w:tcBorders>
              <w:bottom w:val="single" w:sz="8" w:color="41516E"/>
            </w:tcBorders>
          </w:tcPr>
          <w:p>
            <w:pPr>
              <w:jc w:val="right"/>
              <w:ind w:right="129"/>
              <w:spacing w:after="0" w:line="189" w:lineRule="exact"/>
              <w:rPr>
                <w:sz w:val="20"/>
                <w:szCs w:val="20"/>
                <w:color w:val="auto"/>
              </w:rPr>
            </w:pPr>
            <w:r>
              <w:rPr>
                <w:rFonts w:ascii="Arial" w:cs="Arial" w:eastAsia="Arial" w:hAnsi="Arial"/>
                <w:sz w:val="13"/>
                <w:szCs w:val="13"/>
                <w:color w:val="41516E"/>
              </w:rPr>
              <w:t>1,697</w:t>
            </w:r>
            <w:r>
              <w:rPr>
                <w:rFonts w:ascii="Arial" w:cs="Arial" w:eastAsia="Arial" w:hAnsi="Arial"/>
                <w:sz w:val="21"/>
                <w:szCs w:val="21"/>
                <w:color w:val="41516E"/>
                <w:vertAlign w:val="superscript"/>
              </w:rPr>
              <w:t>(9)</w:t>
            </w:r>
          </w:p>
        </w:tc>
        <w:tc>
          <w:tcPr>
            <w:tcW w:w="300" w:type="dxa"/>
            <w:vAlign w:val="bottom"/>
            <w:tcBorders>
              <w:bottom w:val="single" w:sz="8" w:color="41516E"/>
            </w:tcBorders>
          </w:tcPr>
          <w:p>
            <w:pPr>
              <w:jc w:val="right"/>
              <w:ind w:right="8"/>
              <w:spacing w:after="0"/>
              <w:rPr>
                <w:sz w:val="20"/>
                <w:szCs w:val="20"/>
                <w:color w:val="auto"/>
              </w:rPr>
            </w:pPr>
            <w:r>
              <w:rPr>
                <w:rFonts w:ascii="Arial" w:cs="Arial" w:eastAsia="Arial" w:hAnsi="Arial"/>
                <w:sz w:val="14"/>
                <w:szCs w:val="14"/>
                <w:color w:val="41516E"/>
              </w:rPr>
              <w:t>$</w:t>
            </w:r>
          </w:p>
        </w:tc>
        <w:tc>
          <w:tcPr>
            <w:tcW w:w="900" w:type="dxa"/>
            <w:vAlign w:val="bottom"/>
            <w:tcBorders>
              <w:bottom w:val="single" w:sz="8" w:color="41516E"/>
            </w:tcBorders>
          </w:tcPr>
          <w:p>
            <w:pPr>
              <w:jc w:val="right"/>
              <w:ind w:right="168"/>
              <w:spacing w:after="0"/>
              <w:rPr>
                <w:sz w:val="20"/>
                <w:szCs w:val="20"/>
                <w:color w:val="auto"/>
              </w:rPr>
            </w:pPr>
            <w:r>
              <w:rPr>
                <w:rFonts w:ascii="Arial" w:cs="Arial" w:eastAsia="Arial" w:hAnsi="Arial"/>
                <w:sz w:val="14"/>
                <w:szCs w:val="14"/>
                <w:color w:val="41516E"/>
              </w:rPr>
              <w:t>323.80</w:t>
            </w:r>
          </w:p>
        </w:tc>
        <w:tc>
          <w:tcPr>
            <w:tcW w:w="1240" w:type="dxa"/>
            <w:vAlign w:val="bottom"/>
            <w:tcBorders>
              <w:bottom w:val="single" w:sz="8" w:color="41516E"/>
            </w:tcBorders>
            <w:gridSpan w:val="2"/>
          </w:tcPr>
          <w:p>
            <w:pPr>
              <w:jc w:val="right"/>
              <w:ind w:right="300"/>
              <w:spacing w:after="0"/>
              <w:rPr>
                <w:sz w:val="20"/>
                <w:szCs w:val="20"/>
                <w:color w:val="auto"/>
              </w:rPr>
            </w:pPr>
            <w:r>
              <w:rPr>
                <w:rFonts w:ascii="Arial" w:cs="Arial" w:eastAsia="Arial" w:hAnsi="Arial"/>
                <w:sz w:val="14"/>
                <w:szCs w:val="14"/>
                <w:color w:val="41516E"/>
              </w:rPr>
              <w:t>2/28/2033</w:t>
            </w:r>
          </w:p>
        </w:tc>
        <w:tc>
          <w:tcPr>
            <w:tcW w:w="1220" w:type="dxa"/>
            <w:vAlign w:val="bottom"/>
            <w:tcBorders>
              <w:bottom w:val="single" w:sz="8" w:color="41516E"/>
            </w:tcBorders>
          </w:tcPr>
          <w:p>
            <w:pPr>
              <w:spacing w:after="0"/>
              <w:rPr>
                <w:sz w:val="16"/>
                <w:szCs w:val="16"/>
                <w:color w:val="auto"/>
              </w:rPr>
            </w:pPr>
          </w:p>
        </w:tc>
        <w:tc>
          <w:tcPr>
            <w:tcW w:w="220" w:type="dxa"/>
            <w:vAlign w:val="bottom"/>
            <w:tcBorders>
              <w:bottom w:val="single" w:sz="8" w:color="41516E"/>
            </w:tcBorders>
          </w:tcPr>
          <w:p>
            <w:pPr>
              <w:spacing w:after="0"/>
              <w:rPr>
                <w:sz w:val="16"/>
                <w:szCs w:val="16"/>
                <w:color w:val="auto"/>
              </w:rPr>
            </w:pPr>
          </w:p>
        </w:tc>
        <w:tc>
          <w:tcPr>
            <w:tcW w:w="880" w:type="dxa"/>
            <w:vAlign w:val="bottom"/>
            <w:tcBorders>
              <w:bottom w:val="single" w:sz="8" w:color="41516E"/>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-2528570</wp:posOffset>
            </wp:positionV>
            <wp:extent cx="1517015" cy="25203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17015" cy="2520315"/>
                    </a:xfrm>
                    <a:prstGeom prst="rect">
                      <a:avLst/>
                    </a:prstGeom>
                    <a:noFill/>
                  </pic:spPr>
                </pic:pic>
              </a:graphicData>
            </a:graphic>
          </wp:anchor>
        </w:drawing>
      </w:r>
    </w:p>
    <w:p>
      <w:pPr>
        <w:spacing w:after="0" w:line="40" w:lineRule="exact"/>
        <w:rPr>
          <w:sz w:val="20"/>
          <w:szCs w:val="20"/>
          <w:color w:val="auto"/>
        </w:rPr>
      </w:pPr>
    </w:p>
    <w:p>
      <w:pPr>
        <w:ind w:left="34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Market value of shares that have not vested is calculated using a stock price of $345.59, which is the closing price of the Company’s stock on the last trading day of Fiscal Year 2023.</w:t>
      </w:r>
    </w:p>
    <w:p>
      <w:pPr>
        <w:spacing w:after="0" w:line="1" w:lineRule="exact"/>
        <w:rPr>
          <w:rFonts w:ascii="Arial" w:cs="Arial" w:eastAsia="Arial" w:hAnsi="Arial"/>
          <w:sz w:val="14"/>
          <w:szCs w:val="14"/>
          <w:i w:val="1"/>
          <w:iCs w:val="1"/>
          <w:color w:val="41516E"/>
        </w:rPr>
      </w:pPr>
    </w:p>
    <w:p>
      <w:pPr>
        <w:ind w:left="340" w:hanging="332"/>
        <w:spacing w:after="0"/>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awards granted under the Director Equity Plan, prior to Mr. Burwick’s appointment as President and CEO.</w:t>
      </w:r>
    </w:p>
    <w:p>
      <w:pPr>
        <w:spacing w:after="0" w:line="55" w:lineRule="exact"/>
        <w:rPr>
          <w:rFonts w:ascii="Arial" w:cs="Arial" w:eastAsia="Arial" w:hAnsi="Arial"/>
          <w:sz w:val="14"/>
          <w:szCs w:val="14"/>
          <w:i w:val="1"/>
          <w:iCs w:val="1"/>
          <w:color w:val="41516E"/>
        </w:rPr>
      </w:pPr>
    </w:p>
    <w:p>
      <w:pPr>
        <w:ind w:left="34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April 30, 2018. In February 2020, the Compensation Committee determined that the performance criteria had been met. One-third of the shares vested on March 1, 2020, January 1, 2021, and January 1, 2022.</w:t>
      </w:r>
    </w:p>
    <w:p>
      <w:pPr>
        <w:spacing w:after="0" w:line="1"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March 1, 2019. In February 2021, the Compensation Committee determined that the performance criteria had been met. One-third of the shares vested on March 1 in each of the years 2021 to 2023.</w:t>
      </w:r>
    </w:p>
    <w:p>
      <w:pPr>
        <w:spacing w:after="0" w:line="1"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March 1, 2020. In February 2022, the Compensation Committee determined that the performance criteria had been met. One-third of the shares vested on March 1 in each of the years 2022 to 2024.</w:t>
      </w:r>
    </w:p>
    <w:p>
      <w:pPr>
        <w:spacing w:after="0" w:line="1"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March 1, 2021. Contingent on certain performance criteria being met and continued employment on the applicable vesting date, one-third of the shares vested or will vest on March 1 in each of the years 2023 to 2025.</w:t>
      </w:r>
    </w:p>
    <w:p>
      <w:pPr>
        <w:spacing w:after="0" w:line="1" w:lineRule="exact"/>
        <w:rPr>
          <w:rFonts w:ascii="Arial" w:cs="Arial" w:eastAsia="Arial" w:hAnsi="Arial"/>
          <w:sz w:val="14"/>
          <w:szCs w:val="14"/>
          <w:i w:val="1"/>
          <w:iCs w:val="1"/>
          <w:color w:val="41516E"/>
        </w:rPr>
      </w:pPr>
    </w:p>
    <w:p>
      <w:pPr>
        <w:ind w:left="34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granted on March 1, 2021. Contingent on Mr. Burwick’s continued employment by the Company on the applicable vesting date, 25% of the shares vested on March 1, 2024, 25% of the shares will vest on March 1, 2025, and 50% of the shares will vest on March 1, 2026.</w:t>
      </w:r>
    </w:p>
    <w:p>
      <w:pPr>
        <w:spacing w:after="0" w:line="1"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March 1, 2022. Contingent on certain performance criteria being met and continued employment on the applicable vesting date, one-third of the shares will vest on March 1 in each of the years 2024 to 2026.</w:t>
      </w:r>
    </w:p>
    <w:p>
      <w:pPr>
        <w:spacing w:after="0" w:line="1"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March 1, 2023. Contingent on certain performance criteria being met and continued employment on the applicable vesting date, one-third of the shares will vest on March 1 in each of the years 2025 to 2027.</w:t>
      </w:r>
    </w:p>
    <w:p>
      <w:pPr>
        <w:spacing w:after="0" w:line="1" w:lineRule="exact"/>
        <w:rPr>
          <w:rFonts w:ascii="Arial" w:cs="Arial" w:eastAsia="Arial" w:hAnsi="Arial"/>
          <w:sz w:val="14"/>
          <w:szCs w:val="14"/>
          <w:i w:val="1"/>
          <w:iCs w:val="1"/>
          <w:color w:val="41516E"/>
        </w:rPr>
      </w:pPr>
    </w:p>
    <w:p>
      <w:pPr>
        <w:ind w:left="34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RSU granted on March 1, 2020. Contingent on continued employment by the Company on the applicable vesting date, 25% of the shares vested or will vest on March 1 in the years 2021 to 2024.</w:t>
      </w:r>
    </w:p>
    <w:p>
      <w:pPr>
        <w:spacing w:after="0" w:line="1" w:lineRule="exact"/>
        <w:rPr>
          <w:rFonts w:ascii="Arial" w:cs="Arial" w:eastAsia="Arial" w:hAnsi="Arial"/>
          <w:sz w:val="14"/>
          <w:szCs w:val="14"/>
          <w:i w:val="1"/>
          <w:iCs w:val="1"/>
          <w:color w:val="41516E"/>
        </w:rPr>
      </w:pPr>
    </w:p>
    <w:p>
      <w:pPr>
        <w:ind w:left="34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RSU granted on March 1, 2021. Contingent on continued employment by the Company on the applicable vesting date, 25% of the shares vested or will vest on March 1 in the years 2022 to 2025.</w:t>
      </w:r>
    </w:p>
    <w:p>
      <w:pPr>
        <w:spacing w:after="0" w:line="1" w:lineRule="exact"/>
        <w:rPr>
          <w:rFonts w:ascii="Arial" w:cs="Arial" w:eastAsia="Arial" w:hAnsi="Arial"/>
          <w:sz w:val="14"/>
          <w:szCs w:val="14"/>
          <w:i w:val="1"/>
          <w:iCs w:val="1"/>
          <w:color w:val="41516E"/>
        </w:rPr>
      </w:pPr>
    </w:p>
    <w:p>
      <w:pPr>
        <w:ind w:left="34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RSU granted on March 1, 2021. Contingent on Mr. Burwick’s continued employment by the Company on the applicable vesting date, 25% of the shares will vest on March 1, 2024, 25% of the shares will vest on March 1, 2025, and 50% of the shares will vest on March 1, 2026.</w:t>
      </w:r>
    </w:p>
    <w:p>
      <w:pPr>
        <w:spacing w:after="0" w:line="1" w:lineRule="exact"/>
        <w:rPr>
          <w:rFonts w:ascii="Arial" w:cs="Arial" w:eastAsia="Arial" w:hAnsi="Arial"/>
          <w:sz w:val="14"/>
          <w:szCs w:val="14"/>
          <w:i w:val="1"/>
          <w:iCs w:val="1"/>
          <w:color w:val="41516E"/>
        </w:rPr>
      </w:pPr>
    </w:p>
    <w:p>
      <w:pPr>
        <w:ind w:left="34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RSU granted on March 1, 2022. Contingent on continued employment by the Company on the applicable vesting date, 25% of the shares vested or will vest on March 1 in the years 2023 to 2026.</w:t>
      </w:r>
    </w:p>
    <w:p>
      <w:pPr>
        <w:spacing w:after="0" w:line="1" w:lineRule="exact"/>
        <w:rPr>
          <w:rFonts w:ascii="Arial" w:cs="Arial" w:eastAsia="Arial" w:hAnsi="Arial"/>
          <w:sz w:val="14"/>
          <w:szCs w:val="14"/>
          <w:i w:val="1"/>
          <w:iCs w:val="1"/>
          <w:color w:val="41516E"/>
        </w:rPr>
      </w:pPr>
    </w:p>
    <w:p>
      <w:pPr>
        <w:ind w:left="34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RSU granted on March 1, 2023. Contingent on continued employment by the Company on the applicable vesting date, 25% of the shares vested or will vest on March 1 in the years 2024 to 2027.</w:t>
      </w:r>
    </w:p>
    <w:p>
      <w:pPr>
        <w:spacing w:after="0" w:line="1" w:lineRule="exact"/>
        <w:rPr>
          <w:rFonts w:ascii="Arial" w:cs="Arial" w:eastAsia="Arial" w:hAnsi="Arial"/>
          <w:sz w:val="14"/>
          <w:szCs w:val="14"/>
          <w:i w:val="1"/>
          <w:iCs w:val="1"/>
          <w:color w:val="41516E"/>
        </w:rPr>
      </w:pPr>
    </w:p>
    <w:p>
      <w:pPr>
        <w:ind w:left="340" w:hanging="332"/>
        <w:spacing w:after="0"/>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RSU granted on March 1, 2020. Contingent on Mr. Geist’s continued employment by the Company on the vesting date, 100% of the shares will vest on March 1, 2025.</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January 1, 2016. 25% of the shares vested on January 1 in the years 2021 to 2024.</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RSU granted on March 1, 2020. Contingent on Mr. Geist’s continued employment by the Company on the vesting date, 100% of the shares will vest on March 1, 2025.</w:t>
      </w:r>
    </w:p>
    <w:p>
      <w:pPr>
        <w:spacing w:after="0" w:line="55"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April 29, 2019. Contingent on Ms. Lysyj’s continued employment on the applicable vesting date, 50% of the shares vested on April 29, 2022, 25% of the shares vested on April 29, 2023, and 25% of the shares will vest on April 29, 2024.</w:t>
      </w:r>
    </w:p>
    <w:p>
      <w:pPr>
        <w:spacing w:after="0" w:line="1" w:lineRule="exact"/>
        <w:rPr>
          <w:rFonts w:ascii="Arial" w:cs="Arial" w:eastAsia="Arial" w:hAnsi="Arial"/>
          <w:sz w:val="14"/>
          <w:szCs w:val="14"/>
          <w:i w:val="1"/>
          <w:iCs w:val="1"/>
          <w:color w:val="41516E"/>
        </w:rPr>
      </w:pPr>
    </w:p>
    <w:p>
      <w:pPr>
        <w:ind w:left="340" w:hanging="332"/>
        <w:spacing w:after="0"/>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January 1, 2016. 25% of the shares vested or will vest on January 1 in the years 2021 to 2024.</w:t>
      </w:r>
    </w:p>
    <w:p>
      <w:pPr>
        <w:spacing w:after="0" w:line="55" w:lineRule="exact"/>
        <w:rPr>
          <w:rFonts w:ascii="Arial" w:cs="Arial" w:eastAsia="Arial" w:hAnsi="Arial"/>
          <w:sz w:val="14"/>
          <w:szCs w:val="14"/>
          <w:i w:val="1"/>
          <w:iCs w:val="1"/>
          <w:color w:val="41516E"/>
        </w:rPr>
      </w:pPr>
    </w:p>
    <w:p>
      <w:pPr>
        <w:ind w:left="340" w:hanging="332"/>
        <w:spacing w:after="0" w:line="282" w:lineRule="auto"/>
        <w:tabs>
          <w:tab w:leader="none" w:pos="340" w:val="left"/>
        </w:tabs>
        <w:numPr>
          <w:ilvl w:val="0"/>
          <w:numId w:val="21"/>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May 15, 2023. Contingent on Mr. Murphy’s continued employment by the Company on the applicable vesting date, 25% of the shares vested or will vest on March 1 in the years 2024 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98425</wp:posOffset>
            </wp:positionV>
            <wp:extent cx="8572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43</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5"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9" w:lineRule="exact"/>
        <w:rPr>
          <w:sz w:val="20"/>
          <w:szCs w:val="20"/>
          <w:color w:val="auto"/>
        </w:rPr>
      </w:pPr>
    </w:p>
    <w:p>
      <w:pPr>
        <w:ind w:left="340" w:hanging="332"/>
        <w:spacing w:after="0" w:line="281" w:lineRule="auto"/>
        <w:tabs>
          <w:tab w:leader="none" w:pos="340" w:val="left"/>
        </w:tabs>
        <w:numPr>
          <w:ilvl w:val="0"/>
          <w:numId w:val="22"/>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May 24, 2023. Contingent on certain performance criteria being met and continued employment on the applicable vesting date, 100% of the shares will vest on March 1, 2027.</w:t>
      </w:r>
    </w:p>
    <w:p>
      <w:pPr>
        <w:spacing w:after="0" w:line="1"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22"/>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May 24, 2023. Contingent on Mr. Hodges’ continued employment by the Company on the applicable vesting date, 25% of the shares vested or will vest on March 1 in the years 2024 to 2027.</w:t>
      </w:r>
    </w:p>
    <w:p>
      <w:pPr>
        <w:spacing w:after="0" w:line="1"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22"/>
        </w:numPr>
        <w:rPr>
          <w:rFonts w:ascii="Arial" w:cs="Arial" w:eastAsia="Arial" w:hAnsi="Arial"/>
          <w:sz w:val="14"/>
          <w:szCs w:val="14"/>
          <w:i w:val="1"/>
          <w:iCs w:val="1"/>
          <w:color w:val="41516E"/>
        </w:rPr>
      </w:pPr>
      <w:r>
        <w:rPr>
          <w:rFonts w:ascii="Arial" w:cs="Arial" w:eastAsia="Arial" w:hAnsi="Arial"/>
          <w:sz w:val="14"/>
          <w:szCs w:val="14"/>
          <w:i w:val="1"/>
          <w:iCs w:val="1"/>
          <w:color w:val="41516E"/>
        </w:rPr>
        <w:t>RSU granted on May 24, 2023. Contingent on certain performance criteria being met and continued employment on the applicable vesting date, 100% of the shares will vest on March 1, 2027.</w:t>
      </w:r>
    </w:p>
    <w:p>
      <w:pPr>
        <w:spacing w:after="0" w:line="1"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22"/>
        </w:numPr>
        <w:rPr>
          <w:rFonts w:ascii="Arial" w:cs="Arial" w:eastAsia="Arial" w:hAnsi="Arial"/>
          <w:sz w:val="14"/>
          <w:szCs w:val="14"/>
          <w:i w:val="1"/>
          <w:iCs w:val="1"/>
          <w:color w:val="41516E"/>
        </w:rPr>
      </w:pPr>
      <w:r>
        <w:rPr>
          <w:rFonts w:ascii="Arial" w:cs="Arial" w:eastAsia="Arial" w:hAnsi="Arial"/>
          <w:sz w:val="14"/>
          <w:szCs w:val="14"/>
          <w:i w:val="1"/>
          <w:iCs w:val="1"/>
          <w:color w:val="41516E"/>
        </w:rPr>
        <w:t>RSU granted on May 24, 2023. Contingent on Mr. Hodges’ continued employment by the Company on the applicable vesting date, 25% of the shares vested or will vest on March 1 in the years 2024 to 2027.</w:t>
      </w:r>
    </w:p>
    <w:p>
      <w:pPr>
        <w:spacing w:after="0" w:line="1"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22"/>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 granted on October 31, 2023. Contingent on Mr. Reynoso’s continued employment by the Company on the applicable vesting date, 25% of the shares vested or will vest on March 1 in the years 2024 to 2027.</w:t>
      </w:r>
    </w:p>
    <w:p>
      <w:pPr>
        <w:spacing w:after="0" w:line="1" w:lineRule="exact"/>
        <w:rPr>
          <w:rFonts w:ascii="Arial" w:cs="Arial" w:eastAsia="Arial" w:hAnsi="Arial"/>
          <w:sz w:val="14"/>
          <w:szCs w:val="14"/>
          <w:i w:val="1"/>
          <w:iCs w:val="1"/>
          <w:color w:val="41516E"/>
        </w:rPr>
      </w:pPr>
    </w:p>
    <w:p>
      <w:pPr>
        <w:ind w:left="340" w:hanging="332"/>
        <w:spacing w:after="0" w:line="282" w:lineRule="auto"/>
        <w:tabs>
          <w:tab w:leader="none" w:pos="340" w:val="left"/>
        </w:tabs>
        <w:numPr>
          <w:ilvl w:val="0"/>
          <w:numId w:val="22"/>
        </w:numPr>
        <w:rPr>
          <w:rFonts w:ascii="Arial" w:cs="Arial" w:eastAsia="Arial" w:hAnsi="Arial"/>
          <w:sz w:val="14"/>
          <w:szCs w:val="14"/>
          <w:i w:val="1"/>
          <w:iCs w:val="1"/>
          <w:color w:val="41516E"/>
        </w:rPr>
      </w:pPr>
      <w:r>
        <w:rPr>
          <w:rFonts w:ascii="Arial" w:cs="Arial" w:eastAsia="Arial" w:hAnsi="Arial"/>
          <w:sz w:val="14"/>
          <w:szCs w:val="14"/>
          <w:i w:val="1"/>
          <w:iCs w:val="1"/>
          <w:color w:val="41516E"/>
        </w:rPr>
        <w:t>RSU granted on October 31, 2023. Contingent on Mr. Reynoso’s continued employment by the Company on the applicable vesting date, 25% of the shares vested or will vest on March 1 in the years 2024 to 2027.</w:t>
      </w:r>
    </w:p>
    <w:p>
      <w:pPr>
        <w:spacing w:after="0" w:line="341"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Option Exercises and Stock Vested in Fiscal Year 2023</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The following table sets forth information regarding options exercised by our NEOs in Fiscal Year 2023, RSAs and/or RSUs previously granted to our NEOs that vested during Fiscal Year 2023, and information regarding the value realized on such exercises and vestings.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308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41516E"/>
              </w:rPr>
              <w:t>Option Awards</w:t>
            </w:r>
          </w:p>
        </w:tc>
        <w:tc>
          <w:tcPr>
            <w:tcW w:w="2700" w:type="dxa"/>
            <w:vAlign w:val="bottom"/>
            <w:gridSpan w:val="3"/>
          </w:tcPr>
          <w:p>
            <w:pPr>
              <w:jc w:val="right"/>
              <w:ind w:right="808"/>
              <w:spacing w:after="0"/>
              <w:rPr>
                <w:sz w:val="20"/>
                <w:szCs w:val="20"/>
                <w:color w:val="auto"/>
              </w:rPr>
            </w:pPr>
            <w:r>
              <w:rPr>
                <w:rFonts w:ascii="Arial" w:cs="Arial" w:eastAsia="Arial" w:hAnsi="Arial"/>
                <w:sz w:val="14"/>
                <w:szCs w:val="14"/>
                <w:b w:val="1"/>
                <w:bCs w:val="1"/>
                <w:color w:val="41516E"/>
              </w:rPr>
              <w:t>RSAs &amp; RSUs</w:t>
            </w:r>
          </w:p>
        </w:tc>
      </w:tr>
      <w:tr>
        <w:trPr>
          <w:trHeight w:val="146"/>
        </w:trPr>
        <w:tc>
          <w:tcPr>
            <w:tcW w:w="5460" w:type="dxa"/>
            <w:vAlign w:val="bottom"/>
          </w:tcPr>
          <w:p>
            <w:pPr>
              <w:spacing w:after="0"/>
              <w:rPr>
                <w:sz w:val="12"/>
                <w:szCs w:val="12"/>
                <w:color w:val="auto"/>
              </w:rPr>
            </w:pPr>
          </w:p>
        </w:tc>
        <w:tc>
          <w:tcPr>
            <w:tcW w:w="1380" w:type="dxa"/>
            <w:vAlign w:val="bottom"/>
            <w:tcBorders>
              <w:top w:val="single" w:sz="8" w:color="41516E"/>
            </w:tcBorders>
          </w:tcPr>
          <w:p>
            <w:pPr>
              <w:jc w:val="right"/>
              <w:ind w:right="268"/>
              <w:spacing w:after="0" w:line="147" w:lineRule="exact"/>
              <w:rPr>
                <w:sz w:val="20"/>
                <w:szCs w:val="20"/>
                <w:color w:val="auto"/>
              </w:rPr>
            </w:pPr>
            <w:r>
              <w:rPr>
                <w:rFonts w:ascii="Arial" w:cs="Arial" w:eastAsia="Arial" w:hAnsi="Arial"/>
                <w:sz w:val="14"/>
                <w:szCs w:val="14"/>
                <w:b w:val="1"/>
                <w:bCs w:val="1"/>
                <w:color w:val="41516E"/>
              </w:rPr>
              <w:t>No. of Shares</w:t>
            </w:r>
          </w:p>
        </w:tc>
        <w:tc>
          <w:tcPr>
            <w:tcW w:w="280" w:type="dxa"/>
            <w:vAlign w:val="bottom"/>
            <w:tcBorders>
              <w:top w:val="single" w:sz="8" w:color="41516E"/>
            </w:tcBorders>
          </w:tcPr>
          <w:p>
            <w:pPr>
              <w:spacing w:after="0"/>
              <w:rPr>
                <w:sz w:val="12"/>
                <w:szCs w:val="12"/>
                <w:color w:val="auto"/>
              </w:rPr>
            </w:pPr>
          </w:p>
        </w:tc>
        <w:tc>
          <w:tcPr>
            <w:tcW w:w="1000" w:type="dxa"/>
            <w:vAlign w:val="bottom"/>
            <w:tcBorders>
              <w:top w:val="single" w:sz="8" w:color="41516E"/>
            </w:tcBorders>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Borders>
              <w:top w:val="single" w:sz="8" w:color="41516E"/>
            </w:tcBorders>
          </w:tcPr>
          <w:p>
            <w:pPr>
              <w:spacing w:after="0"/>
              <w:rPr>
                <w:sz w:val="12"/>
                <w:szCs w:val="12"/>
                <w:color w:val="auto"/>
              </w:rPr>
            </w:pPr>
          </w:p>
        </w:tc>
        <w:tc>
          <w:tcPr>
            <w:tcW w:w="320" w:type="dxa"/>
            <w:vAlign w:val="bottom"/>
            <w:tcBorders>
              <w:top w:val="single" w:sz="8" w:color="41516E"/>
            </w:tcBorders>
          </w:tcPr>
          <w:p>
            <w:pPr>
              <w:spacing w:after="0"/>
              <w:rPr>
                <w:sz w:val="12"/>
                <w:szCs w:val="12"/>
                <w:color w:val="auto"/>
              </w:rPr>
            </w:pPr>
          </w:p>
        </w:tc>
        <w:tc>
          <w:tcPr>
            <w:tcW w:w="1120" w:type="dxa"/>
            <w:vAlign w:val="bottom"/>
            <w:tcBorders>
              <w:top w:val="single" w:sz="8" w:color="41516E"/>
            </w:tcBorders>
          </w:tcPr>
          <w:p>
            <w:pPr>
              <w:spacing w:after="0"/>
              <w:rPr>
                <w:sz w:val="12"/>
                <w:szCs w:val="12"/>
                <w:color w:val="auto"/>
              </w:rPr>
            </w:pPr>
          </w:p>
        </w:tc>
      </w:tr>
      <w:tr>
        <w:trPr>
          <w:trHeight w:val="162"/>
        </w:trPr>
        <w:tc>
          <w:tcPr>
            <w:tcW w:w="54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41516E"/>
              </w:rPr>
              <w:t>Acquired on</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41516E"/>
              </w:rPr>
              <w:t>No. of Shares</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41516E"/>
              </w:rPr>
              <w:t>Exercise</w:t>
            </w:r>
          </w:p>
        </w:tc>
        <w:tc>
          <w:tcPr>
            <w:tcW w:w="28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41516E"/>
                <w:w w:val="99"/>
              </w:rPr>
              <w:t>Value Realized</w:t>
            </w: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41516E"/>
              </w:rPr>
              <w:t>Vested</w:t>
            </w:r>
          </w:p>
        </w:tc>
        <w:tc>
          <w:tcPr>
            <w:tcW w:w="3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41516E"/>
              </w:rPr>
              <w:t>Value Realized</w:t>
            </w:r>
          </w:p>
        </w:tc>
      </w:tr>
      <w:tr>
        <w:trPr>
          <w:trHeight w:val="171"/>
        </w:trPr>
        <w:tc>
          <w:tcPr>
            <w:tcW w:w="5460" w:type="dxa"/>
            <w:vAlign w:val="bottom"/>
            <w:tcBorders>
              <w:bottom w:val="single" w:sz="8" w:color="41516E"/>
            </w:tcBorders>
          </w:tcPr>
          <w:p>
            <w:pPr>
              <w:ind w:left="60"/>
              <w:spacing w:after="0"/>
              <w:rPr>
                <w:sz w:val="20"/>
                <w:szCs w:val="20"/>
                <w:color w:val="auto"/>
              </w:rPr>
            </w:pPr>
            <w:r>
              <w:rPr>
                <w:rFonts w:ascii="Arial" w:cs="Arial" w:eastAsia="Arial" w:hAnsi="Arial"/>
                <w:sz w:val="14"/>
                <w:szCs w:val="14"/>
                <w:b w:val="1"/>
                <w:bCs w:val="1"/>
                <w:color w:val="41516E"/>
              </w:rPr>
              <w:t>Name</w:t>
            </w:r>
          </w:p>
        </w:tc>
        <w:tc>
          <w:tcPr>
            <w:tcW w:w="1380" w:type="dxa"/>
            <w:vAlign w:val="bottom"/>
            <w:tcBorders>
              <w:bottom w:val="single" w:sz="8" w:color="41516E"/>
            </w:tcBorders>
          </w:tcPr>
          <w:p>
            <w:pPr>
              <w:jc w:val="right"/>
              <w:ind w:right="268"/>
              <w:spacing w:after="0"/>
              <w:rPr>
                <w:sz w:val="20"/>
                <w:szCs w:val="20"/>
                <w:color w:val="auto"/>
              </w:rPr>
            </w:pPr>
            <w:r>
              <w:rPr>
                <w:rFonts w:ascii="Arial" w:cs="Arial" w:eastAsia="Arial" w:hAnsi="Arial"/>
                <w:sz w:val="14"/>
                <w:szCs w:val="14"/>
                <w:b w:val="1"/>
                <w:bCs w:val="1"/>
                <w:color w:val="41516E"/>
              </w:rPr>
              <w:t>(#)</w:t>
            </w:r>
          </w:p>
        </w:tc>
        <w:tc>
          <w:tcPr>
            <w:tcW w:w="280" w:type="dxa"/>
            <w:vAlign w:val="bottom"/>
            <w:tcBorders>
              <w:bottom w:val="single" w:sz="8" w:color="41516E"/>
            </w:tcBorders>
          </w:tcPr>
          <w:p>
            <w:pPr>
              <w:spacing w:after="0"/>
              <w:rPr>
                <w:sz w:val="14"/>
                <w:szCs w:val="14"/>
                <w:color w:val="auto"/>
              </w:rPr>
            </w:pPr>
          </w:p>
        </w:tc>
        <w:tc>
          <w:tcPr>
            <w:tcW w:w="1420" w:type="dxa"/>
            <w:vAlign w:val="bottom"/>
            <w:tcBorders>
              <w:bottom w:val="single" w:sz="8" w:color="41516E"/>
            </w:tcBorders>
            <w:gridSpan w:val="2"/>
          </w:tcPr>
          <w:p>
            <w:pPr>
              <w:jc w:val="right"/>
              <w:ind w:right="420"/>
              <w:spacing w:after="0"/>
              <w:rPr>
                <w:sz w:val="20"/>
                <w:szCs w:val="20"/>
                <w:color w:val="auto"/>
              </w:rPr>
            </w:pPr>
            <w:r>
              <w:rPr>
                <w:rFonts w:ascii="Arial" w:cs="Arial" w:eastAsia="Arial" w:hAnsi="Arial"/>
                <w:sz w:val="14"/>
                <w:szCs w:val="14"/>
                <w:b w:val="1"/>
                <w:bCs w:val="1"/>
                <w:color w:val="41516E"/>
              </w:rPr>
              <w:t>on Exercise</w:t>
            </w:r>
          </w:p>
        </w:tc>
        <w:tc>
          <w:tcPr>
            <w:tcW w:w="1260" w:type="dxa"/>
            <w:vAlign w:val="bottom"/>
            <w:tcBorders>
              <w:bottom w:val="single" w:sz="8" w:color="41516E"/>
            </w:tcBorders>
          </w:tcPr>
          <w:p>
            <w:pPr>
              <w:jc w:val="right"/>
              <w:ind w:right="148"/>
              <w:spacing w:after="0"/>
              <w:rPr>
                <w:sz w:val="20"/>
                <w:szCs w:val="20"/>
                <w:color w:val="auto"/>
              </w:rPr>
            </w:pPr>
            <w:r>
              <w:rPr>
                <w:rFonts w:ascii="Arial" w:cs="Arial" w:eastAsia="Arial" w:hAnsi="Arial"/>
                <w:sz w:val="14"/>
                <w:szCs w:val="14"/>
                <w:b w:val="1"/>
                <w:bCs w:val="1"/>
                <w:color w:val="41516E"/>
              </w:rPr>
              <w:t>(#)</w:t>
            </w:r>
          </w:p>
        </w:tc>
        <w:tc>
          <w:tcPr>
            <w:tcW w:w="320" w:type="dxa"/>
            <w:vAlign w:val="bottom"/>
            <w:tcBorders>
              <w:bottom w:val="single" w:sz="8" w:color="41516E"/>
            </w:tcBorders>
          </w:tcPr>
          <w:p>
            <w:pPr>
              <w:spacing w:after="0"/>
              <w:rPr>
                <w:sz w:val="14"/>
                <w:szCs w:val="14"/>
                <w:color w:val="auto"/>
              </w:rPr>
            </w:pPr>
          </w:p>
        </w:tc>
        <w:tc>
          <w:tcPr>
            <w:tcW w:w="112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b w:val="1"/>
                <w:bCs w:val="1"/>
                <w:color w:val="41516E"/>
              </w:rPr>
              <w:t>on Vesting</w:t>
            </w:r>
          </w:p>
        </w:tc>
      </w:tr>
      <w:tr>
        <w:trPr>
          <w:trHeight w:val="183"/>
        </w:trPr>
        <w:tc>
          <w:tcPr>
            <w:tcW w:w="5460" w:type="dxa"/>
            <w:vAlign w:val="bottom"/>
          </w:tcPr>
          <w:p>
            <w:pPr>
              <w:ind w:left="60"/>
              <w:spacing w:after="0"/>
              <w:rPr>
                <w:sz w:val="20"/>
                <w:szCs w:val="20"/>
                <w:color w:val="auto"/>
              </w:rPr>
            </w:pPr>
            <w:r>
              <w:rPr>
                <w:rFonts w:ascii="Arial" w:cs="Arial" w:eastAsia="Arial" w:hAnsi="Arial"/>
                <w:sz w:val="14"/>
                <w:szCs w:val="14"/>
                <w:color w:val="41516E"/>
              </w:rPr>
              <w:t>David A. Burwick</w:t>
            </w:r>
          </w:p>
        </w:tc>
        <w:tc>
          <w:tcPr>
            <w:tcW w:w="1380" w:type="dxa"/>
            <w:vAlign w:val="bottom"/>
          </w:tcPr>
          <w:p>
            <w:pPr>
              <w:jc w:val="right"/>
              <w:ind w:right="128"/>
              <w:spacing w:after="0" w:line="183" w:lineRule="exact"/>
              <w:rPr>
                <w:sz w:val="20"/>
                <w:szCs w:val="20"/>
                <w:color w:val="auto"/>
              </w:rPr>
            </w:pPr>
            <w:r>
              <w:rPr>
                <w:rFonts w:ascii="Arial" w:cs="Arial" w:eastAsia="Arial" w:hAnsi="Arial"/>
                <w:sz w:val="13"/>
                <w:szCs w:val="13"/>
                <w:color w:val="41516E"/>
              </w:rPr>
              <w:t>1,644</w:t>
            </w:r>
            <w:r>
              <w:rPr>
                <w:rFonts w:ascii="Arial" w:cs="Arial" w:eastAsia="Arial" w:hAnsi="Arial"/>
                <w:sz w:val="21"/>
                <w:szCs w:val="21"/>
                <w:color w:val="41516E"/>
                <w:vertAlign w:val="superscript"/>
              </w:rPr>
              <w:t>(1)</w:t>
            </w:r>
          </w:p>
        </w:tc>
        <w:tc>
          <w:tcPr>
            <w:tcW w:w="280" w:type="dxa"/>
            <w:vAlign w:val="bottom"/>
          </w:tcPr>
          <w:p>
            <w:pPr>
              <w:jc w:val="right"/>
              <w:spacing w:after="0"/>
              <w:rPr>
                <w:sz w:val="20"/>
                <w:szCs w:val="20"/>
                <w:color w:val="auto"/>
              </w:rPr>
            </w:pPr>
            <w:r>
              <w:rPr>
                <w:rFonts w:ascii="Arial" w:cs="Arial" w:eastAsia="Arial" w:hAnsi="Arial"/>
                <w:sz w:val="14"/>
                <w:szCs w:val="14"/>
                <w:color w:val="41516E"/>
              </w:rPr>
              <w:t>$</w:t>
            </w:r>
          </w:p>
        </w:tc>
        <w:tc>
          <w:tcPr>
            <w:tcW w:w="1420" w:type="dxa"/>
            <w:vAlign w:val="bottom"/>
            <w:gridSpan w:val="2"/>
          </w:tcPr>
          <w:p>
            <w:pPr>
              <w:jc w:val="right"/>
              <w:ind w:right="420"/>
              <w:spacing w:after="0"/>
              <w:rPr>
                <w:sz w:val="20"/>
                <w:szCs w:val="20"/>
                <w:color w:val="auto"/>
              </w:rPr>
            </w:pPr>
            <w:r>
              <w:rPr>
                <w:rFonts w:ascii="Arial" w:cs="Arial" w:eastAsia="Arial" w:hAnsi="Arial"/>
                <w:sz w:val="14"/>
                <w:szCs w:val="14"/>
                <w:color w:val="41516E"/>
              </w:rPr>
              <w:t>287,519</w:t>
            </w:r>
          </w:p>
        </w:tc>
        <w:tc>
          <w:tcPr>
            <w:tcW w:w="1260" w:type="dxa"/>
            <w:vAlign w:val="bottom"/>
          </w:tcPr>
          <w:p>
            <w:pPr>
              <w:jc w:val="right"/>
              <w:ind w:right="148"/>
              <w:spacing w:after="0"/>
              <w:rPr>
                <w:sz w:val="20"/>
                <w:szCs w:val="20"/>
                <w:color w:val="auto"/>
              </w:rPr>
            </w:pPr>
            <w:r>
              <w:rPr>
                <w:rFonts w:ascii="Arial" w:cs="Arial" w:eastAsia="Arial" w:hAnsi="Arial"/>
                <w:sz w:val="14"/>
                <w:szCs w:val="14"/>
                <w:color w:val="41516E"/>
              </w:rPr>
              <w:t>4,137</w:t>
            </w:r>
          </w:p>
        </w:tc>
        <w:tc>
          <w:tcPr>
            <w:tcW w:w="320" w:type="dxa"/>
            <w:vAlign w:val="bottom"/>
          </w:tcPr>
          <w:p>
            <w:pPr>
              <w:jc w:val="right"/>
              <w:spacing w:after="0"/>
              <w:rPr>
                <w:sz w:val="20"/>
                <w:szCs w:val="20"/>
                <w:color w:val="auto"/>
              </w:rPr>
            </w:pPr>
            <w:r>
              <w:rPr>
                <w:rFonts w:ascii="Arial" w:cs="Arial" w:eastAsia="Arial" w:hAnsi="Arial"/>
                <w:sz w:val="14"/>
                <w:szCs w:val="14"/>
                <w:color w:val="41516E"/>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41516E"/>
              </w:rPr>
              <w:t>1,344,554</w:t>
            </w:r>
          </w:p>
        </w:tc>
      </w:tr>
      <w:tr>
        <w:trPr>
          <w:trHeight w:val="162"/>
        </w:trPr>
        <w:tc>
          <w:tcPr>
            <w:tcW w:w="546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Diego Reynoso</w:t>
            </w:r>
          </w:p>
        </w:tc>
        <w:tc>
          <w:tcPr>
            <w:tcW w:w="1380" w:type="dxa"/>
            <w:vAlign w:val="bottom"/>
            <w:shd w:val="clear" w:color="auto" w:fill="EFF0F1"/>
          </w:tcPr>
          <w:p>
            <w:pPr>
              <w:jc w:val="right"/>
              <w:ind w:right="268"/>
              <w:spacing w:after="0"/>
              <w:rPr>
                <w:sz w:val="20"/>
                <w:szCs w:val="20"/>
                <w:color w:val="auto"/>
              </w:rPr>
            </w:pPr>
            <w:r>
              <w:rPr>
                <w:rFonts w:ascii="Arial" w:cs="Arial" w:eastAsia="Arial" w:hAnsi="Arial"/>
                <w:sz w:val="14"/>
                <w:szCs w:val="14"/>
                <w:color w:val="41516E"/>
              </w:rPr>
              <w:t>—</w:t>
            </w:r>
          </w:p>
        </w:tc>
        <w:tc>
          <w:tcPr>
            <w:tcW w:w="280" w:type="dxa"/>
            <w:vAlign w:val="bottom"/>
            <w:shd w:val="clear" w:color="auto" w:fill="EFF0F1"/>
          </w:tcPr>
          <w:p>
            <w:pPr>
              <w:spacing w:after="0"/>
              <w:rPr>
                <w:sz w:val="14"/>
                <w:szCs w:val="14"/>
                <w:color w:val="auto"/>
              </w:rPr>
            </w:pPr>
          </w:p>
        </w:tc>
        <w:tc>
          <w:tcPr>
            <w:tcW w:w="1420" w:type="dxa"/>
            <w:vAlign w:val="bottom"/>
            <w:gridSpan w:val="2"/>
            <w:shd w:val="clear" w:color="auto" w:fill="EFF0F1"/>
          </w:tcPr>
          <w:p>
            <w:pPr>
              <w:jc w:val="right"/>
              <w:ind w:right="420"/>
              <w:spacing w:after="0"/>
              <w:rPr>
                <w:sz w:val="20"/>
                <w:szCs w:val="20"/>
                <w:color w:val="auto"/>
              </w:rPr>
            </w:pPr>
            <w:r>
              <w:rPr>
                <w:rFonts w:ascii="Arial" w:cs="Arial" w:eastAsia="Arial" w:hAnsi="Arial"/>
                <w:sz w:val="14"/>
                <w:szCs w:val="14"/>
                <w:color w:val="41516E"/>
              </w:rPr>
              <w:t>—</w:t>
            </w:r>
          </w:p>
        </w:tc>
        <w:tc>
          <w:tcPr>
            <w:tcW w:w="1260" w:type="dxa"/>
            <w:vAlign w:val="bottom"/>
            <w:shd w:val="clear" w:color="auto" w:fill="EFF0F1"/>
          </w:tcPr>
          <w:p>
            <w:pPr>
              <w:jc w:val="right"/>
              <w:ind w:right="148"/>
              <w:spacing w:after="0"/>
              <w:rPr>
                <w:sz w:val="20"/>
                <w:szCs w:val="20"/>
                <w:color w:val="auto"/>
              </w:rPr>
            </w:pPr>
            <w:r>
              <w:rPr>
                <w:rFonts w:ascii="Arial" w:cs="Arial" w:eastAsia="Arial" w:hAnsi="Arial"/>
                <w:sz w:val="14"/>
                <w:szCs w:val="14"/>
                <w:color w:val="41516E"/>
              </w:rPr>
              <w:t>—</w:t>
            </w:r>
          </w:p>
        </w:tc>
        <w:tc>
          <w:tcPr>
            <w:tcW w:w="320" w:type="dxa"/>
            <w:vAlign w:val="bottom"/>
            <w:shd w:val="clear" w:color="auto" w:fill="EFF0F1"/>
          </w:tcPr>
          <w:p>
            <w:pPr>
              <w:spacing w:after="0"/>
              <w:rPr>
                <w:sz w:val="14"/>
                <w:szCs w:val="14"/>
                <w:color w:val="auto"/>
              </w:rPr>
            </w:pPr>
          </w:p>
        </w:tc>
        <w:tc>
          <w:tcPr>
            <w:tcW w:w="112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w:t>
            </w:r>
          </w:p>
        </w:tc>
      </w:tr>
      <w:tr>
        <w:trPr>
          <w:trHeight w:val="162"/>
        </w:trPr>
        <w:tc>
          <w:tcPr>
            <w:tcW w:w="5460" w:type="dxa"/>
            <w:vAlign w:val="bottom"/>
          </w:tcPr>
          <w:p>
            <w:pPr>
              <w:ind w:left="60"/>
              <w:spacing w:after="0"/>
              <w:rPr>
                <w:sz w:val="20"/>
                <w:szCs w:val="20"/>
                <w:color w:val="auto"/>
              </w:rPr>
            </w:pPr>
            <w:r>
              <w:rPr>
                <w:rFonts w:ascii="Arial" w:cs="Arial" w:eastAsia="Arial" w:hAnsi="Arial"/>
                <w:sz w:val="14"/>
                <w:szCs w:val="14"/>
                <w:color w:val="41516E"/>
              </w:rPr>
              <w:t>Frank H. Smalla</w:t>
            </w:r>
          </w:p>
        </w:tc>
        <w:tc>
          <w:tcPr>
            <w:tcW w:w="1380" w:type="dxa"/>
            <w:vAlign w:val="bottom"/>
          </w:tcPr>
          <w:p>
            <w:pPr>
              <w:jc w:val="right"/>
              <w:ind w:right="268"/>
              <w:spacing w:after="0"/>
              <w:rPr>
                <w:sz w:val="20"/>
                <w:szCs w:val="20"/>
                <w:color w:val="auto"/>
              </w:rPr>
            </w:pPr>
            <w:r>
              <w:rPr>
                <w:rFonts w:ascii="Arial" w:cs="Arial" w:eastAsia="Arial" w:hAnsi="Arial"/>
                <w:sz w:val="14"/>
                <w:szCs w:val="14"/>
                <w:color w:val="41516E"/>
              </w:rPr>
              <w:t>31,837</w:t>
            </w:r>
          </w:p>
        </w:tc>
        <w:tc>
          <w:tcPr>
            <w:tcW w:w="280" w:type="dxa"/>
            <w:vAlign w:val="bottom"/>
          </w:tcPr>
          <w:p>
            <w:pPr>
              <w:jc w:val="right"/>
              <w:spacing w:after="0"/>
              <w:rPr>
                <w:sz w:val="20"/>
                <w:szCs w:val="20"/>
                <w:color w:val="auto"/>
              </w:rPr>
            </w:pPr>
            <w:r>
              <w:rPr>
                <w:rFonts w:ascii="Arial" w:cs="Arial" w:eastAsia="Arial" w:hAnsi="Arial"/>
                <w:sz w:val="14"/>
                <w:szCs w:val="14"/>
                <w:color w:val="41516E"/>
              </w:rPr>
              <w:t>$</w:t>
            </w:r>
          </w:p>
        </w:tc>
        <w:tc>
          <w:tcPr>
            <w:tcW w:w="1420" w:type="dxa"/>
            <w:vAlign w:val="bottom"/>
            <w:gridSpan w:val="2"/>
          </w:tcPr>
          <w:p>
            <w:pPr>
              <w:jc w:val="right"/>
              <w:ind w:right="420"/>
              <w:spacing w:after="0"/>
              <w:rPr>
                <w:sz w:val="20"/>
                <w:szCs w:val="20"/>
                <w:color w:val="auto"/>
              </w:rPr>
            </w:pPr>
            <w:r>
              <w:rPr>
                <w:rFonts w:ascii="Arial" w:cs="Arial" w:eastAsia="Arial" w:hAnsi="Arial"/>
                <w:sz w:val="14"/>
                <w:szCs w:val="14"/>
                <w:color w:val="41516E"/>
              </w:rPr>
              <w:t>4,054,477</w:t>
            </w:r>
          </w:p>
        </w:tc>
        <w:tc>
          <w:tcPr>
            <w:tcW w:w="1260" w:type="dxa"/>
            <w:vAlign w:val="bottom"/>
          </w:tcPr>
          <w:p>
            <w:pPr>
              <w:jc w:val="right"/>
              <w:ind w:right="148"/>
              <w:spacing w:after="0"/>
              <w:rPr>
                <w:sz w:val="20"/>
                <w:szCs w:val="20"/>
                <w:color w:val="auto"/>
              </w:rPr>
            </w:pPr>
            <w:r>
              <w:rPr>
                <w:rFonts w:ascii="Arial" w:cs="Arial" w:eastAsia="Arial" w:hAnsi="Arial"/>
                <w:sz w:val="14"/>
                <w:szCs w:val="14"/>
                <w:color w:val="41516E"/>
              </w:rPr>
              <w:t>908</w:t>
            </w:r>
          </w:p>
        </w:tc>
        <w:tc>
          <w:tcPr>
            <w:tcW w:w="320" w:type="dxa"/>
            <w:vAlign w:val="bottom"/>
          </w:tcPr>
          <w:p>
            <w:pPr>
              <w:jc w:val="right"/>
              <w:spacing w:after="0"/>
              <w:rPr>
                <w:sz w:val="20"/>
                <w:szCs w:val="20"/>
                <w:color w:val="auto"/>
              </w:rPr>
            </w:pPr>
            <w:r>
              <w:rPr>
                <w:rFonts w:ascii="Arial" w:cs="Arial" w:eastAsia="Arial" w:hAnsi="Arial"/>
                <w:sz w:val="14"/>
                <w:szCs w:val="14"/>
                <w:color w:val="41516E"/>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41516E"/>
              </w:rPr>
              <w:t>295,509</w:t>
            </w:r>
          </w:p>
        </w:tc>
      </w:tr>
      <w:tr>
        <w:trPr>
          <w:trHeight w:val="162"/>
        </w:trPr>
        <w:tc>
          <w:tcPr>
            <w:tcW w:w="546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Matthew Murphy</w:t>
            </w:r>
          </w:p>
        </w:tc>
        <w:tc>
          <w:tcPr>
            <w:tcW w:w="1380" w:type="dxa"/>
            <w:vAlign w:val="bottom"/>
            <w:shd w:val="clear" w:color="auto" w:fill="EFF0F1"/>
          </w:tcPr>
          <w:p>
            <w:pPr>
              <w:jc w:val="right"/>
              <w:ind w:right="268"/>
              <w:spacing w:after="0"/>
              <w:rPr>
                <w:sz w:val="20"/>
                <w:szCs w:val="20"/>
                <w:color w:val="auto"/>
              </w:rPr>
            </w:pPr>
            <w:r>
              <w:rPr>
                <w:rFonts w:ascii="Arial" w:cs="Arial" w:eastAsia="Arial" w:hAnsi="Arial"/>
                <w:sz w:val="14"/>
                <w:szCs w:val="14"/>
                <w:color w:val="41516E"/>
              </w:rPr>
              <w:t>—</w:t>
            </w:r>
          </w:p>
        </w:tc>
        <w:tc>
          <w:tcPr>
            <w:tcW w:w="280" w:type="dxa"/>
            <w:vAlign w:val="bottom"/>
            <w:shd w:val="clear" w:color="auto" w:fill="EFF0F1"/>
          </w:tcPr>
          <w:p>
            <w:pPr>
              <w:spacing w:after="0"/>
              <w:rPr>
                <w:sz w:val="14"/>
                <w:szCs w:val="14"/>
                <w:color w:val="auto"/>
              </w:rPr>
            </w:pPr>
          </w:p>
        </w:tc>
        <w:tc>
          <w:tcPr>
            <w:tcW w:w="1420" w:type="dxa"/>
            <w:vAlign w:val="bottom"/>
            <w:gridSpan w:val="2"/>
            <w:shd w:val="clear" w:color="auto" w:fill="EFF0F1"/>
          </w:tcPr>
          <w:p>
            <w:pPr>
              <w:jc w:val="right"/>
              <w:ind w:right="420"/>
              <w:spacing w:after="0"/>
              <w:rPr>
                <w:sz w:val="20"/>
                <w:szCs w:val="20"/>
                <w:color w:val="auto"/>
              </w:rPr>
            </w:pPr>
            <w:r>
              <w:rPr>
                <w:rFonts w:ascii="Arial" w:cs="Arial" w:eastAsia="Arial" w:hAnsi="Arial"/>
                <w:sz w:val="14"/>
                <w:szCs w:val="14"/>
                <w:color w:val="41516E"/>
              </w:rPr>
              <w:t>—</w:t>
            </w:r>
          </w:p>
        </w:tc>
        <w:tc>
          <w:tcPr>
            <w:tcW w:w="1260" w:type="dxa"/>
            <w:vAlign w:val="bottom"/>
            <w:shd w:val="clear" w:color="auto" w:fill="EFF0F1"/>
          </w:tcPr>
          <w:p>
            <w:pPr>
              <w:jc w:val="right"/>
              <w:ind w:right="148"/>
              <w:spacing w:after="0"/>
              <w:rPr>
                <w:sz w:val="20"/>
                <w:szCs w:val="20"/>
                <w:color w:val="auto"/>
              </w:rPr>
            </w:pPr>
            <w:r>
              <w:rPr>
                <w:rFonts w:ascii="Arial" w:cs="Arial" w:eastAsia="Arial" w:hAnsi="Arial"/>
                <w:sz w:val="14"/>
                <w:szCs w:val="14"/>
                <w:color w:val="41516E"/>
              </w:rPr>
              <w:t>557</w:t>
            </w:r>
          </w:p>
        </w:tc>
        <w:tc>
          <w:tcPr>
            <w:tcW w:w="32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12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180,957</w:t>
            </w:r>
          </w:p>
        </w:tc>
      </w:tr>
      <w:tr>
        <w:trPr>
          <w:trHeight w:val="162"/>
        </w:trPr>
        <w:tc>
          <w:tcPr>
            <w:tcW w:w="5460" w:type="dxa"/>
            <w:vAlign w:val="bottom"/>
          </w:tcPr>
          <w:p>
            <w:pPr>
              <w:ind w:left="60"/>
              <w:spacing w:after="0"/>
              <w:rPr>
                <w:sz w:val="20"/>
                <w:szCs w:val="20"/>
                <w:color w:val="auto"/>
              </w:rPr>
            </w:pPr>
            <w:r>
              <w:rPr>
                <w:rFonts w:ascii="Arial" w:cs="Arial" w:eastAsia="Arial" w:hAnsi="Arial"/>
                <w:sz w:val="14"/>
                <w:szCs w:val="14"/>
                <w:color w:val="41516E"/>
              </w:rPr>
              <w:t>Phil Hodges</w:t>
            </w:r>
          </w:p>
        </w:tc>
        <w:tc>
          <w:tcPr>
            <w:tcW w:w="1380" w:type="dxa"/>
            <w:vAlign w:val="bottom"/>
          </w:tcPr>
          <w:p>
            <w:pPr>
              <w:jc w:val="right"/>
              <w:ind w:right="268"/>
              <w:spacing w:after="0"/>
              <w:rPr>
                <w:sz w:val="20"/>
                <w:szCs w:val="20"/>
                <w:color w:val="auto"/>
              </w:rPr>
            </w:pPr>
            <w:r>
              <w:rPr>
                <w:rFonts w:ascii="Arial" w:cs="Arial" w:eastAsia="Arial" w:hAnsi="Arial"/>
                <w:sz w:val="14"/>
                <w:szCs w:val="14"/>
                <w:color w:val="41516E"/>
              </w:rPr>
              <w:t>—</w:t>
            </w:r>
          </w:p>
        </w:tc>
        <w:tc>
          <w:tcPr>
            <w:tcW w:w="28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color w:val="41516E"/>
              </w:rPr>
              <w:t>—</w:t>
            </w:r>
          </w:p>
        </w:tc>
        <w:tc>
          <w:tcPr>
            <w:tcW w:w="1260" w:type="dxa"/>
            <w:vAlign w:val="bottom"/>
          </w:tcPr>
          <w:p>
            <w:pPr>
              <w:jc w:val="right"/>
              <w:ind w:right="148"/>
              <w:spacing w:after="0"/>
              <w:rPr>
                <w:sz w:val="20"/>
                <w:szCs w:val="20"/>
                <w:color w:val="auto"/>
              </w:rPr>
            </w:pPr>
            <w:r>
              <w:rPr>
                <w:rFonts w:ascii="Arial" w:cs="Arial" w:eastAsia="Arial" w:hAnsi="Arial"/>
                <w:sz w:val="14"/>
                <w:szCs w:val="14"/>
                <w:color w:val="41516E"/>
              </w:rPr>
              <w:t>—</w:t>
            </w:r>
          </w:p>
        </w:tc>
        <w:tc>
          <w:tcPr>
            <w:tcW w:w="3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41516E"/>
              </w:rPr>
              <w:t>—</w:t>
            </w:r>
          </w:p>
        </w:tc>
      </w:tr>
      <w:tr>
        <w:trPr>
          <w:trHeight w:val="162"/>
        </w:trPr>
        <w:tc>
          <w:tcPr>
            <w:tcW w:w="5460" w:type="dxa"/>
            <w:vAlign w:val="bottom"/>
            <w:shd w:val="clear" w:color="auto" w:fill="EFF0F1"/>
          </w:tcPr>
          <w:p>
            <w:pPr>
              <w:ind w:left="60"/>
              <w:spacing w:after="0"/>
              <w:rPr>
                <w:sz w:val="20"/>
                <w:szCs w:val="20"/>
                <w:color w:val="auto"/>
              </w:rPr>
            </w:pPr>
            <w:r>
              <w:rPr>
                <w:rFonts w:ascii="Arial" w:cs="Arial" w:eastAsia="Arial" w:hAnsi="Arial"/>
                <w:sz w:val="14"/>
                <w:szCs w:val="14"/>
                <w:color w:val="41516E"/>
              </w:rPr>
              <w:t>John C. Geist</w:t>
            </w:r>
          </w:p>
        </w:tc>
        <w:tc>
          <w:tcPr>
            <w:tcW w:w="1380" w:type="dxa"/>
            <w:vAlign w:val="bottom"/>
            <w:shd w:val="clear" w:color="auto" w:fill="EFF0F1"/>
          </w:tcPr>
          <w:p>
            <w:pPr>
              <w:jc w:val="right"/>
              <w:ind w:right="268"/>
              <w:spacing w:after="0"/>
              <w:rPr>
                <w:sz w:val="20"/>
                <w:szCs w:val="20"/>
                <w:color w:val="auto"/>
              </w:rPr>
            </w:pPr>
            <w:r>
              <w:rPr>
                <w:rFonts w:ascii="Arial" w:cs="Arial" w:eastAsia="Arial" w:hAnsi="Arial"/>
                <w:sz w:val="14"/>
                <w:szCs w:val="14"/>
                <w:color w:val="41516E"/>
              </w:rPr>
              <w:t>13,524</w:t>
            </w:r>
          </w:p>
        </w:tc>
        <w:tc>
          <w:tcPr>
            <w:tcW w:w="28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420" w:type="dxa"/>
            <w:vAlign w:val="bottom"/>
            <w:gridSpan w:val="2"/>
            <w:shd w:val="clear" w:color="auto" w:fill="EFF0F1"/>
          </w:tcPr>
          <w:p>
            <w:pPr>
              <w:jc w:val="right"/>
              <w:ind w:right="420"/>
              <w:spacing w:after="0"/>
              <w:rPr>
                <w:sz w:val="20"/>
                <w:szCs w:val="20"/>
                <w:color w:val="auto"/>
              </w:rPr>
            </w:pPr>
            <w:r>
              <w:rPr>
                <w:rFonts w:ascii="Arial" w:cs="Arial" w:eastAsia="Arial" w:hAnsi="Arial"/>
                <w:sz w:val="14"/>
                <w:szCs w:val="14"/>
                <w:color w:val="41516E"/>
              </w:rPr>
              <w:t>1,927,114</w:t>
            </w:r>
          </w:p>
        </w:tc>
        <w:tc>
          <w:tcPr>
            <w:tcW w:w="1260" w:type="dxa"/>
            <w:vAlign w:val="bottom"/>
            <w:shd w:val="clear" w:color="auto" w:fill="EFF0F1"/>
          </w:tcPr>
          <w:p>
            <w:pPr>
              <w:jc w:val="right"/>
              <w:ind w:right="148"/>
              <w:spacing w:after="0"/>
              <w:rPr>
                <w:sz w:val="20"/>
                <w:szCs w:val="20"/>
                <w:color w:val="auto"/>
              </w:rPr>
            </w:pPr>
            <w:r>
              <w:rPr>
                <w:rFonts w:ascii="Arial" w:cs="Arial" w:eastAsia="Arial" w:hAnsi="Arial"/>
                <w:sz w:val="14"/>
                <w:szCs w:val="14"/>
                <w:color w:val="41516E"/>
              </w:rPr>
              <w:t>908</w:t>
            </w:r>
          </w:p>
        </w:tc>
        <w:tc>
          <w:tcPr>
            <w:tcW w:w="320" w:type="dxa"/>
            <w:vAlign w:val="bottom"/>
            <w:shd w:val="clear" w:color="auto" w:fill="EFF0F1"/>
          </w:tcPr>
          <w:p>
            <w:pPr>
              <w:jc w:val="right"/>
              <w:spacing w:after="0"/>
              <w:rPr>
                <w:sz w:val="20"/>
                <w:szCs w:val="20"/>
                <w:color w:val="auto"/>
              </w:rPr>
            </w:pPr>
            <w:r>
              <w:rPr>
                <w:rFonts w:ascii="Arial" w:cs="Arial" w:eastAsia="Arial" w:hAnsi="Arial"/>
                <w:sz w:val="14"/>
                <w:szCs w:val="14"/>
                <w:color w:val="41516E"/>
              </w:rPr>
              <w:t>$</w:t>
            </w:r>
          </w:p>
        </w:tc>
        <w:tc>
          <w:tcPr>
            <w:tcW w:w="1120" w:type="dxa"/>
            <w:vAlign w:val="bottom"/>
            <w:shd w:val="clear" w:color="auto" w:fill="EFF0F1"/>
          </w:tcPr>
          <w:p>
            <w:pPr>
              <w:jc w:val="right"/>
              <w:ind w:right="28"/>
              <w:spacing w:after="0"/>
              <w:rPr>
                <w:sz w:val="20"/>
                <w:szCs w:val="20"/>
                <w:color w:val="auto"/>
              </w:rPr>
            </w:pPr>
            <w:r>
              <w:rPr>
                <w:rFonts w:ascii="Arial" w:cs="Arial" w:eastAsia="Arial" w:hAnsi="Arial"/>
                <w:sz w:val="14"/>
                <w:szCs w:val="14"/>
                <w:color w:val="41516E"/>
              </w:rPr>
              <w:t>295,509</w:t>
            </w:r>
          </w:p>
        </w:tc>
      </w:tr>
      <w:tr>
        <w:trPr>
          <w:trHeight w:val="162"/>
        </w:trPr>
        <w:tc>
          <w:tcPr>
            <w:tcW w:w="5460" w:type="dxa"/>
            <w:vAlign w:val="bottom"/>
            <w:tcBorders>
              <w:bottom w:val="single" w:sz="8" w:color="41516E"/>
            </w:tcBorders>
          </w:tcPr>
          <w:p>
            <w:pPr>
              <w:ind w:left="60"/>
              <w:spacing w:after="0"/>
              <w:rPr>
                <w:sz w:val="20"/>
                <w:szCs w:val="20"/>
                <w:color w:val="auto"/>
              </w:rPr>
            </w:pPr>
            <w:r>
              <w:rPr>
                <w:rFonts w:ascii="Arial" w:cs="Arial" w:eastAsia="Arial" w:hAnsi="Arial"/>
                <w:sz w:val="14"/>
                <w:szCs w:val="14"/>
                <w:color w:val="41516E"/>
              </w:rPr>
              <w:t>Lesya Lysyj</w:t>
            </w:r>
          </w:p>
        </w:tc>
        <w:tc>
          <w:tcPr>
            <w:tcW w:w="1380" w:type="dxa"/>
            <w:vAlign w:val="bottom"/>
            <w:tcBorders>
              <w:bottom w:val="single" w:sz="8" w:color="41516E"/>
            </w:tcBorders>
          </w:tcPr>
          <w:p>
            <w:pPr>
              <w:jc w:val="right"/>
              <w:ind w:right="268"/>
              <w:spacing w:after="0"/>
              <w:rPr>
                <w:sz w:val="20"/>
                <w:szCs w:val="20"/>
                <w:color w:val="auto"/>
              </w:rPr>
            </w:pPr>
            <w:r>
              <w:rPr>
                <w:rFonts w:ascii="Arial" w:cs="Arial" w:eastAsia="Arial" w:hAnsi="Arial"/>
                <w:sz w:val="14"/>
                <w:szCs w:val="14"/>
                <w:color w:val="41516E"/>
              </w:rPr>
              <w:t>—</w:t>
            </w:r>
          </w:p>
        </w:tc>
        <w:tc>
          <w:tcPr>
            <w:tcW w:w="280" w:type="dxa"/>
            <w:vAlign w:val="bottom"/>
            <w:tcBorders>
              <w:bottom w:val="single" w:sz="8" w:color="41516E"/>
            </w:tcBorders>
          </w:tcPr>
          <w:p>
            <w:pPr>
              <w:spacing w:after="0"/>
              <w:rPr>
                <w:sz w:val="14"/>
                <w:szCs w:val="14"/>
                <w:color w:val="auto"/>
              </w:rPr>
            </w:pPr>
          </w:p>
        </w:tc>
        <w:tc>
          <w:tcPr>
            <w:tcW w:w="1420" w:type="dxa"/>
            <w:vAlign w:val="bottom"/>
            <w:tcBorders>
              <w:bottom w:val="single" w:sz="8" w:color="41516E"/>
            </w:tcBorders>
            <w:gridSpan w:val="2"/>
          </w:tcPr>
          <w:p>
            <w:pPr>
              <w:jc w:val="right"/>
              <w:ind w:right="420"/>
              <w:spacing w:after="0"/>
              <w:rPr>
                <w:sz w:val="20"/>
                <w:szCs w:val="20"/>
                <w:color w:val="auto"/>
              </w:rPr>
            </w:pPr>
            <w:r>
              <w:rPr>
                <w:rFonts w:ascii="Arial" w:cs="Arial" w:eastAsia="Arial" w:hAnsi="Arial"/>
                <w:sz w:val="14"/>
                <w:szCs w:val="14"/>
                <w:color w:val="41516E"/>
              </w:rPr>
              <w:t>—</w:t>
            </w:r>
          </w:p>
        </w:tc>
        <w:tc>
          <w:tcPr>
            <w:tcW w:w="1260" w:type="dxa"/>
            <w:vAlign w:val="bottom"/>
            <w:tcBorders>
              <w:bottom w:val="single" w:sz="8" w:color="41516E"/>
            </w:tcBorders>
          </w:tcPr>
          <w:p>
            <w:pPr>
              <w:jc w:val="right"/>
              <w:ind w:right="148"/>
              <w:spacing w:after="0"/>
              <w:rPr>
                <w:sz w:val="20"/>
                <w:szCs w:val="20"/>
                <w:color w:val="auto"/>
              </w:rPr>
            </w:pPr>
            <w:r>
              <w:rPr>
                <w:rFonts w:ascii="Arial" w:cs="Arial" w:eastAsia="Arial" w:hAnsi="Arial"/>
                <w:sz w:val="14"/>
                <w:szCs w:val="14"/>
                <w:color w:val="41516E"/>
              </w:rPr>
              <w:t>1,615</w:t>
            </w:r>
          </w:p>
        </w:tc>
        <w:tc>
          <w:tcPr>
            <w:tcW w:w="320" w:type="dxa"/>
            <w:vAlign w:val="bottom"/>
            <w:tcBorders>
              <w:bottom w:val="single" w:sz="8" w:color="41516E"/>
            </w:tcBorders>
          </w:tcPr>
          <w:p>
            <w:pPr>
              <w:jc w:val="right"/>
              <w:spacing w:after="0"/>
              <w:rPr>
                <w:sz w:val="20"/>
                <w:szCs w:val="20"/>
                <w:color w:val="auto"/>
              </w:rPr>
            </w:pPr>
            <w:r>
              <w:rPr>
                <w:rFonts w:ascii="Arial" w:cs="Arial" w:eastAsia="Arial" w:hAnsi="Arial"/>
                <w:sz w:val="14"/>
                <w:szCs w:val="14"/>
                <w:color w:val="41516E"/>
              </w:rPr>
              <w:t>$</w:t>
            </w:r>
          </w:p>
        </w:tc>
        <w:tc>
          <w:tcPr>
            <w:tcW w:w="1120" w:type="dxa"/>
            <w:vAlign w:val="bottom"/>
            <w:tcBorders>
              <w:bottom w:val="single" w:sz="8" w:color="41516E"/>
            </w:tcBorders>
          </w:tcPr>
          <w:p>
            <w:pPr>
              <w:jc w:val="right"/>
              <w:ind w:right="28"/>
              <w:spacing w:after="0"/>
              <w:rPr>
                <w:sz w:val="20"/>
                <w:szCs w:val="20"/>
                <w:color w:val="auto"/>
              </w:rPr>
            </w:pPr>
            <w:r>
              <w:rPr>
                <w:rFonts w:ascii="Arial" w:cs="Arial" w:eastAsia="Arial" w:hAnsi="Arial"/>
                <w:sz w:val="14"/>
                <w:szCs w:val="14"/>
                <w:color w:val="41516E"/>
              </w:rPr>
              <w:t>515,188</w:t>
            </w:r>
          </w:p>
        </w:tc>
      </w:tr>
    </w:tbl>
    <w:p>
      <w:pPr>
        <w:spacing w:after="0" w:line="6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i w:val="1"/>
          <w:iCs w:val="1"/>
          <w:color w:val="41516E"/>
        </w:rPr>
      </w:pPr>
      <w:r>
        <w:rPr>
          <w:rFonts w:ascii="Arial" w:cs="Arial" w:eastAsia="Arial" w:hAnsi="Arial"/>
          <w:sz w:val="14"/>
          <w:szCs w:val="14"/>
          <w:i w:val="1"/>
          <w:iCs w:val="1"/>
          <w:color w:val="41516E"/>
        </w:rPr>
        <w:t>Stock option awards were granted pursuant to our Director Equity Plan, prior to Mr. Burwick being appointed as our President and CEO.</w:t>
      </w:r>
    </w:p>
    <w:p>
      <w:pPr>
        <w:spacing w:after="0" w:line="397" w:lineRule="exact"/>
        <w:rPr>
          <w:sz w:val="20"/>
          <w:szCs w:val="20"/>
          <w:color w:val="auto"/>
        </w:rPr>
      </w:pPr>
    </w:p>
    <w:p>
      <w:pPr>
        <w:ind w:right="840"/>
        <w:spacing w:after="0" w:line="298" w:lineRule="auto"/>
        <w:rPr>
          <w:sz w:val="20"/>
          <w:szCs w:val="20"/>
          <w:color w:val="auto"/>
        </w:rPr>
      </w:pPr>
      <w:r>
        <w:rPr>
          <w:rFonts w:ascii="Arial" w:cs="Arial" w:eastAsia="Arial" w:hAnsi="Arial"/>
          <w:sz w:val="32"/>
          <w:szCs w:val="32"/>
          <w:b w:val="1"/>
          <w:bCs w:val="1"/>
          <w:color w:val="41516E"/>
        </w:rPr>
        <w:t>Employment Contracts, Termination of Employment, and Change in Control Agreements</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Stockholder Rights Agreement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A Stockholder Rights Agreement between Boston Beer and our initial stockholders provides that so long as Mr. Koch remains an employee of Boston Beer, he will devote such time and effort as a full-time, forty (40) hours-per-week occupation, as may be reasonably necessary for the proper performance of his duties and to satisfy the business needs of the Company and Boston Beer will provide Mr. Koch with benefits no less favorable than those formerly provided to him by the Boston Beer Company Limited Partnership.</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Non-Compete Agreements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Certain full-time coworkers at Boston Beer, including each of our Named Executive Officers, are required to enter into a non-competition agreement with Boston Beer that, where applicable, prohibits them from accepting employment with a competitor for a specified time after leaving the Company. Nevertheless, all coworkers at Boston Beer not covered by a CBA are employed “at-will.”</w:t>
      </w:r>
    </w:p>
    <w:p>
      <w:pPr>
        <w:spacing w:after="0" w:line="138"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Change in Control Provisions in LTE Awards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Our LTE Awards do not discriminate in scope or terms of operation for Executive Officers or other salaried coworkers, with one exception noted below. As of the end of Fiscal Year 2023, all outstanding LTE Awards granted under the EEIP on or before December 31, 2015, including those granted to our Named Executive Officers, vest or become immediately exercisable in full in the event of a Change in Control. All outstanding LTE Awards granted between January 1, 2016 and December 30, 2023, including those granted to our Named Executive Officers, become immediately exercisable in full in the event that: (1) there is a Change in Control; and (2) it results in the termination of the employment of the equity holder without cause or good reason within 12 months of the Change in Control.</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For the purposes of our LTE Awards, the term “Change in Control” means if Chairman C. James Koch and/or members of his family cease to control a majority of the Company’s Class B Shares, except for the special awards granted to Mr. Burwick in 2021, where the term “Change in Control” means if Mr. Koch ceases to be Chairman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Potential Payments Upon Termination or Change in Control</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As of December 30, 2023, we did not have employment agreements, severance arrangements, life insurance agreements, or change in control plans with any of our currently serving Named Executive Officers that would provide severance benefits in the event of the termination of their employment or a Change in Control. However, the EEIP provides participants, including our Named Executive Officers, with certain rights in the event of the termination of their employment, including by reason of death or disability or upon a Change in Control of Boston Beer. This section describes the rights of our Named Executive Officers in the hypothetical event that such contingencies occurred on December 30, 2023. On that date, the market price of Boston Beer Class A Common Stock was $345.59.</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41516E"/>
        </w:rPr>
        <w:t>For the purposes of the Company’s equity grants, the term “Change in Control” means if Mr. Koch and/or members of his family cease to control a majority of the Company’s issued and outstanding Class B Common Stock, except for two special awards granted to Mr. Burwick in 2021, where the term “Change in Control” means if Mr. Koch ceases to be Chairman of the Company. The term “Qualified Termination” means if the Change in Control results in the termination of the employment of the participant without cause or good reason within 12 months of the Change in Control. “Cause” means: (i) engaging in knowing and intentional illegal conduct that was or is materially injurious to the Company or its affiliates; (ii) violating a federal or state law or regulation applicable to the Company’s business, which violation was or is reasonably likely to be injurious to the Company; (iii) being convicted of, or entering a plea of nolo contendere to, a felony or committing any act of moral turpitude, dishonesty, or fraud against the Company; or (iv) the material misappropriation of property belonging to the Company or its affiliates. “Good Reason” means, without the participant’s written consent: (i) a reduction in base salary; or (ii) a relocation of principal place of work to a location more than 50 miles away from the workplace prior to the relocation; or (iii) the significant reduction of duties or responsibilities when compared to duties or responsibilities in effect immediately prior to the Change in Control.</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Payments or benefits under other plans and arrangements that are generally provided on a non-discriminatory basis to all similarly situated employees of the Company upon the termination of their employment are not described, including: (a) accrued base salary; (b) annual incentive earned with respect to completed performance periods; (c) distribution of vested account balances under the Company’s 401(k) plan; and (d) life insurance benefits generally available to all fulltime coworkers.</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David A. Burwick</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In the hypothetical event of Mr. Burwick’s death, disability, or Qualified Termination on December 30, 2023, he (or his estate in the event of death) would have had:</w:t>
      </w:r>
    </w:p>
    <w:p>
      <w:pPr>
        <w:spacing w:after="0" w:line="129" w:lineRule="exact"/>
        <w:rPr>
          <w:sz w:val="20"/>
          <w:szCs w:val="20"/>
          <w:color w:val="auto"/>
        </w:rPr>
      </w:pPr>
    </w:p>
    <w:p>
      <w:pPr>
        <w:jc w:val="both"/>
        <w:ind w:left="180" w:hanging="172"/>
        <w:spacing w:after="0" w:line="266" w:lineRule="auto"/>
        <w:tabs>
          <w:tab w:leader="none" w:pos="180" w:val="left"/>
        </w:tabs>
        <w:numPr>
          <w:ilvl w:val="0"/>
          <w:numId w:val="24"/>
        </w:numPr>
        <w:rPr>
          <w:rFonts w:ascii="Arial" w:cs="Arial" w:eastAsia="Arial" w:hAnsi="Arial"/>
          <w:sz w:val="16"/>
          <w:szCs w:val="16"/>
          <w:color w:val="41516E"/>
        </w:rPr>
      </w:pPr>
      <w:r>
        <w:rPr>
          <w:rFonts w:ascii="Arial" w:cs="Arial" w:eastAsia="Arial" w:hAnsi="Arial"/>
          <w:sz w:val="16"/>
          <w:szCs w:val="16"/>
          <w:color w:val="41516E"/>
        </w:rPr>
        <w:t>2,343 option shares immediately vest pursuant to his March 1, 2020 stock option award, exercisable at a price of $370.79. In the hypothetical event that he exercised and sold those shares at the market price on that date, he would not have received any gross income due to the exercise price being higher than the market price.</w:t>
      </w:r>
    </w:p>
    <w:p>
      <w:pPr>
        <w:spacing w:after="0" w:line="36"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24"/>
        </w:numPr>
        <w:rPr>
          <w:rFonts w:ascii="Arial" w:cs="Arial" w:eastAsia="Arial" w:hAnsi="Arial"/>
          <w:sz w:val="16"/>
          <w:szCs w:val="16"/>
          <w:color w:val="41516E"/>
        </w:rPr>
      </w:pPr>
      <w:r>
        <w:rPr>
          <w:rFonts w:ascii="Arial" w:cs="Arial" w:eastAsia="Arial" w:hAnsi="Arial"/>
          <w:sz w:val="16"/>
          <w:szCs w:val="16"/>
          <w:color w:val="41516E"/>
        </w:rPr>
        <w:t>2,964 option shares immediately vest pursuant to his March 1, 2021 stock option award, exercisable at a price of $1,028.71. In the hypothetical event that he exercised and sold those shares at the market price on that date, he would not have received any gross income due to the exercise price being higher than the market price.</w:t>
      </w:r>
    </w:p>
    <w:p>
      <w:pPr>
        <w:spacing w:after="0" w:line="36"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24"/>
        </w:numPr>
        <w:rPr>
          <w:rFonts w:ascii="Arial" w:cs="Arial" w:eastAsia="Arial" w:hAnsi="Arial"/>
          <w:sz w:val="16"/>
          <w:szCs w:val="16"/>
          <w:color w:val="41516E"/>
        </w:rPr>
      </w:pPr>
      <w:r>
        <w:rPr>
          <w:rFonts w:ascii="Arial" w:cs="Arial" w:eastAsia="Arial" w:hAnsi="Arial"/>
          <w:sz w:val="16"/>
          <w:szCs w:val="16"/>
          <w:color w:val="41516E"/>
        </w:rPr>
        <w:t>10,935 option shares immediately vest pursuant to his special March 1, 2021 stock option award, exercisable at a price of $1,028.71. In the hypothetical event that he exercised and sold those shares at the market price on that date, he would not have received any gross income due to the exercise price being higher than the 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100330</wp:posOffset>
            </wp:positionV>
            <wp:extent cx="8572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45</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left="180" w:hanging="172"/>
        <w:spacing w:after="0" w:line="266" w:lineRule="auto"/>
        <w:tabs>
          <w:tab w:leader="none" w:pos="180" w:val="left"/>
        </w:tabs>
        <w:numPr>
          <w:ilvl w:val="0"/>
          <w:numId w:val="25"/>
        </w:numPr>
        <w:rPr>
          <w:rFonts w:ascii="Arial" w:cs="Arial" w:eastAsia="Arial" w:hAnsi="Arial"/>
          <w:sz w:val="16"/>
          <w:szCs w:val="16"/>
          <w:color w:val="41516E"/>
        </w:rPr>
      </w:pPr>
      <w:r>
        <w:rPr>
          <w:rFonts w:ascii="Arial" w:cs="Arial" w:eastAsia="Arial" w:hAnsi="Arial"/>
          <w:sz w:val="16"/>
          <w:szCs w:val="16"/>
          <w:color w:val="41516E"/>
        </w:rPr>
        <w:t>11,230 option shares immediately vest pursuant to his March 1, 2022 stock option award, exercisable at a price of $383.46. In the hypothetical event that he exercised and sold those shares at the market price on that date, he would not have received any gross income due to the exercise price being higher than the market price.</w:t>
      </w:r>
    </w:p>
    <w:p>
      <w:pPr>
        <w:spacing w:after="0" w:line="36"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25"/>
        </w:numPr>
        <w:rPr>
          <w:rFonts w:ascii="Arial" w:cs="Arial" w:eastAsia="Arial" w:hAnsi="Arial"/>
          <w:sz w:val="16"/>
          <w:szCs w:val="16"/>
          <w:color w:val="41516E"/>
        </w:rPr>
      </w:pPr>
      <w:r>
        <w:rPr>
          <w:rFonts w:ascii="Arial" w:cs="Arial" w:eastAsia="Arial" w:hAnsi="Arial"/>
          <w:sz w:val="16"/>
          <w:szCs w:val="16"/>
          <w:color w:val="41516E"/>
        </w:rPr>
        <w:t>12,430 option shares immediately vest pursuant to his March 1, 2023 stock option award, exercisable at a price of $323.80. In the hypothetical event that he exercised and sold those shares at the market price on that date, he would have received gross income of $270,850.</w:t>
      </w:r>
    </w:p>
    <w:p>
      <w:pPr>
        <w:spacing w:after="0" w:line="20"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25"/>
        </w:numPr>
        <w:rPr>
          <w:rFonts w:ascii="Arial" w:cs="Arial" w:eastAsia="Arial" w:hAnsi="Arial"/>
          <w:sz w:val="16"/>
          <w:szCs w:val="16"/>
          <w:color w:val="41516E"/>
        </w:rPr>
      </w:pPr>
      <w:r>
        <w:rPr>
          <w:rFonts w:ascii="Arial" w:cs="Arial" w:eastAsia="Arial" w:hAnsi="Arial"/>
          <w:sz w:val="16"/>
          <w:szCs w:val="16"/>
          <w:color w:val="41516E"/>
        </w:rPr>
        <w:t>16,957 RSUs immediately vest pursuant to the terms of those awards. In the hypothetical event that he sold those shares at the market price on that date, he would have received gross income of $5,735,757.</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41516E"/>
        </w:rPr>
        <w:t>In aggregate, Mr. Burwick would have received gross income of $6,006,607 upon the occurrence of the hypothetical events described above.</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Diego Reynoso</w:t>
      </w:r>
    </w:p>
    <w:p>
      <w:pPr>
        <w:spacing w:after="0" w:line="20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41516E"/>
        </w:rPr>
        <w:t>In the hypothetical event of Mr. Reynoso’s death, disability, or Qualified Termination on December 30, 2023, he (or his estate in the event of death) would have had:</w:t>
      </w:r>
    </w:p>
    <w:p>
      <w:pPr>
        <w:spacing w:after="0" w:line="129" w:lineRule="exact"/>
        <w:rPr>
          <w:sz w:val="20"/>
          <w:szCs w:val="20"/>
          <w:color w:val="auto"/>
        </w:rPr>
      </w:pPr>
    </w:p>
    <w:p>
      <w:pPr>
        <w:ind w:left="180" w:hanging="172"/>
        <w:spacing w:after="0" w:line="286" w:lineRule="auto"/>
        <w:tabs>
          <w:tab w:leader="none" w:pos="180" w:val="left"/>
        </w:tabs>
        <w:numPr>
          <w:ilvl w:val="0"/>
          <w:numId w:val="26"/>
        </w:numPr>
        <w:rPr>
          <w:rFonts w:ascii="Arial" w:cs="Arial" w:eastAsia="Arial" w:hAnsi="Arial"/>
          <w:sz w:val="16"/>
          <w:szCs w:val="16"/>
          <w:color w:val="41516E"/>
        </w:rPr>
      </w:pPr>
      <w:r>
        <w:rPr>
          <w:rFonts w:ascii="Arial" w:cs="Arial" w:eastAsia="Arial" w:hAnsi="Arial"/>
          <w:sz w:val="16"/>
          <w:szCs w:val="16"/>
          <w:color w:val="41516E"/>
        </w:rPr>
        <w:t>9,717 option shares immediately vest pursuant to his October 21, 2023 stock option award, exercisable at a price of $333.50. In the hypothetical event that he exercised and sold those shares at the market price on that date, he would have received gross income of $117,479.</w:t>
      </w:r>
    </w:p>
    <w:p>
      <w:pPr>
        <w:spacing w:after="0" w:line="20" w:lineRule="exact"/>
        <w:rPr>
          <w:rFonts w:ascii="Arial" w:cs="Arial" w:eastAsia="Arial" w:hAnsi="Arial"/>
          <w:sz w:val="16"/>
          <w:szCs w:val="16"/>
          <w:color w:val="41516E"/>
        </w:rPr>
      </w:pPr>
    </w:p>
    <w:p>
      <w:pPr>
        <w:ind w:left="180" w:right="20" w:hanging="172"/>
        <w:spacing w:after="0" w:line="286" w:lineRule="auto"/>
        <w:tabs>
          <w:tab w:leader="none" w:pos="180" w:val="left"/>
        </w:tabs>
        <w:numPr>
          <w:ilvl w:val="0"/>
          <w:numId w:val="26"/>
        </w:numPr>
        <w:rPr>
          <w:rFonts w:ascii="Arial" w:cs="Arial" w:eastAsia="Arial" w:hAnsi="Arial"/>
          <w:sz w:val="16"/>
          <w:szCs w:val="16"/>
          <w:color w:val="41516E"/>
        </w:rPr>
      </w:pPr>
      <w:r>
        <w:rPr>
          <w:rFonts w:ascii="Arial" w:cs="Arial" w:eastAsia="Arial" w:hAnsi="Arial"/>
          <w:sz w:val="16"/>
          <w:szCs w:val="16"/>
          <w:color w:val="41516E"/>
        </w:rPr>
        <w:t>4,498 RSUs immediately vest pursuant to the terms of those awards. In the hypothetical event that he sold those shares at the market price on that date, he would have received gross income of $1,554,464.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41516E"/>
        </w:rPr>
        <w:t>In aggregate, Mr. Reynoso would have received gross income of $1,671,942 upon the occurrence of the hypothetical events described above.</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Matthew D. Murphy</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In the hypothetical event of Mr. Murphy’s death, disability, or Qualified Termination on December 30, 2023, he (or his estate in the event of death) would have had:</w:t>
      </w:r>
    </w:p>
    <w:p>
      <w:pPr>
        <w:spacing w:after="0" w:line="129" w:lineRule="exact"/>
        <w:rPr>
          <w:sz w:val="20"/>
          <w:szCs w:val="20"/>
          <w:color w:val="auto"/>
        </w:rPr>
      </w:pPr>
    </w:p>
    <w:p>
      <w:pPr>
        <w:ind w:left="180" w:right="20" w:hanging="172"/>
        <w:spacing w:after="0" w:line="286" w:lineRule="auto"/>
        <w:tabs>
          <w:tab w:leader="none" w:pos="180" w:val="left"/>
        </w:tabs>
        <w:numPr>
          <w:ilvl w:val="0"/>
          <w:numId w:val="27"/>
        </w:numPr>
        <w:rPr>
          <w:rFonts w:ascii="Arial" w:cs="Arial" w:eastAsia="Arial" w:hAnsi="Arial"/>
          <w:sz w:val="16"/>
          <w:szCs w:val="16"/>
          <w:color w:val="41516E"/>
        </w:rPr>
      </w:pPr>
      <w:r>
        <w:rPr>
          <w:rFonts w:ascii="Arial" w:cs="Arial" w:eastAsia="Arial" w:hAnsi="Arial"/>
          <w:sz w:val="16"/>
          <w:szCs w:val="16"/>
          <w:color w:val="41516E"/>
        </w:rPr>
        <w:t>2,078 option shares immediately vest pursuant to his January 1, 2016 stock option award, exercisable at a price of $201.91. In the hypothetical event that he exercised and sold those shares at the market price on that date, he would have received gross income of $298,567.</w:t>
      </w:r>
    </w:p>
    <w:p>
      <w:pPr>
        <w:spacing w:after="0" w:line="20"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27"/>
        </w:numPr>
        <w:rPr>
          <w:rFonts w:ascii="Arial" w:cs="Arial" w:eastAsia="Arial" w:hAnsi="Arial"/>
          <w:sz w:val="16"/>
          <w:szCs w:val="16"/>
          <w:color w:val="41516E"/>
        </w:rPr>
      </w:pPr>
      <w:r>
        <w:rPr>
          <w:rFonts w:ascii="Arial" w:cs="Arial" w:eastAsia="Arial" w:hAnsi="Arial"/>
          <w:sz w:val="16"/>
          <w:szCs w:val="16"/>
          <w:color w:val="41516E"/>
        </w:rPr>
        <w:t>771 option shares immediately vest pursuant to his March 1, 2023 stock option award, exercisable at a price of $323.80. In the hypothetical event that he exercised and sold those shares at the market price on that date, he would have received gross income of $16,800.</w:t>
      </w:r>
    </w:p>
    <w:p>
      <w:pPr>
        <w:spacing w:after="0" w:line="20"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27"/>
        </w:numPr>
        <w:rPr>
          <w:rFonts w:ascii="Arial" w:cs="Arial" w:eastAsia="Arial" w:hAnsi="Arial"/>
          <w:sz w:val="16"/>
          <w:szCs w:val="16"/>
          <w:color w:val="41516E"/>
        </w:rPr>
      </w:pPr>
      <w:r>
        <w:rPr>
          <w:rFonts w:ascii="Arial" w:cs="Arial" w:eastAsia="Arial" w:hAnsi="Arial"/>
          <w:sz w:val="16"/>
          <w:szCs w:val="16"/>
          <w:color w:val="41516E"/>
        </w:rPr>
        <w:t>3,944 option shares immediately vest pursuant to his May 15, 2023 stock option award, exercisable at a price of $308.80. In the hypothetical event that he exercised and sold those shares at the market price on that date, he would have received gross income of $145,100.</w:t>
      </w:r>
    </w:p>
    <w:p>
      <w:pPr>
        <w:spacing w:after="0" w:line="20" w:lineRule="exact"/>
        <w:rPr>
          <w:rFonts w:ascii="Arial" w:cs="Arial" w:eastAsia="Arial" w:hAnsi="Arial"/>
          <w:sz w:val="16"/>
          <w:szCs w:val="16"/>
          <w:color w:val="41516E"/>
        </w:rPr>
      </w:pPr>
    </w:p>
    <w:p>
      <w:pPr>
        <w:ind w:left="180" w:right="20" w:hanging="172"/>
        <w:spacing w:after="0" w:line="286" w:lineRule="auto"/>
        <w:tabs>
          <w:tab w:leader="none" w:pos="180" w:val="left"/>
        </w:tabs>
        <w:numPr>
          <w:ilvl w:val="0"/>
          <w:numId w:val="27"/>
        </w:numPr>
        <w:rPr>
          <w:rFonts w:ascii="Arial" w:cs="Arial" w:eastAsia="Arial" w:hAnsi="Arial"/>
          <w:sz w:val="16"/>
          <w:szCs w:val="16"/>
          <w:color w:val="41516E"/>
        </w:rPr>
      </w:pPr>
      <w:r>
        <w:rPr>
          <w:rFonts w:ascii="Arial" w:cs="Arial" w:eastAsia="Arial" w:hAnsi="Arial"/>
          <w:sz w:val="16"/>
          <w:szCs w:val="16"/>
          <w:color w:val="41516E"/>
        </w:rPr>
        <w:t>1,150 RSUs immediately vest pursuant to the terms of those awards. In the hypothetical event that he sold those shares at the market price on that date, he would have received gross income of $397,429.</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41516E"/>
        </w:rPr>
        <w:t>In aggregate, Mr. Murphy would have received gross income of $857,895 upon the occurrence of the hypothetical events described above.</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Philip A. Hodges</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In the hypothetical event of Mr. Hodges’ death, disability, or Qualified Termination on December 30, 2023, he (or his estate in the event of death) would have had:</w:t>
      </w:r>
    </w:p>
    <w:p>
      <w:pPr>
        <w:spacing w:after="0" w:line="129" w:lineRule="exact"/>
        <w:rPr>
          <w:sz w:val="20"/>
          <w:szCs w:val="20"/>
          <w:color w:val="auto"/>
        </w:rPr>
      </w:pPr>
    </w:p>
    <w:p>
      <w:pPr>
        <w:ind w:left="180" w:hanging="172"/>
        <w:spacing w:after="0" w:line="286" w:lineRule="auto"/>
        <w:tabs>
          <w:tab w:leader="none" w:pos="180" w:val="left"/>
        </w:tabs>
        <w:numPr>
          <w:ilvl w:val="0"/>
          <w:numId w:val="28"/>
        </w:numPr>
        <w:rPr>
          <w:rFonts w:ascii="Arial" w:cs="Arial" w:eastAsia="Arial" w:hAnsi="Arial"/>
          <w:sz w:val="16"/>
          <w:szCs w:val="16"/>
          <w:color w:val="41516E"/>
        </w:rPr>
      </w:pPr>
      <w:r>
        <w:rPr>
          <w:rFonts w:ascii="Arial" w:cs="Arial" w:eastAsia="Arial" w:hAnsi="Arial"/>
          <w:sz w:val="16"/>
          <w:szCs w:val="16"/>
          <w:color w:val="41516E"/>
        </w:rPr>
        <w:t>19,624 option shares immediately vest pursuant to his May 24, 2023 stock option awards, exercisable at a price of $330.68. In the hypothetical event that he exercised and sold those shares at the market price on that date, he would have received gross income of $292,594.</w:t>
      </w:r>
    </w:p>
    <w:p>
      <w:pPr>
        <w:spacing w:after="0" w:line="20"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28"/>
        </w:numPr>
        <w:rPr>
          <w:rFonts w:ascii="Arial" w:cs="Arial" w:eastAsia="Arial" w:hAnsi="Arial"/>
          <w:sz w:val="16"/>
          <w:szCs w:val="16"/>
          <w:color w:val="41516E"/>
        </w:rPr>
      </w:pPr>
      <w:r>
        <w:rPr>
          <w:rFonts w:ascii="Arial" w:cs="Arial" w:eastAsia="Arial" w:hAnsi="Arial"/>
          <w:sz w:val="16"/>
          <w:szCs w:val="16"/>
          <w:color w:val="41516E"/>
        </w:rPr>
        <w:t>15,122 RSUs immediately vest pursuant to the terms of those awards. In the hypothetical event that he sold those shares at the market price on that date, he would have received gross income of $5,226,012.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41516E"/>
        </w:rPr>
        <w:t>In aggregate, Mr. Hodges would have received gross income of $5,518,606 upon the occurrence of the hypothetical events described above.</w:t>
      </w:r>
    </w:p>
    <w:p>
      <w:pPr>
        <w:spacing w:after="0" w:line="174"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John C. Geist</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In the hypothetical event of Mr. Geist’s death, disability, or Qualified Termination on December 30, 2023 he (or his estate in the event of death) would have had:</w:t>
      </w:r>
    </w:p>
    <w:p>
      <w:pPr>
        <w:spacing w:after="0" w:line="129" w:lineRule="exact"/>
        <w:rPr>
          <w:sz w:val="20"/>
          <w:szCs w:val="20"/>
          <w:color w:val="auto"/>
        </w:rPr>
      </w:pPr>
    </w:p>
    <w:p>
      <w:pPr>
        <w:ind w:left="180" w:hanging="172"/>
        <w:spacing w:after="0" w:line="286" w:lineRule="auto"/>
        <w:tabs>
          <w:tab w:leader="none" w:pos="180" w:val="left"/>
        </w:tabs>
        <w:numPr>
          <w:ilvl w:val="0"/>
          <w:numId w:val="29"/>
        </w:numPr>
        <w:rPr>
          <w:rFonts w:ascii="Arial" w:cs="Arial" w:eastAsia="Arial" w:hAnsi="Arial"/>
          <w:sz w:val="16"/>
          <w:szCs w:val="16"/>
          <w:color w:val="41516E"/>
        </w:rPr>
      </w:pPr>
      <w:r>
        <w:rPr>
          <w:rFonts w:ascii="Arial" w:cs="Arial" w:eastAsia="Arial" w:hAnsi="Arial"/>
          <w:sz w:val="16"/>
          <w:szCs w:val="16"/>
          <w:color w:val="41516E"/>
        </w:rPr>
        <w:t>12,524 option shares immediately vest pursuant to his January 1, 2016 stock option award, exercisable at a price of $201.91. In the hypothetical event that he exercised and sold those shares at the market price on that date, he would have received gross income of $1,799,448.</w:t>
      </w:r>
    </w:p>
    <w:p>
      <w:pPr>
        <w:spacing w:after="0" w:line="20"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29"/>
        </w:numPr>
        <w:rPr>
          <w:rFonts w:ascii="Arial" w:cs="Arial" w:eastAsia="Arial" w:hAnsi="Arial"/>
          <w:sz w:val="16"/>
          <w:szCs w:val="16"/>
          <w:color w:val="41516E"/>
        </w:rPr>
      </w:pPr>
      <w:r>
        <w:rPr>
          <w:rFonts w:ascii="Arial" w:cs="Arial" w:eastAsia="Arial" w:hAnsi="Arial"/>
          <w:sz w:val="16"/>
          <w:szCs w:val="16"/>
          <w:color w:val="41516E"/>
        </w:rPr>
        <w:t>628 option shares immediately vest pursuant to his March 1, 2020 stock option award, exercisable at a price of $370.79. In the hypothetical event that he exercised and sold those shares at the market price on that date, he would not have received any gross income due to the exercise price being higher than the market price.</w:t>
      </w:r>
    </w:p>
    <w:p>
      <w:pPr>
        <w:spacing w:after="0" w:line="36"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29"/>
        </w:numPr>
        <w:rPr>
          <w:rFonts w:ascii="Arial" w:cs="Arial" w:eastAsia="Arial" w:hAnsi="Arial"/>
          <w:sz w:val="16"/>
          <w:szCs w:val="16"/>
          <w:color w:val="41516E"/>
        </w:rPr>
      </w:pPr>
      <w:r>
        <w:rPr>
          <w:rFonts w:ascii="Arial" w:cs="Arial" w:eastAsia="Arial" w:hAnsi="Arial"/>
          <w:sz w:val="16"/>
          <w:szCs w:val="16"/>
          <w:color w:val="41516E"/>
        </w:rPr>
        <w:t>417 option shares immediately vest pursuant to his March 1, 2021 stock option award, exercisable at a price of $1,028.71. In the hypothetical event that he exercised and sold those shares at the market price on that date, he would not have received any gross income due to the exercise price being higher than the market price.</w:t>
      </w:r>
    </w:p>
    <w:p>
      <w:pPr>
        <w:spacing w:after="0" w:line="36"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29"/>
        </w:numPr>
        <w:rPr>
          <w:rFonts w:ascii="Arial" w:cs="Arial" w:eastAsia="Arial" w:hAnsi="Arial"/>
          <w:sz w:val="16"/>
          <w:szCs w:val="16"/>
          <w:color w:val="41516E"/>
        </w:rPr>
      </w:pPr>
      <w:r>
        <w:rPr>
          <w:rFonts w:ascii="Arial" w:cs="Arial" w:eastAsia="Arial" w:hAnsi="Arial"/>
          <w:sz w:val="16"/>
          <w:szCs w:val="16"/>
          <w:color w:val="41516E"/>
        </w:rPr>
        <w:t>1,627 option shares immediately vest pursuant to his March 1, 2022 stock option award, exercisable at a price of $383.46. In the hypothetical event that he exercised and sold those shares at the market price on that date, he would not have received any gross income due to the exercise price being higher than the market price.</w:t>
      </w:r>
    </w:p>
    <w:p>
      <w:pPr>
        <w:spacing w:after="0" w:line="36"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29"/>
        </w:numPr>
        <w:rPr>
          <w:rFonts w:ascii="Arial" w:cs="Arial" w:eastAsia="Arial" w:hAnsi="Arial"/>
          <w:sz w:val="16"/>
          <w:szCs w:val="16"/>
          <w:color w:val="41516E"/>
        </w:rPr>
      </w:pPr>
      <w:r>
        <w:rPr>
          <w:rFonts w:ascii="Arial" w:cs="Arial" w:eastAsia="Arial" w:hAnsi="Arial"/>
          <w:sz w:val="16"/>
          <w:szCs w:val="16"/>
          <w:color w:val="41516E"/>
        </w:rPr>
        <w:t>3,084 option shares immediately vest pursuant to his March 1, 2023 stock option award, exercisable at a price of $323.80. In the hypothetical event that he exercised and sold those shares at the market price on that date, he would have received gross income of $67,200.</w:t>
      </w:r>
    </w:p>
    <w:p>
      <w:pPr>
        <w:spacing w:after="0" w:line="20" w:lineRule="exact"/>
        <w:rPr>
          <w:rFonts w:ascii="Arial" w:cs="Arial" w:eastAsia="Arial" w:hAnsi="Arial"/>
          <w:sz w:val="16"/>
          <w:szCs w:val="16"/>
          <w:color w:val="41516E"/>
        </w:rPr>
      </w:pPr>
    </w:p>
    <w:p>
      <w:pPr>
        <w:ind w:left="180" w:right="20" w:hanging="172"/>
        <w:spacing w:after="0" w:line="286" w:lineRule="auto"/>
        <w:tabs>
          <w:tab w:leader="none" w:pos="180" w:val="left"/>
        </w:tabs>
        <w:numPr>
          <w:ilvl w:val="0"/>
          <w:numId w:val="29"/>
        </w:numPr>
        <w:rPr>
          <w:rFonts w:ascii="Arial" w:cs="Arial" w:eastAsia="Arial" w:hAnsi="Arial"/>
          <w:sz w:val="16"/>
          <w:szCs w:val="16"/>
          <w:color w:val="41516E"/>
        </w:rPr>
      </w:pPr>
      <w:r>
        <w:rPr>
          <w:rFonts w:ascii="Arial" w:cs="Arial" w:eastAsia="Arial" w:hAnsi="Arial"/>
          <w:sz w:val="16"/>
          <w:szCs w:val="16"/>
          <w:color w:val="41516E"/>
        </w:rPr>
        <w:t>5,127 RSUs immediately vest pursuant to the terms of those awards. In the hypothetical event that he sold those shares at the market price on that date, he would have received gross income of $1,771,840.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41516E"/>
        </w:rPr>
        <w:t>In aggregate, Mr. Geist would have received gross income of $3,638,489 upon the occurrence of the hypothetical events described above.</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Lesya Lysyj</w:t>
      </w:r>
    </w:p>
    <w:p>
      <w:pPr>
        <w:spacing w:after="0" w:line="330"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In the hypothetical event of Ms. Lysyj’s death, disability, or Qualified Termination on December 30, 2023, she (or her estate in the event of death) would have had:</w:t>
      </w:r>
    </w:p>
    <w:p>
      <w:pPr>
        <w:spacing w:after="0" w:line="129" w:lineRule="exact"/>
        <w:rPr>
          <w:sz w:val="20"/>
          <w:szCs w:val="20"/>
          <w:color w:val="auto"/>
        </w:rPr>
      </w:pPr>
    </w:p>
    <w:p>
      <w:pPr>
        <w:ind w:left="180" w:right="20" w:hanging="172"/>
        <w:spacing w:after="0" w:line="286" w:lineRule="auto"/>
        <w:tabs>
          <w:tab w:leader="none" w:pos="180" w:val="left"/>
        </w:tabs>
        <w:numPr>
          <w:ilvl w:val="0"/>
          <w:numId w:val="30"/>
        </w:numPr>
        <w:rPr>
          <w:rFonts w:ascii="Arial" w:cs="Arial" w:eastAsia="Arial" w:hAnsi="Arial"/>
          <w:sz w:val="16"/>
          <w:szCs w:val="16"/>
          <w:color w:val="41516E"/>
        </w:rPr>
      </w:pPr>
      <w:r>
        <w:rPr>
          <w:rFonts w:ascii="Arial" w:cs="Arial" w:eastAsia="Arial" w:hAnsi="Arial"/>
          <w:sz w:val="16"/>
          <w:szCs w:val="16"/>
          <w:color w:val="41516E"/>
        </w:rPr>
        <w:t>2,957 option shares immediately vest pursuant to her April 28, 2019 stock option award, exercisable at a price of $304.56. In the hypothetical event that she exercised and sold those shares at the market price on that date, she would have received gross income of $121,326.</w:t>
      </w:r>
    </w:p>
    <w:p>
      <w:pPr>
        <w:spacing w:after="0" w:line="20"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30"/>
        </w:numPr>
        <w:rPr>
          <w:rFonts w:ascii="Arial" w:cs="Arial" w:eastAsia="Arial" w:hAnsi="Arial"/>
          <w:sz w:val="16"/>
          <w:szCs w:val="16"/>
          <w:color w:val="41516E"/>
        </w:rPr>
      </w:pPr>
      <w:r>
        <w:rPr>
          <w:rFonts w:ascii="Arial" w:cs="Arial" w:eastAsia="Arial" w:hAnsi="Arial"/>
          <w:sz w:val="16"/>
          <w:szCs w:val="16"/>
          <w:color w:val="41516E"/>
        </w:rPr>
        <w:t>557 option shares immediately vest pursuant to her March 1, 2020 stock option award, exercisable at a price of $370.79. In the hypothetical event that she exercised and sold those shares at the market price on that date, she would not have received any gross income due to the exercise price being higher than the market price.</w:t>
      </w:r>
    </w:p>
    <w:p>
      <w:pPr>
        <w:spacing w:after="0" w:line="36"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30"/>
        </w:numPr>
        <w:rPr>
          <w:rFonts w:ascii="Arial" w:cs="Arial" w:eastAsia="Arial" w:hAnsi="Arial"/>
          <w:sz w:val="16"/>
          <w:szCs w:val="16"/>
          <w:color w:val="41516E"/>
        </w:rPr>
      </w:pPr>
      <w:r>
        <w:rPr>
          <w:rFonts w:ascii="Arial" w:cs="Arial" w:eastAsia="Arial" w:hAnsi="Arial"/>
          <w:sz w:val="16"/>
          <w:szCs w:val="16"/>
          <w:color w:val="41516E"/>
        </w:rPr>
        <w:t>363 option shares immediately vest pursuant to her March 1, 2021 stock option award, exercisable at a price of $1,028.71. In the hypothetical event that she exercised and sold those shares at the market price on that date, she would not have received any gross income due to the exercise price being higher than the market price.</w:t>
      </w:r>
    </w:p>
    <w:p>
      <w:pPr>
        <w:spacing w:after="0" w:line="36"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30"/>
        </w:numPr>
        <w:rPr>
          <w:rFonts w:ascii="Arial" w:cs="Arial" w:eastAsia="Arial" w:hAnsi="Arial"/>
          <w:sz w:val="16"/>
          <w:szCs w:val="16"/>
          <w:color w:val="41516E"/>
        </w:rPr>
      </w:pPr>
      <w:r>
        <w:rPr>
          <w:rFonts w:ascii="Arial" w:cs="Arial" w:eastAsia="Arial" w:hAnsi="Arial"/>
          <w:sz w:val="16"/>
          <w:szCs w:val="16"/>
          <w:color w:val="41516E"/>
        </w:rPr>
        <w:t>1,415 option shares immediately vest pursuant to her March 1, 2022 stock option award, exercisable at a price of $383.46. In the hypothetical event that she exercised and sold those shares at the market price on that date, she would not have received any gross income due to the exercise price being higher than the market price.</w:t>
      </w:r>
    </w:p>
    <w:p>
      <w:pPr>
        <w:spacing w:after="0" w:line="36"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30"/>
        </w:numPr>
        <w:rPr>
          <w:rFonts w:ascii="Arial" w:cs="Arial" w:eastAsia="Arial" w:hAnsi="Arial"/>
          <w:sz w:val="16"/>
          <w:szCs w:val="16"/>
          <w:color w:val="41516E"/>
        </w:rPr>
      </w:pPr>
      <w:r>
        <w:rPr>
          <w:rFonts w:ascii="Arial" w:cs="Arial" w:eastAsia="Arial" w:hAnsi="Arial"/>
          <w:sz w:val="16"/>
          <w:szCs w:val="16"/>
          <w:color w:val="41516E"/>
        </w:rPr>
        <w:t>1,697 option shares immediately vest pursuant to her March 1, 2023 stock option award, exercisable at a price of $323.80. In the hypothetical event that she exercised and sold those shares at the market price on that date, she would have received gross income of $36,978.</w:t>
      </w:r>
    </w:p>
    <w:p>
      <w:pPr>
        <w:spacing w:after="0" w:line="20" w:lineRule="exact"/>
        <w:rPr>
          <w:rFonts w:ascii="Arial" w:cs="Arial" w:eastAsia="Arial" w:hAnsi="Arial"/>
          <w:sz w:val="16"/>
          <w:szCs w:val="16"/>
          <w:color w:val="41516E"/>
        </w:rPr>
      </w:pPr>
    </w:p>
    <w:p>
      <w:pPr>
        <w:ind w:left="180" w:right="20" w:hanging="172"/>
        <w:spacing w:after="0" w:line="286" w:lineRule="auto"/>
        <w:tabs>
          <w:tab w:leader="none" w:pos="180" w:val="left"/>
        </w:tabs>
        <w:numPr>
          <w:ilvl w:val="0"/>
          <w:numId w:val="30"/>
        </w:numPr>
        <w:rPr>
          <w:rFonts w:ascii="Arial" w:cs="Arial" w:eastAsia="Arial" w:hAnsi="Arial"/>
          <w:sz w:val="16"/>
          <w:szCs w:val="16"/>
          <w:color w:val="41516E"/>
        </w:rPr>
      </w:pPr>
      <w:r>
        <w:rPr>
          <w:rFonts w:ascii="Arial" w:cs="Arial" w:eastAsia="Arial" w:hAnsi="Arial"/>
          <w:sz w:val="16"/>
          <w:szCs w:val="16"/>
          <w:color w:val="41516E"/>
        </w:rPr>
        <w:t>1,624 RSUs immediately vest pursuant to the terms of those awards. In the hypothetical event that she sold those shares at the market price on that date, she would have received gross income of $561,238.</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41516E"/>
        </w:rPr>
        <w:t>In aggregate, Ms. Lysyj would have received gross income of $719,542 upon occurrence of the hypothetical events described above.</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Frank H. Smalla</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41516E"/>
        </w:rPr>
        <w:t>Mr. Smalla stepped down from his position with the Company as of April 14, 2023. Accordingly, he had no unvested equity as of December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132080</wp:posOffset>
            </wp:positionV>
            <wp:extent cx="8572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47</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Pay </w:t>
      </w:r>
      <w:r>
        <w:rPr>
          <w:rFonts w:ascii="Arial" w:cs="Arial" w:eastAsia="Arial" w:hAnsi="Arial"/>
          <w:sz w:val="47"/>
          <w:szCs w:val="47"/>
          <w:b w:val="1"/>
          <w:bCs w:val="1"/>
          <w:color w:val="798297"/>
        </w:rPr>
        <w:t>Versus Performance Disclosure</w:t>
      </w:r>
    </w:p>
    <w:p>
      <w:pPr>
        <w:spacing w:after="0" w:line="214"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The following table sets forth information regarding compensation actually paid to our CEO and other NEOs and the financial performance of the Company for the last five fiscal years.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41516E"/>
              </w:rPr>
              <w:t>Average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41516E"/>
              </w:rPr>
              <w:t>Value of Initial Fixed $100</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41516E"/>
              </w:rPr>
              <w:t>Summary</w:t>
            </w:r>
          </w:p>
        </w:tc>
        <w:tc>
          <w:tcPr>
            <w:tcW w:w="2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41516E"/>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41516E"/>
              </w:rPr>
              <w:t>Investment Based On:</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68"/>
        </w:trPr>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39"/>
              <w:spacing w:after="0" w:line="168" w:lineRule="exact"/>
              <w:rPr>
                <w:sz w:val="20"/>
                <w:szCs w:val="20"/>
                <w:color w:val="auto"/>
              </w:rPr>
            </w:pPr>
            <w:r>
              <w:rPr>
                <w:rFonts w:ascii="Arial" w:cs="Arial" w:eastAsia="Arial" w:hAnsi="Arial"/>
                <w:sz w:val="16"/>
                <w:szCs w:val="16"/>
                <w:b w:val="1"/>
                <w:bCs w:val="1"/>
                <w:color w:val="41516E"/>
              </w:rPr>
              <w:t>Summary</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ind w:left="120"/>
              <w:spacing w:after="0" w:line="168" w:lineRule="exact"/>
              <w:rPr>
                <w:sz w:val="20"/>
                <w:szCs w:val="20"/>
                <w:color w:val="auto"/>
              </w:rPr>
            </w:pPr>
            <w:r>
              <w:rPr>
                <w:rFonts w:ascii="Arial" w:cs="Arial" w:eastAsia="Arial" w:hAnsi="Arial"/>
                <w:sz w:val="16"/>
                <w:szCs w:val="16"/>
                <w:b w:val="1"/>
                <w:bCs w:val="1"/>
                <w:color w:val="41516E"/>
              </w:rPr>
              <w:t>Compensation</w:t>
            </w:r>
          </w:p>
        </w:tc>
        <w:tc>
          <w:tcPr>
            <w:tcW w:w="1380" w:type="dxa"/>
            <w:vAlign w:val="bottom"/>
            <w:gridSpan w:val="2"/>
          </w:tcPr>
          <w:p>
            <w:pPr>
              <w:ind w:left="120"/>
              <w:spacing w:after="0" w:line="168" w:lineRule="exact"/>
              <w:rPr>
                <w:sz w:val="20"/>
                <w:szCs w:val="20"/>
                <w:color w:val="auto"/>
              </w:rPr>
            </w:pPr>
            <w:r>
              <w:rPr>
                <w:rFonts w:ascii="Arial" w:cs="Arial" w:eastAsia="Arial" w:hAnsi="Arial"/>
                <w:sz w:val="16"/>
                <w:szCs w:val="16"/>
                <w:b w:val="1"/>
                <w:bCs w:val="1"/>
                <w:color w:val="41516E"/>
              </w:rPr>
              <w:t>Compensation</w:t>
            </w:r>
          </w:p>
        </w:tc>
        <w:tc>
          <w:tcPr>
            <w:tcW w:w="120" w:type="dxa"/>
            <w:vAlign w:val="bottom"/>
          </w:tcPr>
          <w:p>
            <w:pPr>
              <w:spacing w:after="0"/>
              <w:rPr>
                <w:sz w:val="14"/>
                <w:szCs w:val="14"/>
                <w:color w:val="auto"/>
              </w:rPr>
            </w:pPr>
          </w:p>
        </w:tc>
        <w:tc>
          <w:tcPr>
            <w:tcW w:w="120" w:type="dxa"/>
            <w:vAlign w:val="bottom"/>
            <w:tcBorders>
              <w:top w:val="single" w:sz="8" w:color="41516E"/>
            </w:tcBorders>
          </w:tcPr>
          <w:p>
            <w:pPr>
              <w:spacing w:after="0"/>
              <w:rPr>
                <w:sz w:val="14"/>
                <w:szCs w:val="14"/>
                <w:color w:val="auto"/>
              </w:rPr>
            </w:pPr>
          </w:p>
        </w:tc>
        <w:tc>
          <w:tcPr>
            <w:tcW w:w="1020" w:type="dxa"/>
            <w:vAlign w:val="bottom"/>
            <w:tcBorders>
              <w:top w:val="single" w:sz="8" w:color="41516E"/>
            </w:tcBorders>
          </w:tcPr>
          <w:p>
            <w:pPr>
              <w:spacing w:after="0"/>
              <w:rPr>
                <w:sz w:val="14"/>
                <w:szCs w:val="14"/>
                <w:color w:val="auto"/>
              </w:rPr>
            </w:pPr>
          </w:p>
        </w:tc>
        <w:tc>
          <w:tcPr>
            <w:tcW w:w="1080" w:type="dxa"/>
            <w:vAlign w:val="bottom"/>
            <w:tcBorders>
              <w:top w:val="single" w:sz="8" w:color="41516E"/>
            </w:tcBorders>
            <w:gridSpan w:val="2"/>
          </w:tcPr>
          <w:p>
            <w:pPr>
              <w:jc w:val="right"/>
              <w:spacing w:after="0" w:line="168" w:lineRule="exact"/>
              <w:rPr>
                <w:sz w:val="20"/>
                <w:szCs w:val="20"/>
                <w:color w:val="auto"/>
              </w:rPr>
            </w:pPr>
            <w:r>
              <w:rPr>
                <w:rFonts w:ascii="Arial" w:cs="Arial" w:eastAsia="Arial" w:hAnsi="Arial"/>
                <w:sz w:val="16"/>
                <w:szCs w:val="16"/>
                <w:b w:val="1"/>
                <w:bCs w:val="1"/>
                <w:color w:val="41516E"/>
              </w:rPr>
              <w:t>Peer Group</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62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41516E"/>
              </w:rPr>
              <w:t>Compensation</w:t>
            </w: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41516E"/>
              </w:rPr>
              <w:t>Compensation</w:t>
            </w:r>
          </w:p>
        </w:tc>
        <w:tc>
          <w:tcPr>
            <w:tcW w:w="13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41516E"/>
              </w:rPr>
              <w:t>Table Total for</w:t>
            </w:r>
          </w:p>
        </w:tc>
        <w:tc>
          <w:tcPr>
            <w:tcW w:w="22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41516E"/>
                <w:w w:val="99"/>
              </w:rPr>
              <w:t>Actually Paid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41516E"/>
              </w:rPr>
              <w:t>Total</w:t>
            </w:r>
          </w:p>
        </w:tc>
        <w:tc>
          <w:tcPr>
            <w:tcW w:w="4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41516E"/>
              </w:rPr>
              <w:t>Total</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41516E"/>
              </w:rPr>
              <w:t>Depletions</w:t>
            </w:r>
          </w:p>
        </w:tc>
      </w:tr>
      <w:tr>
        <w:trPr>
          <w:trHeight w:val="189"/>
        </w:trPr>
        <w:tc>
          <w:tcPr>
            <w:tcW w:w="620" w:type="dxa"/>
            <w:vAlign w:val="bottom"/>
          </w:tcPr>
          <w:p>
            <w:pPr>
              <w:spacing w:after="0"/>
              <w:rPr>
                <w:sz w:val="16"/>
                <w:szCs w:val="16"/>
                <w:color w:val="auto"/>
              </w:rPr>
            </w:pPr>
          </w:p>
        </w:tc>
        <w:tc>
          <w:tcPr>
            <w:tcW w:w="14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1516E"/>
              </w:rPr>
              <w:t>Table Total for</w:t>
            </w:r>
          </w:p>
        </w:tc>
        <w:tc>
          <w:tcPr>
            <w:tcW w:w="24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41516E"/>
                <w:w w:val="99"/>
              </w:rPr>
              <w:t>Actually Paid</w:t>
            </w:r>
          </w:p>
        </w:tc>
        <w:tc>
          <w:tcPr>
            <w:tcW w:w="3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41516E"/>
              </w:rPr>
              <w:t>Non-PEO</w:t>
            </w:r>
          </w:p>
        </w:tc>
        <w:tc>
          <w:tcPr>
            <w:tcW w:w="22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41516E"/>
              </w:rPr>
              <w:t>to Non-PEO</w:t>
            </w:r>
          </w:p>
        </w:tc>
        <w:tc>
          <w:tcPr>
            <w:tcW w:w="120" w:type="dxa"/>
            <w:vAlign w:val="bottom"/>
          </w:tcPr>
          <w:p>
            <w:pPr>
              <w:spacing w:after="0"/>
              <w:rPr>
                <w:sz w:val="16"/>
                <w:szCs w:val="16"/>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41516E"/>
              </w:rPr>
              <w:t>Shareholder</w:t>
            </w:r>
          </w:p>
        </w:tc>
        <w:tc>
          <w:tcPr>
            <w:tcW w:w="1220" w:type="dxa"/>
            <w:vAlign w:val="bottom"/>
            <w:gridSpan w:val="3"/>
          </w:tcPr>
          <w:p>
            <w:pPr>
              <w:ind w:left="140"/>
              <w:spacing w:after="0"/>
              <w:rPr>
                <w:sz w:val="20"/>
                <w:szCs w:val="20"/>
                <w:color w:val="auto"/>
              </w:rPr>
            </w:pPr>
            <w:r>
              <w:rPr>
                <w:rFonts w:ascii="Arial" w:cs="Arial" w:eastAsia="Arial" w:hAnsi="Arial"/>
                <w:sz w:val="16"/>
                <w:szCs w:val="16"/>
                <w:b w:val="1"/>
                <w:bCs w:val="1"/>
                <w:color w:val="41516E"/>
              </w:rPr>
              <w:t>Shareholder</w:t>
            </w:r>
          </w:p>
        </w:tc>
        <w:tc>
          <w:tcPr>
            <w:tcW w:w="24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41516E"/>
              </w:rPr>
              <w:t>Net</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41516E"/>
              </w:rPr>
              <w:t>Growth</w:t>
            </w:r>
          </w:p>
        </w:tc>
      </w:tr>
      <w:tr>
        <w:trPr>
          <w:trHeight w:val="203"/>
        </w:trPr>
        <w:tc>
          <w:tcPr>
            <w:tcW w:w="62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Year</w:t>
            </w:r>
          </w:p>
        </w:tc>
        <w:tc>
          <w:tcPr>
            <w:tcW w:w="420" w:type="dxa"/>
            <w:vAlign w:val="bottom"/>
            <w:tcBorders>
              <w:bottom w:val="single" w:sz="8" w:color="41516E"/>
            </w:tcBorders>
          </w:tcPr>
          <w:p>
            <w:pPr>
              <w:spacing w:after="0"/>
              <w:rPr>
                <w:sz w:val="17"/>
                <w:szCs w:val="17"/>
                <w:color w:val="auto"/>
              </w:rPr>
            </w:pPr>
          </w:p>
        </w:tc>
        <w:tc>
          <w:tcPr>
            <w:tcW w:w="1040" w:type="dxa"/>
            <w:vAlign w:val="bottom"/>
            <w:tcBorders>
              <w:bottom w:val="single" w:sz="8" w:color="41516E"/>
            </w:tcBorders>
          </w:tcPr>
          <w:p>
            <w:pPr>
              <w:jc w:val="right"/>
              <w:ind w:right="39"/>
              <w:spacing w:after="0"/>
              <w:rPr>
                <w:sz w:val="20"/>
                <w:szCs w:val="20"/>
                <w:color w:val="auto"/>
              </w:rPr>
            </w:pPr>
            <w:r>
              <w:rPr>
                <w:rFonts w:ascii="Arial" w:cs="Arial" w:eastAsia="Arial" w:hAnsi="Arial"/>
                <w:sz w:val="16"/>
                <w:szCs w:val="16"/>
                <w:b w:val="1"/>
                <w:bCs w:val="1"/>
                <w:color w:val="41516E"/>
              </w:rPr>
              <w:t>PEO</w:t>
            </w:r>
          </w:p>
        </w:tc>
        <w:tc>
          <w:tcPr>
            <w:tcW w:w="240" w:type="dxa"/>
            <w:vAlign w:val="bottom"/>
            <w:tcBorders>
              <w:bottom w:val="single" w:sz="8" w:color="41516E"/>
            </w:tcBorders>
          </w:tcPr>
          <w:p>
            <w:pPr>
              <w:spacing w:after="0"/>
              <w:rPr>
                <w:sz w:val="17"/>
                <w:szCs w:val="17"/>
                <w:color w:val="auto"/>
              </w:rPr>
            </w:pPr>
          </w:p>
        </w:tc>
        <w:tc>
          <w:tcPr>
            <w:tcW w:w="1160" w:type="dxa"/>
            <w:vAlign w:val="bottom"/>
            <w:tcBorders>
              <w:bottom w:val="single" w:sz="8" w:color="41516E"/>
            </w:tcBorders>
          </w:tcPr>
          <w:p>
            <w:pPr>
              <w:jc w:val="right"/>
              <w:ind w:right="59"/>
              <w:spacing w:after="0"/>
              <w:rPr>
                <w:sz w:val="20"/>
                <w:szCs w:val="20"/>
                <w:color w:val="auto"/>
              </w:rPr>
            </w:pPr>
            <w:r>
              <w:rPr>
                <w:rFonts w:ascii="Arial" w:cs="Arial" w:eastAsia="Arial" w:hAnsi="Arial"/>
                <w:sz w:val="16"/>
                <w:szCs w:val="16"/>
                <w:b w:val="1"/>
                <w:bCs w:val="1"/>
                <w:color w:val="41516E"/>
              </w:rPr>
              <w:t>to PEO</w:t>
            </w:r>
          </w:p>
        </w:tc>
        <w:tc>
          <w:tcPr>
            <w:tcW w:w="360" w:type="dxa"/>
            <w:vAlign w:val="bottom"/>
            <w:tcBorders>
              <w:bottom w:val="single" w:sz="8" w:color="41516E"/>
            </w:tcBorders>
          </w:tcPr>
          <w:p>
            <w:pPr>
              <w:spacing w:after="0"/>
              <w:rPr>
                <w:sz w:val="17"/>
                <w:szCs w:val="17"/>
                <w:color w:val="auto"/>
              </w:rPr>
            </w:pPr>
          </w:p>
        </w:tc>
        <w:tc>
          <w:tcPr>
            <w:tcW w:w="1020" w:type="dxa"/>
            <w:vAlign w:val="bottom"/>
            <w:tcBorders>
              <w:bottom w:val="single" w:sz="8" w:color="41516E"/>
            </w:tcBorders>
          </w:tcPr>
          <w:p>
            <w:pPr>
              <w:jc w:val="right"/>
              <w:ind w:right="59"/>
              <w:spacing w:after="0"/>
              <w:rPr>
                <w:sz w:val="20"/>
                <w:szCs w:val="20"/>
                <w:color w:val="auto"/>
              </w:rPr>
            </w:pPr>
            <w:r>
              <w:rPr>
                <w:rFonts w:ascii="Arial" w:cs="Arial" w:eastAsia="Arial" w:hAnsi="Arial"/>
                <w:sz w:val="16"/>
                <w:szCs w:val="16"/>
                <w:b w:val="1"/>
                <w:bCs w:val="1"/>
                <w:color w:val="41516E"/>
              </w:rPr>
              <w:t>NEOs</w:t>
            </w:r>
          </w:p>
        </w:tc>
        <w:tc>
          <w:tcPr>
            <w:tcW w:w="220" w:type="dxa"/>
            <w:vAlign w:val="bottom"/>
            <w:tcBorders>
              <w:bottom w:val="single" w:sz="8" w:color="41516E"/>
            </w:tcBorders>
          </w:tcPr>
          <w:p>
            <w:pPr>
              <w:spacing w:after="0"/>
              <w:rPr>
                <w:sz w:val="17"/>
                <w:szCs w:val="17"/>
                <w:color w:val="auto"/>
              </w:rPr>
            </w:pPr>
          </w:p>
        </w:tc>
        <w:tc>
          <w:tcPr>
            <w:tcW w:w="1160" w:type="dxa"/>
            <w:vAlign w:val="bottom"/>
            <w:tcBorders>
              <w:bottom w:val="single" w:sz="8" w:color="41516E"/>
            </w:tcBorders>
          </w:tcPr>
          <w:p>
            <w:pPr>
              <w:jc w:val="right"/>
              <w:ind w:right="59"/>
              <w:spacing w:after="0"/>
              <w:rPr>
                <w:sz w:val="20"/>
                <w:szCs w:val="20"/>
                <w:color w:val="auto"/>
              </w:rPr>
            </w:pPr>
            <w:r>
              <w:rPr>
                <w:rFonts w:ascii="Arial" w:cs="Arial" w:eastAsia="Arial" w:hAnsi="Arial"/>
                <w:sz w:val="16"/>
                <w:szCs w:val="16"/>
                <w:b w:val="1"/>
                <w:bCs w:val="1"/>
                <w:color w:val="41516E"/>
              </w:rPr>
              <w:t>NEOs</w:t>
            </w:r>
          </w:p>
        </w:tc>
        <w:tc>
          <w:tcPr>
            <w:tcW w:w="120" w:type="dxa"/>
            <w:vAlign w:val="bottom"/>
            <w:tcBorders>
              <w:bottom w:val="single" w:sz="8" w:color="41516E"/>
            </w:tcBorders>
          </w:tcPr>
          <w:p>
            <w:pPr>
              <w:spacing w:after="0"/>
              <w:rPr>
                <w:sz w:val="17"/>
                <w:szCs w:val="17"/>
                <w:color w:val="auto"/>
              </w:rPr>
            </w:pPr>
          </w:p>
        </w:tc>
        <w:tc>
          <w:tcPr>
            <w:tcW w:w="120" w:type="dxa"/>
            <w:vAlign w:val="bottom"/>
            <w:tcBorders>
              <w:bottom w:val="single" w:sz="8" w:color="41516E"/>
            </w:tcBorders>
          </w:tcPr>
          <w:p>
            <w:pPr>
              <w:spacing w:after="0"/>
              <w:rPr>
                <w:sz w:val="17"/>
                <w:szCs w:val="17"/>
                <w:color w:val="auto"/>
              </w:rPr>
            </w:pPr>
          </w:p>
        </w:tc>
        <w:tc>
          <w:tcPr>
            <w:tcW w:w="1020" w:type="dxa"/>
            <w:vAlign w:val="bottom"/>
            <w:tcBorders>
              <w:bottom w:val="single" w:sz="8" w:color="41516E"/>
            </w:tcBorders>
          </w:tcPr>
          <w:p>
            <w:pPr>
              <w:jc w:val="right"/>
              <w:ind w:right="59"/>
              <w:spacing w:after="0"/>
              <w:rPr>
                <w:sz w:val="20"/>
                <w:szCs w:val="20"/>
                <w:color w:val="auto"/>
              </w:rPr>
            </w:pPr>
            <w:r>
              <w:rPr>
                <w:rFonts w:ascii="Arial" w:cs="Arial" w:eastAsia="Arial" w:hAnsi="Arial"/>
                <w:sz w:val="16"/>
                <w:szCs w:val="16"/>
                <w:b w:val="1"/>
                <w:bCs w:val="1"/>
                <w:color w:val="41516E"/>
              </w:rPr>
              <w:t>Return</w:t>
            </w:r>
          </w:p>
        </w:tc>
        <w:tc>
          <w:tcPr>
            <w:tcW w:w="400" w:type="dxa"/>
            <w:vAlign w:val="bottom"/>
            <w:tcBorders>
              <w:bottom w:val="single" w:sz="8" w:color="41516E"/>
            </w:tcBorders>
          </w:tcPr>
          <w:p>
            <w:pPr>
              <w:spacing w:after="0"/>
              <w:rPr>
                <w:sz w:val="17"/>
                <w:szCs w:val="17"/>
                <w:color w:val="auto"/>
              </w:rPr>
            </w:pPr>
          </w:p>
        </w:tc>
        <w:tc>
          <w:tcPr>
            <w:tcW w:w="820" w:type="dxa"/>
            <w:vAlign w:val="bottom"/>
            <w:tcBorders>
              <w:bottom w:val="single" w:sz="8" w:color="41516E"/>
            </w:tcBorders>
            <w:gridSpan w:val="2"/>
          </w:tcPr>
          <w:p>
            <w:pPr>
              <w:jc w:val="right"/>
              <w:ind w:right="140"/>
              <w:spacing w:after="0"/>
              <w:rPr>
                <w:sz w:val="20"/>
                <w:szCs w:val="20"/>
                <w:color w:val="auto"/>
              </w:rPr>
            </w:pPr>
            <w:r>
              <w:rPr>
                <w:rFonts w:ascii="Arial" w:cs="Arial" w:eastAsia="Arial" w:hAnsi="Arial"/>
                <w:sz w:val="16"/>
                <w:szCs w:val="16"/>
                <w:b w:val="1"/>
                <w:bCs w:val="1"/>
                <w:color w:val="41516E"/>
              </w:rPr>
              <w:t>Return</w:t>
            </w:r>
          </w:p>
        </w:tc>
        <w:tc>
          <w:tcPr>
            <w:tcW w:w="240" w:type="dxa"/>
            <w:vAlign w:val="bottom"/>
            <w:tcBorders>
              <w:bottom w:val="single" w:sz="8" w:color="41516E"/>
            </w:tcBorders>
          </w:tcPr>
          <w:p>
            <w:pPr>
              <w:spacing w:after="0"/>
              <w:rPr>
                <w:sz w:val="17"/>
                <w:szCs w:val="17"/>
                <w:color w:val="auto"/>
              </w:rPr>
            </w:pPr>
          </w:p>
        </w:tc>
        <w:tc>
          <w:tcPr>
            <w:tcW w:w="1080" w:type="dxa"/>
            <w:vAlign w:val="bottom"/>
            <w:tcBorders>
              <w:bottom w:val="single" w:sz="8" w:color="41516E"/>
            </w:tcBorders>
          </w:tcPr>
          <w:p>
            <w:pPr>
              <w:jc w:val="right"/>
              <w:ind w:right="79"/>
              <w:spacing w:after="0"/>
              <w:rPr>
                <w:sz w:val="20"/>
                <w:szCs w:val="20"/>
                <w:color w:val="auto"/>
              </w:rPr>
            </w:pPr>
            <w:r>
              <w:rPr>
                <w:rFonts w:ascii="Arial" w:cs="Arial" w:eastAsia="Arial" w:hAnsi="Arial"/>
                <w:sz w:val="16"/>
                <w:szCs w:val="16"/>
                <w:b w:val="1"/>
                <w:bCs w:val="1"/>
                <w:color w:val="41516E"/>
              </w:rPr>
              <w:t>Income</w:t>
            </w:r>
          </w:p>
        </w:tc>
        <w:tc>
          <w:tcPr>
            <w:tcW w:w="1200" w:type="dxa"/>
            <w:vAlign w:val="bottom"/>
            <w:tcBorders>
              <w:bottom w:val="single" w:sz="8" w:color="41516E"/>
            </w:tcBorders>
          </w:tcPr>
          <w:p>
            <w:pPr>
              <w:jc w:val="right"/>
              <w:ind w:right="119"/>
              <w:spacing w:after="0"/>
              <w:rPr>
                <w:sz w:val="20"/>
                <w:szCs w:val="20"/>
                <w:color w:val="auto"/>
              </w:rPr>
            </w:pPr>
            <w:r>
              <w:rPr>
                <w:rFonts w:ascii="Arial" w:cs="Arial" w:eastAsia="Arial" w:hAnsi="Arial"/>
                <w:sz w:val="16"/>
                <w:szCs w:val="16"/>
                <w:b w:val="1"/>
                <w:bCs w:val="1"/>
                <w:color w:val="41516E"/>
              </w:rPr>
              <w:t>(%)</w:t>
            </w:r>
          </w:p>
        </w:tc>
      </w:tr>
      <w:tr>
        <w:trPr>
          <w:trHeight w:val="183"/>
        </w:trPr>
        <w:tc>
          <w:tcPr>
            <w:tcW w:w="620" w:type="dxa"/>
            <w:vAlign w:val="bottom"/>
          </w:tcPr>
          <w:p>
            <w:pPr>
              <w:ind w:left="60"/>
              <w:spacing w:after="0" w:line="183" w:lineRule="exact"/>
              <w:rPr>
                <w:sz w:val="20"/>
                <w:szCs w:val="20"/>
                <w:color w:val="auto"/>
              </w:rPr>
            </w:pPr>
            <w:r>
              <w:rPr>
                <w:rFonts w:ascii="Arial" w:cs="Arial" w:eastAsia="Arial" w:hAnsi="Arial"/>
                <w:sz w:val="16"/>
                <w:szCs w:val="16"/>
                <w:color w:val="41516E"/>
              </w:rPr>
              <w:t>2023</w:t>
            </w:r>
          </w:p>
        </w:tc>
        <w:tc>
          <w:tcPr>
            <w:tcW w:w="420" w:type="dxa"/>
            <w:vAlign w:val="bottom"/>
          </w:tcPr>
          <w:p>
            <w:pPr>
              <w:ind w:left="220"/>
              <w:spacing w:after="0" w:line="183" w:lineRule="exact"/>
              <w:rPr>
                <w:sz w:val="20"/>
                <w:szCs w:val="20"/>
                <w:color w:val="auto"/>
              </w:rPr>
            </w:pPr>
            <w:r>
              <w:rPr>
                <w:rFonts w:ascii="Arial" w:cs="Arial" w:eastAsia="Arial" w:hAnsi="Arial"/>
                <w:sz w:val="16"/>
                <w:szCs w:val="16"/>
                <w:color w:val="41516E"/>
              </w:rPr>
              <w:t>$</w:t>
            </w:r>
          </w:p>
        </w:tc>
        <w:tc>
          <w:tcPr>
            <w:tcW w:w="1040" w:type="dxa"/>
            <w:vAlign w:val="bottom"/>
          </w:tcPr>
          <w:p>
            <w:pPr>
              <w:jc w:val="right"/>
              <w:ind w:right="39"/>
              <w:spacing w:after="0" w:line="183" w:lineRule="exact"/>
              <w:rPr>
                <w:sz w:val="20"/>
                <w:szCs w:val="20"/>
                <w:color w:val="auto"/>
              </w:rPr>
            </w:pPr>
            <w:r>
              <w:rPr>
                <w:rFonts w:ascii="Arial" w:cs="Arial" w:eastAsia="Arial" w:hAnsi="Arial"/>
                <w:sz w:val="16"/>
                <w:szCs w:val="16"/>
                <w:color w:val="41516E"/>
              </w:rPr>
              <w:t>5,902,526</w:t>
            </w:r>
          </w:p>
        </w:tc>
        <w:tc>
          <w:tcPr>
            <w:tcW w:w="240" w:type="dxa"/>
            <w:vAlign w:val="bottom"/>
          </w:tcPr>
          <w:p>
            <w:pPr>
              <w:ind w:left="140"/>
              <w:spacing w:after="0" w:line="183" w:lineRule="exact"/>
              <w:rPr>
                <w:sz w:val="20"/>
                <w:szCs w:val="20"/>
                <w:color w:val="auto"/>
              </w:rPr>
            </w:pPr>
            <w:r>
              <w:rPr>
                <w:rFonts w:ascii="Arial" w:cs="Arial" w:eastAsia="Arial" w:hAnsi="Arial"/>
                <w:sz w:val="16"/>
                <w:szCs w:val="16"/>
                <w:color w:val="41516E"/>
                <w:w w:val="89"/>
              </w:rPr>
              <w:t>$</w:t>
            </w:r>
          </w:p>
        </w:tc>
        <w:tc>
          <w:tcPr>
            <w:tcW w:w="1160" w:type="dxa"/>
            <w:vAlign w:val="bottom"/>
          </w:tcPr>
          <w:p>
            <w:pPr>
              <w:jc w:val="right"/>
              <w:ind w:right="59"/>
              <w:spacing w:after="0" w:line="183" w:lineRule="exact"/>
              <w:rPr>
                <w:sz w:val="20"/>
                <w:szCs w:val="20"/>
                <w:color w:val="auto"/>
              </w:rPr>
            </w:pPr>
            <w:r>
              <w:rPr>
                <w:rFonts w:ascii="Arial" w:cs="Arial" w:eastAsia="Arial" w:hAnsi="Arial"/>
                <w:sz w:val="16"/>
                <w:szCs w:val="16"/>
                <w:color w:val="41516E"/>
              </w:rPr>
              <w:t>1,902,406</w:t>
            </w:r>
          </w:p>
        </w:tc>
        <w:tc>
          <w:tcPr>
            <w:tcW w:w="360" w:type="dxa"/>
            <w:vAlign w:val="bottom"/>
          </w:tcPr>
          <w:p>
            <w:pPr>
              <w:ind w:left="120"/>
              <w:spacing w:after="0" w:line="183" w:lineRule="exact"/>
              <w:rPr>
                <w:sz w:val="20"/>
                <w:szCs w:val="20"/>
                <w:color w:val="auto"/>
              </w:rPr>
            </w:pPr>
            <w:r>
              <w:rPr>
                <w:rFonts w:ascii="Arial" w:cs="Arial" w:eastAsia="Arial" w:hAnsi="Arial"/>
                <w:sz w:val="16"/>
                <w:szCs w:val="16"/>
                <w:color w:val="41516E"/>
              </w:rPr>
              <w:t>$</w:t>
            </w:r>
          </w:p>
        </w:tc>
        <w:tc>
          <w:tcPr>
            <w:tcW w:w="1020" w:type="dxa"/>
            <w:vAlign w:val="bottom"/>
          </w:tcPr>
          <w:p>
            <w:pPr>
              <w:jc w:val="right"/>
              <w:ind w:right="59"/>
              <w:spacing w:after="0" w:line="183" w:lineRule="exact"/>
              <w:rPr>
                <w:sz w:val="20"/>
                <w:szCs w:val="20"/>
                <w:color w:val="auto"/>
              </w:rPr>
            </w:pPr>
            <w:r>
              <w:rPr>
                <w:rFonts w:ascii="Arial" w:cs="Arial" w:eastAsia="Arial" w:hAnsi="Arial"/>
                <w:sz w:val="16"/>
                <w:szCs w:val="16"/>
                <w:color w:val="41516E"/>
              </w:rPr>
              <w:t>3,011,291</w:t>
            </w:r>
          </w:p>
        </w:tc>
        <w:tc>
          <w:tcPr>
            <w:tcW w:w="220" w:type="dxa"/>
            <w:vAlign w:val="bottom"/>
          </w:tcPr>
          <w:p>
            <w:pPr>
              <w:ind w:left="120"/>
              <w:spacing w:after="0" w:line="183" w:lineRule="exact"/>
              <w:rPr>
                <w:sz w:val="20"/>
                <w:szCs w:val="20"/>
                <w:color w:val="auto"/>
              </w:rPr>
            </w:pPr>
            <w:r>
              <w:rPr>
                <w:rFonts w:ascii="Arial" w:cs="Arial" w:eastAsia="Arial" w:hAnsi="Arial"/>
                <w:sz w:val="16"/>
                <w:szCs w:val="16"/>
                <w:color w:val="41516E"/>
                <w:w w:val="89"/>
              </w:rPr>
              <w:t>$</w:t>
            </w:r>
          </w:p>
        </w:tc>
        <w:tc>
          <w:tcPr>
            <w:tcW w:w="1160" w:type="dxa"/>
            <w:vAlign w:val="bottom"/>
          </w:tcPr>
          <w:p>
            <w:pPr>
              <w:jc w:val="right"/>
              <w:ind w:right="59"/>
              <w:spacing w:after="0" w:line="183" w:lineRule="exact"/>
              <w:rPr>
                <w:sz w:val="20"/>
                <w:szCs w:val="20"/>
                <w:color w:val="auto"/>
              </w:rPr>
            </w:pPr>
            <w:r>
              <w:rPr>
                <w:rFonts w:ascii="Arial" w:cs="Arial" w:eastAsia="Arial" w:hAnsi="Arial"/>
                <w:sz w:val="16"/>
                <w:szCs w:val="16"/>
                <w:color w:val="41516E"/>
              </w:rPr>
              <w:t>610,905</w:t>
            </w:r>
          </w:p>
        </w:tc>
        <w:tc>
          <w:tcPr>
            <w:tcW w:w="240" w:type="dxa"/>
            <w:vAlign w:val="bottom"/>
            <w:gridSpan w:val="2"/>
          </w:tcPr>
          <w:p>
            <w:pPr>
              <w:jc w:val="right"/>
              <w:spacing w:after="0" w:line="183" w:lineRule="exact"/>
              <w:rPr>
                <w:sz w:val="20"/>
                <w:szCs w:val="20"/>
                <w:color w:val="auto"/>
              </w:rPr>
            </w:pPr>
            <w:r>
              <w:rPr>
                <w:rFonts w:ascii="Arial" w:cs="Arial" w:eastAsia="Arial" w:hAnsi="Arial"/>
                <w:sz w:val="16"/>
                <w:szCs w:val="16"/>
                <w:color w:val="41516E"/>
              </w:rPr>
              <w:t>$</w:t>
            </w:r>
          </w:p>
        </w:tc>
        <w:tc>
          <w:tcPr>
            <w:tcW w:w="1020" w:type="dxa"/>
            <w:vAlign w:val="bottom"/>
          </w:tcPr>
          <w:p>
            <w:pPr>
              <w:jc w:val="right"/>
              <w:ind w:right="59"/>
              <w:spacing w:after="0" w:line="183" w:lineRule="exact"/>
              <w:rPr>
                <w:sz w:val="20"/>
                <w:szCs w:val="20"/>
                <w:color w:val="auto"/>
              </w:rPr>
            </w:pPr>
            <w:r>
              <w:rPr>
                <w:rFonts w:ascii="Arial" w:cs="Arial" w:eastAsia="Arial" w:hAnsi="Arial"/>
                <w:sz w:val="16"/>
                <w:szCs w:val="16"/>
                <w:color w:val="41516E"/>
              </w:rPr>
              <w:t>144.71</w:t>
            </w:r>
          </w:p>
        </w:tc>
        <w:tc>
          <w:tcPr>
            <w:tcW w:w="400" w:type="dxa"/>
            <w:vAlign w:val="bottom"/>
          </w:tcPr>
          <w:p>
            <w:pPr>
              <w:ind w:left="140"/>
              <w:spacing w:after="0" w:line="183" w:lineRule="exact"/>
              <w:rPr>
                <w:sz w:val="20"/>
                <w:szCs w:val="20"/>
                <w:color w:val="auto"/>
              </w:rPr>
            </w:pPr>
            <w:r>
              <w:rPr>
                <w:rFonts w:ascii="Arial" w:cs="Arial" w:eastAsia="Arial" w:hAnsi="Arial"/>
                <w:sz w:val="16"/>
                <w:szCs w:val="16"/>
                <w:color w:val="41516E"/>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41516E"/>
              </w:rPr>
              <w:t>161.54</w:t>
            </w:r>
          </w:p>
        </w:tc>
        <w:tc>
          <w:tcPr>
            <w:tcW w:w="140" w:type="dxa"/>
            <w:vAlign w:val="bottom"/>
          </w:tcPr>
          <w:p>
            <w:pPr>
              <w:spacing w:after="0"/>
              <w:rPr>
                <w:sz w:val="15"/>
                <w:szCs w:val="15"/>
                <w:color w:val="auto"/>
              </w:rPr>
            </w:pP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41516E"/>
              </w:rPr>
              <w:t>$</w:t>
            </w:r>
          </w:p>
        </w:tc>
        <w:tc>
          <w:tcPr>
            <w:tcW w:w="1080" w:type="dxa"/>
            <w:vAlign w:val="bottom"/>
          </w:tcPr>
          <w:p>
            <w:pPr>
              <w:jc w:val="right"/>
              <w:ind w:right="79"/>
              <w:spacing w:after="0" w:line="183" w:lineRule="exact"/>
              <w:rPr>
                <w:sz w:val="20"/>
                <w:szCs w:val="20"/>
                <w:color w:val="auto"/>
              </w:rPr>
            </w:pPr>
            <w:r>
              <w:rPr>
                <w:rFonts w:ascii="Arial" w:cs="Arial" w:eastAsia="Arial" w:hAnsi="Arial"/>
                <w:sz w:val="16"/>
                <w:szCs w:val="16"/>
                <w:color w:val="41516E"/>
              </w:rPr>
              <w:t>76,250,000</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41516E"/>
              </w:rPr>
              <w:t>-6%</w:t>
            </w:r>
          </w:p>
        </w:tc>
      </w:tr>
      <w:tr>
        <w:trPr>
          <w:trHeight w:val="189"/>
        </w:trPr>
        <w:tc>
          <w:tcPr>
            <w:tcW w:w="62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2022</w:t>
            </w:r>
          </w:p>
        </w:tc>
        <w:tc>
          <w:tcPr>
            <w:tcW w:w="420" w:type="dxa"/>
            <w:vAlign w:val="bottom"/>
            <w:shd w:val="clear" w:color="auto" w:fill="EFF0F1"/>
          </w:tcPr>
          <w:p>
            <w:pPr>
              <w:ind w:left="220"/>
              <w:spacing w:after="0"/>
              <w:rPr>
                <w:sz w:val="20"/>
                <w:szCs w:val="20"/>
                <w:color w:val="auto"/>
              </w:rPr>
            </w:pPr>
            <w:r>
              <w:rPr>
                <w:rFonts w:ascii="Arial" w:cs="Arial" w:eastAsia="Arial" w:hAnsi="Arial"/>
                <w:sz w:val="16"/>
                <w:szCs w:val="16"/>
                <w:color w:val="41516E"/>
              </w:rPr>
              <w:t>$</w:t>
            </w:r>
          </w:p>
        </w:tc>
        <w:tc>
          <w:tcPr>
            <w:tcW w:w="1040" w:type="dxa"/>
            <w:vAlign w:val="bottom"/>
            <w:shd w:val="clear" w:color="auto" w:fill="EFF0F1"/>
          </w:tcPr>
          <w:p>
            <w:pPr>
              <w:jc w:val="right"/>
              <w:ind w:right="39"/>
              <w:spacing w:after="0"/>
              <w:rPr>
                <w:sz w:val="20"/>
                <w:szCs w:val="20"/>
                <w:color w:val="auto"/>
              </w:rPr>
            </w:pPr>
            <w:r>
              <w:rPr>
                <w:rFonts w:ascii="Arial" w:cs="Arial" w:eastAsia="Arial" w:hAnsi="Arial"/>
                <w:sz w:val="16"/>
                <w:szCs w:val="16"/>
                <w:color w:val="41516E"/>
              </w:rPr>
              <w:t>4,848,737</w:t>
            </w:r>
          </w:p>
        </w:tc>
        <w:tc>
          <w:tcPr>
            <w:tcW w:w="240" w:type="dxa"/>
            <w:vAlign w:val="bottom"/>
            <w:shd w:val="clear" w:color="auto" w:fill="EFF0F1"/>
          </w:tcPr>
          <w:p>
            <w:pPr>
              <w:ind w:left="140"/>
              <w:spacing w:after="0"/>
              <w:rPr>
                <w:sz w:val="20"/>
                <w:szCs w:val="20"/>
                <w:color w:val="auto"/>
              </w:rPr>
            </w:pPr>
            <w:r>
              <w:rPr>
                <w:rFonts w:ascii="Arial" w:cs="Arial" w:eastAsia="Arial" w:hAnsi="Arial"/>
                <w:sz w:val="16"/>
                <w:szCs w:val="16"/>
                <w:color w:val="41516E"/>
                <w:w w:val="89"/>
              </w:rPr>
              <w:t>$</w:t>
            </w:r>
          </w:p>
        </w:tc>
        <w:tc>
          <w:tcPr>
            <w:tcW w:w="1160" w:type="dxa"/>
            <w:vAlign w:val="bottom"/>
            <w:shd w:val="clear" w:color="auto" w:fill="EFF0F1"/>
          </w:tcPr>
          <w:p>
            <w:pPr>
              <w:jc w:val="right"/>
              <w:ind w:right="59"/>
              <w:spacing w:after="0"/>
              <w:rPr>
                <w:sz w:val="20"/>
                <w:szCs w:val="20"/>
                <w:color w:val="auto"/>
              </w:rPr>
            </w:pPr>
            <w:r>
              <w:rPr>
                <w:rFonts w:ascii="Arial" w:cs="Arial" w:eastAsia="Arial" w:hAnsi="Arial"/>
                <w:sz w:val="16"/>
                <w:szCs w:val="16"/>
                <w:color w:val="41516E"/>
              </w:rPr>
              <w:t>848,576</w:t>
            </w:r>
          </w:p>
        </w:tc>
        <w:tc>
          <w:tcPr>
            <w:tcW w:w="360" w:type="dxa"/>
            <w:vAlign w:val="bottom"/>
            <w:shd w:val="clear" w:color="auto" w:fill="EFF0F1"/>
          </w:tcPr>
          <w:p>
            <w:pPr>
              <w:ind w:left="120"/>
              <w:spacing w:after="0"/>
              <w:rPr>
                <w:sz w:val="20"/>
                <w:szCs w:val="20"/>
                <w:color w:val="auto"/>
              </w:rPr>
            </w:pPr>
            <w:r>
              <w:rPr>
                <w:rFonts w:ascii="Arial" w:cs="Arial" w:eastAsia="Arial" w:hAnsi="Arial"/>
                <w:sz w:val="16"/>
                <w:szCs w:val="16"/>
                <w:color w:val="41516E"/>
              </w:rPr>
              <w:t>$</w:t>
            </w:r>
          </w:p>
        </w:tc>
        <w:tc>
          <w:tcPr>
            <w:tcW w:w="1020" w:type="dxa"/>
            <w:vAlign w:val="bottom"/>
            <w:shd w:val="clear" w:color="auto" w:fill="EFF0F1"/>
          </w:tcPr>
          <w:p>
            <w:pPr>
              <w:jc w:val="right"/>
              <w:ind w:right="59"/>
              <w:spacing w:after="0"/>
              <w:rPr>
                <w:sz w:val="20"/>
                <w:szCs w:val="20"/>
                <w:color w:val="auto"/>
              </w:rPr>
            </w:pPr>
            <w:r>
              <w:rPr>
                <w:rFonts w:ascii="Arial" w:cs="Arial" w:eastAsia="Arial" w:hAnsi="Arial"/>
                <w:sz w:val="16"/>
                <w:szCs w:val="16"/>
                <w:color w:val="41516E"/>
              </w:rPr>
              <w:t>1,247,885</w:t>
            </w:r>
          </w:p>
        </w:tc>
        <w:tc>
          <w:tcPr>
            <w:tcW w:w="220" w:type="dxa"/>
            <w:vAlign w:val="bottom"/>
            <w:shd w:val="clear" w:color="auto" w:fill="EFF0F1"/>
          </w:tcPr>
          <w:p>
            <w:pPr>
              <w:ind w:left="120"/>
              <w:spacing w:after="0"/>
              <w:rPr>
                <w:sz w:val="20"/>
                <w:szCs w:val="20"/>
                <w:color w:val="auto"/>
              </w:rPr>
            </w:pPr>
            <w:r>
              <w:rPr>
                <w:rFonts w:ascii="Arial" w:cs="Arial" w:eastAsia="Arial" w:hAnsi="Arial"/>
                <w:sz w:val="16"/>
                <w:szCs w:val="16"/>
                <w:color w:val="41516E"/>
                <w:w w:val="89"/>
              </w:rPr>
              <w:t>$</w:t>
            </w:r>
          </w:p>
        </w:tc>
        <w:tc>
          <w:tcPr>
            <w:tcW w:w="1160" w:type="dxa"/>
            <w:vAlign w:val="bottom"/>
            <w:shd w:val="clear" w:color="auto" w:fill="EFF0F1"/>
          </w:tcPr>
          <w:p>
            <w:pPr>
              <w:jc w:val="right"/>
              <w:ind w:right="59"/>
              <w:spacing w:after="0"/>
              <w:rPr>
                <w:sz w:val="20"/>
                <w:szCs w:val="20"/>
                <w:color w:val="auto"/>
              </w:rPr>
            </w:pPr>
            <w:r>
              <w:rPr>
                <w:rFonts w:ascii="Arial" w:cs="Arial" w:eastAsia="Arial" w:hAnsi="Arial"/>
                <w:sz w:val="16"/>
                <w:szCs w:val="16"/>
                <w:color w:val="41516E"/>
              </w:rPr>
              <w:t>828,547</w:t>
            </w:r>
          </w:p>
        </w:tc>
        <w:tc>
          <w:tcPr>
            <w:tcW w:w="240" w:type="dxa"/>
            <w:vAlign w:val="bottom"/>
            <w:gridSpan w:val="2"/>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1020" w:type="dxa"/>
            <w:vAlign w:val="bottom"/>
            <w:shd w:val="clear" w:color="auto" w:fill="EFF0F1"/>
          </w:tcPr>
          <w:p>
            <w:pPr>
              <w:jc w:val="right"/>
              <w:ind w:right="59"/>
              <w:spacing w:after="0"/>
              <w:rPr>
                <w:sz w:val="20"/>
                <w:szCs w:val="20"/>
                <w:color w:val="auto"/>
              </w:rPr>
            </w:pPr>
            <w:r>
              <w:rPr>
                <w:rFonts w:ascii="Arial" w:cs="Arial" w:eastAsia="Arial" w:hAnsi="Arial"/>
                <w:sz w:val="16"/>
                <w:szCs w:val="16"/>
                <w:color w:val="41516E"/>
              </w:rPr>
              <w:t>173.43</w:t>
            </w:r>
          </w:p>
        </w:tc>
        <w:tc>
          <w:tcPr>
            <w:tcW w:w="40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w:t>
            </w:r>
          </w:p>
        </w:tc>
        <w:tc>
          <w:tcPr>
            <w:tcW w:w="68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159.39</w:t>
            </w:r>
          </w:p>
        </w:tc>
        <w:tc>
          <w:tcPr>
            <w:tcW w:w="140" w:type="dxa"/>
            <w:vAlign w:val="bottom"/>
            <w:shd w:val="clear" w:color="auto" w:fill="EFF0F1"/>
          </w:tcPr>
          <w:p>
            <w:pPr>
              <w:spacing w:after="0"/>
              <w:rPr>
                <w:sz w:val="16"/>
                <w:szCs w:val="16"/>
                <w:color w:val="auto"/>
              </w:rPr>
            </w:pPr>
          </w:p>
        </w:tc>
        <w:tc>
          <w:tcPr>
            <w:tcW w:w="24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1080" w:type="dxa"/>
            <w:vAlign w:val="bottom"/>
            <w:shd w:val="clear" w:color="auto" w:fill="EFF0F1"/>
          </w:tcPr>
          <w:p>
            <w:pPr>
              <w:jc w:val="right"/>
              <w:ind w:right="79"/>
              <w:spacing w:after="0"/>
              <w:rPr>
                <w:sz w:val="20"/>
                <w:szCs w:val="20"/>
                <w:color w:val="auto"/>
              </w:rPr>
            </w:pPr>
            <w:r>
              <w:rPr>
                <w:rFonts w:ascii="Arial" w:cs="Arial" w:eastAsia="Arial" w:hAnsi="Arial"/>
                <w:sz w:val="16"/>
                <w:szCs w:val="16"/>
                <w:color w:val="41516E"/>
              </w:rPr>
              <w:t>67,263,000</w:t>
            </w:r>
          </w:p>
        </w:tc>
        <w:tc>
          <w:tcPr>
            <w:tcW w:w="120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-5%</w:t>
            </w:r>
          </w:p>
        </w:tc>
      </w:tr>
      <w:tr>
        <w:trPr>
          <w:trHeight w:val="189"/>
        </w:trPr>
        <w:tc>
          <w:tcPr>
            <w:tcW w:w="620" w:type="dxa"/>
            <w:vAlign w:val="bottom"/>
          </w:tcPr>
          <w:p>
            <w:pPr>
              <w:ind w:left="60"/>
              <w:spacing w:after="0"/>
              <w:rPr>
                <w:sz w:val="20"/>
                <w:szCs w:val="20"/>
                <w:color w:val="auto"/>
              </w:rPr>
            </w:pPr>
            <w:r>
              <w:rPr>
                <w:rFonts w:ascii="Arial" w:cs="Arial" w:eastAsia="Arial" w:hAnsi="Arial"/>
                <w:sz w:val="16"/>
                <w:szCs w:val="16"/>
                <w:color w:val="41516E"/>
              </w:rPr>
              <w:t>2021</w:t>
            </w:r>
          </w:p>
        </w:tc>
        <w:tc>
          <w:tcPr>
            <w:tcW w:w="420" w:type="dxa"/>
            <w:vAlign w:val="bottom"/>
          </w:tcPr>
          <w:p>
            <w:pPr>
              <w:ind w:left="220"/>
              <w:spacing w:after="0"/>
              <w:rPr>
                <w:sz w:val="20"/>
                <w:szCs w:val="20"/>
                <w:color w:val="auto"/>
              </w:rPr>
            </w:pPr>
            <w:r>
              <w:rPr>
                <w:rFonts w:ascii="Arial" w:cs="Arial" w:eastAsia="Arial" w:hAnsi="Arial"/>
                <w:sz w:val="16"/>
                <w:szCs w:val="16"/>
                <w:color w:val="41516E"/>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41516E"/>
              </w:rPr>
              <w:t>14,840,957</w:t>
            </w:r>
          </w:p>
        </w:tc>
        <w:tc>
          <w:tcPr>
            <w:tcW w:w="240" w:type="dxa"/>
            <w:vAlign w:val="bottom"/>
          </w:tcPr>
          <w:p>
            <w:pPr>
              <w:ind w:left="140"/>
              <w:spacing w:after="0"/>
              <w:rPr>
                <w:sz w:val="20"/>
                <w:szCs w:val="20"/>
                <w:color w:val="auto"/>
              </w:rPr>
            </w:pPr>
            <w:r>
              <w:rPr>
                <w:rFonts w:ascii="Arial" w:cs="Arial" w:eastAsia="Arial" w:hAnsi="Arial"/>
                <w:sz w:val="16"/>
                <w:szCs w:val="16"/>
                <w:color w:val="41516E"/>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41516E"/>
              </w:rPr>
              <w:t>839,176</w:t>
            </w:r>
          </w:p>
        </w:tc>
        <w:tc>
          <w:tcPr>
            <w:tcW w:w="360" w:type="dxa"/>
            <w:vAlign w:val="bottom"/>
          </w:tcPr>
          <w:p>
            <w:pPr>
              <w:ind w:left="120"/>
              <w:spacing w:after="0"/>
              <w:rPr>
                <w:sz w:val="20"/>
                <w:szCs w:val="20"/>
                <w:color w:val="auto"/>
              </w:rPr>
            </w:pPr>
            <w:r>
              <w:rPr>
                <w:rFonts w:ascii="Arial" w:cs="Arial" w:eastAsia="Arial" w:hAnsi="Arial"/>
                <w:sz w:val="16"/>
                <w:szCs w:val="16"/>
                <w:color w:val="41516E"/>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41516E"/>
              </w:rPr>
              <w:t>1,044,866</w:t>
            </w:r>
          </w:p>
        </w:tc>
        <w:tc>
          <w:tcPr>
            <w:tcW w:w="220" w:type="dxa"/>
            <w:vAlign w:val="bottom"/>
          </w:tcPr>
          <w:p>
            <w:pPr>
              <w:ind w:left="120"/>
              <w:spacing w:after="0"/>
              <w:rPr>
                <w:sz w:val="20"/>
                <w:szCs w:val="20"/>
                <w:color w:val="auto"/>
              </w:rPr>
            </w:pPr>
            <w:r>
              <w:rPr>
                <w:rFonts w:ascii="Arial" w:cs="Arial" w:eastAsia="Arial" w:hAnsi="Arial"/>
                <w:sz w:val="16"/>
                <w:szCs w:val="16"/>
                <w:color w:val="41516E"/>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41516E"/>
              </w:rPr>
              <w:t>876,342</w:t>
            </w:r>
          </w:p>
        </w:tc>
        <w:tc>
          <w:tcPr>
            <w:tcW w:w="240" w:type="dxa"/>
            <w:vAlign w:val="bottom"/>
            <w:gridSpan w:val="2"/>
          </w:tcPr>
          <w:p>
            <w:pPr>
              <w:jc w:val="right"/>
              <w:spacing w:after="0"/>
              <w:rPr>
                <w:sz w:val="20"/>
                <w:szCs w:val="20"/>
                <w:color w:val="auto"/>
              </w:rPr>
            </w:pPr>
            <w:r>
              <w:rPr>
                <w:rFonts w:ascii="Arial" w:cs="Arial" w:eastAsia="Arial" w:hAnsi="Arial"/>
                <w:sz w:val="16"/>
                <w:szCs w:val="16"/>
                <w:color w:val="41516E"/>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41516E"/>
              </w:rPr>
              <w:t>274.66</w:t>
            </w:r>
          </w:p>
        </w:tc>
        <w:tc>
          <w:tcPr>
            <w:tcW w:w="400" w:type="dxa"/>
            <w:vAlign w:val="bottom"/>
          </w:tcPr>
          <w:p>
            <w:pPr>
              <w:ind w:left="140"/>
              <w:spacing w:after="0"/>
              <w:rPr>
                <w:sz w:val="20"/>
                <w:szCs w:val="20"/>
                <w:color w:val="auto"/>
              </w:rPr>
            </w:pPr>
            <w:r>
              <w:rPr>
                <w:rFonts w:ascii="Arial" w:cs="Arial" w:eastAsia="Arial" w:hAnsi="Arial"/>
                <w:sz w:val="16"/>
                <w:szCs w:val="16"/>
                <w:color w:val="41516E"/>
              </w:rPr>
              <w:t>$</w:t>
            </w:r>
          </w:p>
        </w:tc>
        <w:tc>
          <w:tcPr>
            <w:tcW w:w="680" w:type="dxa"/>
            <w:vAlign w:val="bottom"/>
          </w:tcPr>
          <w:p>
            <w:pPr>
              <w:jc w:val="right"/>
              <w:spacing w:after="0"/>
              <w:rPr>
                <w:sz w:val="20"/>
                <w:szCs w:val="20"/>
                <w:color w:val="auto"/>
              </w:rPr>
            </w:pPr>
            <w:r>
              <w:rPr>
                <w:rFonts w:ascii="Arial" w:cs="Arial" w:eastAsia="Arial" w:hAnsi="Arial"/>
                <w:sz w:val="16"/>
                <w:szCs w:val="16"/>
                <w:color w:val="41516E"/>
              </w:rPr>
              <w:t>146.32</w:t>
            </w:r>
          </w:p>
        </w:tc>
        <w:tc>
          <w:tcPr>
            <w:tcW w:w="1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41516E"/>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41516E"/>
              </w:rPr>
              <w:t>14,553,000</w:t>
            </w:r>
          </w:p>
        </w:tc>
        <w:tc>
          <w:tcPr>
            <w:tcW w:w="1200" w:type="dxa"/>
            <w:vAlign w:val="bottom"/>
          </w:tcPr>
          <w:p>
            <w:pPr>
              <w:jc w:val="right"/>
              <w:spacing w:after="0"/>
              <w:rPr>
                <w:sz w:val="20"/>
                <w:szCs w:val="20"/>
                <w:color w:val="auto"/>
              </w:rPr>
            </w:pPr>
            <w:r>
              <w:rPr>
                <w:rFonts w:ascii="Arial" w:cs="Arial" w:eastAsia="Arial" w:hAnsi="Arial"/>
                <w:sz w:val="16"/>
                <w:szCs w:val="16"/>
                <w:color w:val="41516E"/>
              </w:rPr>
              <w:t>22%</w:t>
            </w:r>
          </w:p>
        </w:tc>
      </w:tr>
      <w:tr>
        <w:trPr>
          <w:trHeight w:val="189"/>
        </w:trPr>
        <w:tc>
          <w:tcPr>
            <w:tcW w:w="62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2020</w:t>
            </w:r>
          </w:p>
        </w:tc>
        <w:tc>
          <w:tcPr>
            <w:tcW w:w="420" w:type="dxa"/>
            <w:vAlign w:val="bottom"/>
            <w:shd w:val="clear" w:color="auto" w:fill="EFF0F1"/>
          </w:tcPr>
          <w:p>
            <w:pPr>
              <w:ind w:left="220"/>
              <w:spacing w:after="0"/>
              <w:rPr>
                <w:sz w:val="20"/>
                <w:szCs w:val="20"/>
                <w:color w:val="auto"/>
              </w:rPr>
            </w:pPr>
            <w:r>
              <w:rPr>
                <w:rFonts w:ascii="Arial" w:cs="Arial" w:eastAsia="Arial" w:hAnsi="Arial"/>
                <w:sz w:val="16"/>
                <w:szCs w:val="16"/>
                <w:color w:val="41516E"/>
              </w:rPr>
              <w:t>$</w:t>
            </w:r>
          </w:p>
        </w:tc>
        <w:tc>
          <w:tcPr>
            <w:tcW w:w="1040" w:type="dxa"/>
            <w:vAlign w:val="bottom"/>
            <w:shd w:val="clear" w:color="auto" w:fill="EFF0F1"/>
          </w:tcPr>
          <w:p>
            <w:pPr>
              <w:jc w:val="right"/>
              <w:ind w:right="39"/>
              <w:spacing w:after="0"/>
              <w:rPr>
                <w:sz w:val="20"/>
                <w:szCs w:val="20"/>
                <w:color w:val="auto"/>
              </w:rPr>
            </w:pPr>
            <w:r>
              <w:rPr>
                <w:rFonts w:ascii="Arial" w:cs="Arial" w:eastAsia="Arial" w:hAnsi="Arial"/>
                <w:sz w:val="16"/>
                <w:szCs w:val="16"/>
                <w:color w:val="41516E"/>
              </w:rPr>
              <w:t>4,778,389</w:t>
            </w:r>
          </w:p>
        </w:tc>
        <w:tc>
          <w:tcPr>
            <w:tcW w:w="240" w:type="dxa"/>
            <w:vAlign w:val="bottom"/>
            <w:shd w:val="clear" w:color="auto" w:fill="EFF0F1"/>
          </w:tcPr>
          <w:p>
            <w:pPr>
              <w:ind w:left="140"/>
              <w:spacing w:after="0"/>
              <w:rPr>
                <w:sz w:val="20"/>
                <w:szCs w:val="20"/>
                <w:color w:val="auto"/>
              </w:rPr>
            </w:pPr>
            <w:r>
              <w:rPr>
                <w:rFonts w:ascii="Arial" w:cs="Arial" w:eastAsia="Arial" w:hAnsi="Arial"/>
                <w:sz w:val="16"/>
                <w:szCs w:val="16"/>
                <w:color w:val="41516E"/>
                <w:w w:val="89"/>
              </w:rPr>
              <w:t>$</w:t>
            </w:r>
          </w:p>
        </w:tc>
        <w:tc>
          <w:tcPr>
            <w:tcW w:w="1160" w:type="dxa"/>
            <w:vAlign w:val="bottom"/>
            <w:shd w:val="clear" w:color="auto" w:fill="EFF0F1"/>
          </w:tcPr>
          <w:p>
            <w:pPr>
              <w:jc w:val="right"/>
              <w:ind w:right="59"/>
              <w:spacing w:after="0"/>
              <w:rPr>
                <w:sz w:val="20"/>
                <w:szCs w:val="20"/>
                <w:color w:val="auto"/>
              </w:rPr>
            </w:pPr>
            <w:r>
              <w:rPr>
                <w:rFonts w:ascii="Arial" w:cs="Arial" w:eastAsia="Arial" w:hAnsi="Arial"/>
                <w:sz w:val="16"/>
                <w:szCs w:val="16"/>
                <w:color w:val="41516E"/>
              </w:rPr>
              <w:t>803,025</w:t>
            </w:r>
          </w:p>
        </w:tc>
        <w:tc>
          <w:tcPr>
            <w:tcW w:w="360" w:type="dxa"/>
            <w:vAlign w:val="bottom"/>
            <w:shd w:val="clear" w:color="auto" w:fill="EFF0F1"/>
          </w:tcPr>
          <w:p>
            <w:pPr>
              <w:ind w:left="120"/>
              <w:spacing w:after="0"/>
              <w:rPr>
                <w:sz w:val="20"/>
                <w:szCs w:val="20"/>
                <w:color w:val="auto"/>
              </w:rPr>
            </w:pPr>
            <w:r>
              <w:rPr>
                <w:rFonts w:ascii="Arial" w:cs="Arial" w:eastAsia="Arial" w:hAnsi="Arial"/>
                <w:sz w:val="16"/>
                <w:szCs w:val="16"/>
                <w:color w:val="41516E"/>
              </w:rPr>
              <w:t>$</w:t>
            </w:r>
          </w:p>
        </w:tc>
        <w:tc>
          <w:tcPr>
            <w:tcW w:w="1020" w:type="dxa"/>
            <w:vAlign w:val="bottom"/>
            <w:shd w:val="clear" w:color="auto" w:fill="EFF0F1"/>
          </w:tcPr>
          <w:p>
            <w:pPr>
              <w:jc w:val="right"/>
              <w:ind w:right="59"/>
              <w:spacing w:after="0"/>
              <w:rPr>
                <w:sz w:val="20"/>
                <w:szCs w:val="20"/>
                <w:color w:val="auto"/>
              </w:rPr>
            </w:pPr>
            <w:r>
              <w:rPr>
                <w:rFonts w:ascii="Arial" w:cs="Arial" w:eastAsia="Arial" w:hAnsi="Arial"/>
                <w:sz w:val="16"/>
                <w:szCs w:val="16"/>
                <w:color w:val="41516E"/>
              </w:rPr>
              <w:t>3,476,104</w:t>
            </w:r>
          </w:p>
        </w:tc>
        <w:tc>
          <w:tcPr>
            <w:tcW w:w="220" w:type="dxa"/>
            <w:vAlign w:val="bottom"/>
            <w:shd w:val="clear" w:color="auto" w:fill="EFF0F1"/>
          </w:tcPr>
          <w:p>
            <w:pPr>
              <w:ind w:left="120"/>
              <w:spacing w:after="0"/>
              <w:rPr>
                <w:sz w:val="20"/>
                <w:szCs w:val="20"/>
                <w:color w:val="auto"/>
              </w:rPr>
            </w:pPr>
            <w:r>
              <w:rPr>
                <w:rFonts w:ascii="Arial" w:cs="Arial" w:eastAsia="Arial" w:hAnsi="Arial"/>
                <w:sz w:val="16"/>
                <w:szCs w:val="16"/>
                <w:color w:val="41516E"/>
                <w:w w:val="89"/>
              </w:rPr>
              <w:t>$</w:t>
            </w:r>
          </w:p>
        </w:tc>
        <w:tc>
          <w:tcPr>
            <w:tcW w:w="1160" w:type="dxa"/>
            <w:vAlign w:val="bottom"/>
            <w:shd w:val="clear" w:color="auto" w:fill="EFF0F1"/>
          </w:tcPr>
          <w:p>
            <w:pPr>
              <w:jc w:val="right"/>
              <w:ind w:right="59"/>
              <w:spacing w:after="0"/>
              <w:rPr>
                <w:sz w:val="20"/>
                <w:szCs w:val="20"/>
                <w:color w:val="auto"/>
              </w:rPr>
            </w:pPr>
            <w:r>
              <w:rPr>
                <w:rFonts w:ascii="Arial" w:cs="Arial" w:eastAsia="Arial" w:hAnsi="Arial"/>
                <w:sz w:val="16"/>
                <w:szCs w:val="16"/>
                <w:color w:val="41516E"/>
              </w:rPr>
              <w:t>492,432</w:t>
            </w:r>
          </w:p>
        </w:tc>
        <w:tc>
          <w:tcPr>
            <w:tcW w:w="240" w:type="dxa"/>
            <w:vAlign w:val="bottom"/>
            <w:gridSpan w:val="2"/>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1020" w:type="dxa"/>
            <w:vAlign w:val="bottom"/>
            <w:shd w:val="clear" w:color="auto" w:fill="EFF0F1"/>
          </w:tcPr>
          <w:p>
            <w:pPr>
              <w:jc w:val="right"/>
              <w:ind w:right="59"/>
              <w:spacing w:after="0"/>
              <w:rPr>
                <w:sz w:val="20"/>
                <w:szCs w:val="20"/>
                <w:color w:val="auto"/>
              </w:rPr>
            </w:pPr>
            <w:r>
              <w:rPr>
                <w:rFonts w:ascii="Arial" w:cs="Arial" w:eastAsia="Arial" w:hAnsi="Arial"/>
                <w:sz w:val="16"/>
                <w:szCs w:val="16"/>
                <w:color w:val="41516E"/>
              </w:rPr>
              <w:t>531.10</w:t>
            </w:r>
          </w:p>
        </w:tc>
        <w:tc>
          <w:tcPr>
            <w:tcW w:w="400" w:type="dxa"/>
            <w:vAlign w:val="bottom"/>
            <w:shd w:val="clear" w:color="auto" w:fill="EFF0F1"/>
          </w:tcPr>
          <w:p>
            <w:pPr>
              <w:ind w:left="140"/>
              <w:spacing w:after="0"/>
              <w:rPr>
                <w:sz w:val="20"/>
                <w:szCs w:val="20"/>
                <w:color w:val="auto"/>
              </w:rPr>
            </w:pPr>
            <w:r>
              <w:rPr>
                <w:rFonts w:ascii="Arial" w:cs="Arial" w:eastAsia="Arial" w:hAnsi="Arial"/>
                <w:sz w:val="16"/>
                <w:szCs w:val="16"/>
                <w:color w:val="41516E"/>
              </w:rPr>
              <w:t>$</w:t>
            </w:r>
          </w:p>
        </w:tc>
        <w:tc>
          <w:tcPr>
            <w:tcW w:w="68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127.78</w:t>
            </w:r>
          </w:p>
        </w:tc>
        <w:tc>
          <w:tcPr>
            <w:tcW w:w="140" w:type="dxa"/>
            <w:vAlign w:val="bottom"/>
            <w:shd w:val="clear" w:color="auto" w:fill="EFF0F1"/>
          </w:tcPr>
          <w:p>
            <w:pPr>
              <w:spacing w:after="0"/>
              <w:rPr>
                <w:sz w:val="16"/>
                <w:szCs w:val="16"/>
                <w:color w:val="auto"/>
              </w:rPr>
            </w:pPr>
          </w:p>
        </w:tc>
        <w:tc>
          <w:tcPr>
            <w:tcW w:w="24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1080" w:type="dxa"/>
            <w:vAlign w:val="bottom"/>
            <w:shd w:val="clear" w:color="auto" w:fill="EFF0F1"/>
          </w:tcPr>
          <w:p>
            <w:pPr>
              <w:jc w:val="right"/>
              <w:ind w:right="79"/>
              <w:spacing w:after="0"/>
              <w:rPr>
                <w:sz w:val="20"/>
                <w:szCs w:val="20"/>
                <w:color w:val="auto"/>
              </w:rPr>
            </w:pPr>
            <w:r>
              <w:rPr>
                <w:rFonts w:ascii="Arial" w:cs="Arial" w:eastAsia="Arial" w:hAnsi="Arial"/>
                <w:sz w:val="16"/>
                <w:szCs w:val="16"/>
                <w:color w:val="41516E"/>
              </w:rPr>
              <w:t>191,960,000</w:t>
            </w:r>
          </w:p>
        </w:tc>
        <w:tc>
          <w:tcPr>
            <w:tcW w:w="120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37%</w:t>
            </w:r>
          </w:p>
        </w:tc>
      </w:tr>
      <w:tr>
        <w:trPr>
          <w:trHeight w:val="189"/>
        </w:trPr>
        <w:tc>
          <w:tcPr>
            <w:tcW w:w="620" w:type="dxa"/>
            <w:vAlign w:val="bottom"/>
            <w:tcBorders>
              <w:bottom w:val="single" w:sz="8" w:color="41516E"/>
            </w:tcBorders>
          </w:tcPr>
          <w:p>
            <w:pPr>
              <w:ind w:left="60"/>
              <w:spacing w:after="0"/>
              <w:rPr>
                <w:sz w:val="20"/>
                <w:szCs w:val="20"/>
                <w:color w:val="auto"/>
              </w:rPr>
            </w:pPr>
            <w:r>
              <w:rPr>
                <w:rFonts w:ascii="Arial" w:cs="Arial" w:eastAsia="Arial" w:hAnsi="Arial"/>
                <w:sz w:val="16"/>
                <w:szCs w:val="16"/>
                <w:color w:val="41516E"/>
              </w:rPr>
              <w:t>2019</w:t>
            </w:r>
          </w:p>
        </w:tc>
        <w:tc>
          <w:tcPr>
            <w:tcW w:w="420" w:type="dxa"/>
            <w:vAlign w:val="bottom"/>
            <w:tcBorders>
              <w:bottom w:val="single" w:sz="8" w:color="41516E"/>
            </w:tcBorders>
          </w:tcPr>
          <w:p>
            <w:pPr>
              <w:ind w:left="220"/>
              <w:spacing w:after="0"/>
              <w:rPr>
                <w:sz w:val="20"/>
                <w:szCs w:val="20"/>
                <w:color w:val="auto"/>
              </w:rPr>
            </w:pPr>
            <w:r>
              <w:rPr>
                <w:rFonts w:ascii="Arial" w:cs="Arial" w:eastAsia="Arial" w:hAnsi="Arial"/>
                <w:sz w:val="16"/>
                <w:szCs w:val="16"/>
                <w:color w:val="41516E"/>
              </w:rPr>
              <w:t>$</w:t>
            </w:r>
          </w:p>
        </w:tc>
        <w:tc>
          <w:tcPr>
            <w:tcW w:w="1040" w:type="dxa"/>
            <w:vAlign w:val="bottom"/>
            <w:tcBorders>
              <w:bottom w:val="single" w:sz="8" w:color="41516E"/>
            </w:tcBorders>
          </w:tcPr>
          <w:p>
            <w:pPr>
              <w:jc w:val="right"/>
              <w:ind w:right="39"/>
              <w:spacing w:after="0"/>
              <w:rPr>
                <w:sz w:val="20"/>
                <w:szCs w:val="20"/>
                <w:color w:val="auto"/>
              </w:rPr>
            </w:pPr>
            <w:r>
              <w:rPr>
                <w:rFonts w:ascii="Arial" w:cs="Arial" w:eastAsia="Arial" w:hAnsi="Arial"/>
                <w:sz w:val="16"/>
                <w:szCs w:val="16"/>
                <w:color w:val="41516E"/>
              </w:rPr>
              <w:t>4,211,552</w:t>
            </w:r>
          </w:p>
        </w:tc>
        <w:tc>
          <w:tcPr>
            <w:tcW w:w="240" w:type="dxa"/>
            <w:vAlign w:val="bottom"/>
            <w:tcBorders>
              <w:bottom w:val="single" w:sz="8" w:color="41516E"/>
            </w:tcBorders>
          </w:tcPr>
          <w:p>
            <w:pPr>
              <w:ind w:left="140"/>
              <w:spacing w:after="0"/>
              <w:rPr>
                <w:sz w:val="20"/>
                <w:szCs w:val="20"/>
                <w:color w:val="auto"/>
              </w:rPr>
            </w:pPr>
            <w:r>
              <w:rPr>
                <w:rFonts w:ascii="Arial" w:cs="Arial" w:eastAsia="Arial" w:hAnsi="Arial"/>
                <w:sz w:val="16"/>
                <w:szCs w:val="16"/>
                <w:color w:val="41516E"/>
                <w:w w:val="89"/>
              </w:rPr>
              <w:t>$</w:t>
            </w:r>
          </w:p>
        </w:tc>
        <w:tc>
          <w:tcPr>
            <w:tcW w:w="1160" w:type="dxa"/>
            <w:vAlign w:val="bottom"/>
            <w:tcBorders>
              <w:bottom w:val="single" w:sz="8" w:color="41516E"/>
            </w:tcBorders>
          </w:tcPr>
          <w:p>
            <w:pPr>
              <w:jc w:val="right"/>
              <w:ind w:right="59"/>
              <w:spacing w:after="0"/>
              <w:rPr>
                <w:sz w:val="20"/>
                <w:szCs w:val="20"/>
                <w:color w:val="auto"/>
              </w:rPr>
            </w:pPr>
            <w:r>
              <w:rPr>
                <w:rFonts w:ascii="Arial" w:cs="Arial" w:eastAsia="Arial" w:hAnsi="Arial"/>
                <w:sz w:val="16"/>
                <w:szCs w:val="16"/>
                <w:color w:val="41516E"/>
              </w:rPr>
              <w:t>2,212,366</w:t>
            </w:r>
          </w:p>
        </w:tc>
        <w:tc>
          <w:tcPr>
            <w:tcW w:w="360" w:type="dxa"/>
            <w:vAlign w:val="bottom"/>
            <w:tcBorders>
              <w:bottom w:val="single" w:sz="8" w:color="41516E"/>
            </w:tcBorders>
          </w:tcPr>
          <w:p>
            <w:pPr>
              <w:ind w:left="120"/>
              <w:spacing w:after="0"/>
              <w:rPr>
                <w:sz w:val="20"/>
                <w:szCs w:val="20"/>
                <w:color w:val="auto"/>
              </w:rPr>
            </w:pPr>
            <w:r>
              <w:rPr>
                <w:rFonts w:ascii="Arial" w:cs="Arial" w:eastAsia="Arial" w:hAnsi="Arial"/>
                <w:sz w:val="16"/>
                <w:szCs w:val="16"/>
                <w:color w:val="41516E"/>
              </w:rPr>
              <w:t>$</w:t>
            </w:r>
          </w:p>
        </w:tc>
        <w:tc>
          <w:tcPr>
            <w:tcW w:w="1020" w:type="dxa"/>
            <w:vAlign w:val="bottom"/>
            <w:tcBorders>
              <w:bottom w:val="single" w:sz="8" w:color="41516E"/>
            </w:tcBorders>
          </w:tcPr>
          <w:p>
            <w:pPr>
              <w:jc w:val="right"/>
              <w:ind w:right="59"/>
              <w:spacing w:after="0"/>
              <w:rPr>
                <w:sz w:val="20"/>
                <w:szCs w:val="20"/>
                <w:color w:val="auto"/>
              </w:rPr>
            </w:pPr>
            <w:r>
              <w:rPr>
                <w:rFonts w:ascii="Arial" w:cs="Arial" w:eastAsia="Arial" w:hAnsi="Arial"/>
                <w:sz w:val="16"/>
                <w:szCs w:val="16"/>
                <w:color w:val="41516E"/>
              </w:rPr>
              <w:t>2,121,689</w:t>
            </w:r>
          </w:p>
        </w:tc>
        <w:tc>
          <w:tcPr>
            <w:tcW w:w="220" w:type="dxa"/>
            <w:vAlign w:val="bottom"/>
            <w:tcBorders>
              <w:bottom w:val="single" w:sz="8" w:color="41516E"/>
            </w:tcBorders>
          </w:tcPr>
          <w:p>
            <w:pPr>
              <w:ind w:left="120"/>
              <w:spacing w:after="0"/>
              <w:rPr>
                <w:sz w:val="20"/>
                <w:szCs w:val="20"/>
                <w:color w:val="auto"/>
              </w:rPr>
            </w:pPr>
            <w:r>
              <w:rPr>
                <w:rFonts w:ascii="Arial" w:cs="Arial" w:eastAsia="Arial" w:hAnsi="Arial"/>
                <w:sz w:val="16"/>
                <w:szCs w:val="16"/>
                <w:color w:val="41516E"/>
                <w:w w:val="89"/>
              </w:rPr>
              <w:t>$</w:t>
            </w:r>
          </w:p>
        </w:tc>
        <w:tc>
          <w:tcPr>
            <w:tcW w:w="1160" w:type="dxa"/>
            <w:vAlign w:val="bottom"/>
            <w:tcBorders>
              <w:bottom w:val="single" w:sz="8" w:color="41516E"/>
            </w:tcBorders>
          </w:tcPr>
          <w:p>
            <w:pPr>
              <w:jc w:val="right"/>
              <w:ind w:right="59"/>
              <w:spacing w:after="0"/>
              <w:rPr>
                <w:sz w:val="20"/>
                <w:szCs w:val="20"/>
                <w:color w:val="auto"/>
              </w:rPr>
            </w:pPr>
            <w:r>
              <w:rPr>
                <w:rFonts w:ascii="Arial" w:cs="Arial" w:eastAsia="Arial" w:hAnsi="Arial"/>
                <w:sz w:val="16"/>
                <w:szCs w:val="16"/>
                <w:color w:val="41516E"/>
              </w:rPr>
              <w:t>1,111,889</w:t>
            </w:r>
          </w:p>
        </w:tc>
        <w:tc>
          <w:tcPr>
            <w:tcW w:w="240" w:type="dxa"/>
            <w:vAlign w:val="bottom"/>
            <w:tcBorders>
              <w:bottom w:val="single" w:sz="8" w:color="41516E"/>
            </w:tcBorders>
            <w:gridSpan w:val="2"/>
          </w:tcPr>
          <w:p>
            <w:pPr>
              <w:jc w:val="right"/>
              <w:spacing w:after="0"/>
              <w:rPr>
                <w:sz w:val="20"/>
                <w:szCs w:val="20"/>
                <w:color w:val="auto"/>
              </w:rPr>
            </w:pPr>
            <w:r>
              <w:rPr>
                <w:rFonts w:ascii="Arial" w:cs="Arial" w:eastAsia="Arial" w:hAnsi="Arial"/>
                <w:sz w:val="16"/>
                <w:szCs w:val="16"/>
                <w:color w:val="41516E"/>
              </w:rPr>
              <w:t>$</w:t>
            </w:r>
          </w:p>
        </w:tc>
        <w:tc>
          <w:tcPr>
            <w:tcW w:w="1020" w:type="dxa"/>
            <w:vAlign w:val="bottom"/>
            <w:tcBorders>
              <w:bottom w:val="single" w:sz="8" w:color="41516E"/>
            </w:tcBorders>
          </w:tcPr>
          <w:p>
            <w:pPr>
              <w:jc w:val="right"/>
              <w:ind w:right="59"/>
              <w:spacing w:after="0"/>
              <w:rPr>
                <w:sz w:val="20"/>
                <w:szCs w:val="20"/>
                <w:color w:val="auto"/>
              </w:rPr>
            </w:pPr>
            <w:r>
              <w:rPr>
                <w:rFonts w:ascii="Arial" w:cs="Arial" w:eastAsia="Arial" w:hAnsi="Arial"/>
                <w:sz w:val="16"/>
                <w:szCs w:val="16"/>
                <w:color w:val="41516E"/>
              </w:rPr>
              <w:t>198.19</w:t>
            </w:r>
          </w:p>
        </w:tc>
        <w:tc>
          <w:tcPr>
            <w:tcW w:w="400" w:type="dxa"/>
            <w:vAlign w:val="bottom"/>
            <w:tcBorders>
              <w:bottom w:val="single" w:sz="8" w:color="41516E"/>
            </w:tcBorders>
          </w:tcPr>
          <w:p>
            <w:pPr>
              <w:ind w:left="140"/>
              <w:spacing w:after="0"/>
              <w:rPr>
                <w:sz w:val="20"/>
                <w:szCs w:val="20"/>
                <w:color w:val="auto"/>
              </w:rPr>
            </w:pPr>
            <w:r>
              <w:rPr>
                <w:rFonts w:ascii="Arial" w:cs="Arial" w:eastAsia="Arial" w:hAnsi="Arial"/>
                <w:sz w:val="16"/>
                <w:szCs w:val="16"/>
                <w:color w:val="41516E"/>
              </w:rPr>
              <w:t>$</w:t>
            </w:r>
          </w:p>
        </w:tc>
        <w:tc>
          <w:tcPr>
            <w:tcW w:w="680" w:type="dxa"/>
            <w:vAlign w:val="bottom"/>
            <w:tcBorders>
              <w:bottom w:val="single" w:sz="8" w:color="41516E"/>
            </w:tcBorders>
          </w:tcPr>
          <w:p>
            <w:pPr>
              <w:jc w:val="right"/>
              <w:spacing w:after="0"/>
              <w:rPr>
                <w:sz w:val="20"/>
                <w:szCs w:val="20"/>
                <w:color w:val="auto"/>
              </w:rPr>
            </w:pPr>
            <w:r>
              <w:rPr>
                <w:rFonts w:ascii="Arial" w:cs="Arial" w:eastAsia="Arial" w:hAnsi="Arial"/>
                <w:sz w:val="16"/>
                <w:szCs w:val="16"/>
                <w:color w:val="41516E"/>
              </w:rPr>
              <w:t>119.92</w:t>
            </w:r>
          </w:p>
        </w:tc>
        <w:tc>
          <w:tcPr>
            <w:tcW w:w="140" w:type="dxa"/>
            <w:vAlign w:val="bottom"/>
            <w:tcBorders>
              <w:bottom w:val="single" w:sz="8" w:color="41516E"/>
            </w:tcBorders>
          </w:tcPr>
          <w:p>
            <w:pPr>
              <w:spacing w:after="0"/>
              <w:rPr>
                <w:sz w:val="16"/>
                <w:szCs w:val="16"/>
                <w:color w:val="auto"/>
              </w:rPr>
            </w:pPr>
          </w:p>
        </w:tc>
        <w:tc>
          <w:tcPr>
            <w:tcW w:w="240" w:type="dxa"/>
            <w:vAlign w:val="bottom"/>
            <w:tcBorders>
              <w:bottom w:val="single" w:sz="8" w:color="41516E"/>
            </w:tcBorders>
          </w:tcPr>
          <w:p>
            <w:pPr>
              <w:jc w:val="right"/>
              <w:spacing w:after="0"/>
              <w:rPr>
                <w:sz w:val="20"/>
                <w:szCs w:val="20"/>
                <w:color w:val="auto"/>
              </w:rPr>
            </w:pPr>
            <w:r>
              <w:rPr>
                <w:rFonts w:ascii="Arial" w:cs="Arial" w:eastAsia="Arial" w:hAnsi="Arial"/>
                <w:sz w:val="16"/>
                <w:szCs w:val="16"/>
                <w:color w:val="41516E"/>
              </w:rPr>
              <w:t>$</w:t>
            </w:r>
          </w:p>
        </w:tc>
        <w:tc>
          <w:tcPr>
            <w:tcW w:w="1080" w:type="dxa"/>
            <w:vAlign w:val="bottom"/>
            <w:tcBorders>
              <w:bottom w:val="single" w:sz="8" w:color="41516E"/>
            </w:tcBorders>
          </w:tcPr>
          <w:p>
            <w:pPr>
              <w:jc w:val="right"/>
              <w:ind w:right="79"/>
              <w:spacing w:after="0"/>
              <w:rPr>
                <w:sz w:val="20"/>
                <w:szCs w:val="20"/>
                <w:color w:val="auto"/>
              </w:rPr>
            </w:pPr>
            <w:r>
              <w:rPr>
                <w:rFonts w:ascii="Arial" w:cs="Arial" w:eastAsia="Arial" w:hAnsi="Arial"/>
                <w:sz w:val="16"/>
                <w:szCs w:val="16"/>
                <w:color w:val="41516E"/>
              </w:rPr>
              <w:t>110,041,000</w:t>
            </w:r>
          </w:p>
        </w:tc>
        <w:tc>
          <w:tcPr>
            <w:tcW w:w="1200" w:type="dxa"/>
            <w:vAlign w:val="bottom"/>
            <w:tcBorders>
              <w:bottom w:val="single" w:sz="8" w:color="41516E"/>
            </w:tcBorders>
          </w:tcPr>
          <w:p>
            <w:pPr>
              <w:jc w:val="right"/>
              <w:spacing w:after="0"/>
              <w:rPr>
                <w:sz w:val="20"/>
                <w:szCs w:val="20"/>
                <w:color w:val="auto"/>
              </w:rPr>
            </w:pPr>
            <w:r>
              <w:rPr>
                <w:rFonts w:ascii="Arial" w:cs="Arial" w:eastAsia="Arial" w:hAnsi="Arial"/>
                <w:sz w:val="16"/>
                <w:szCs w:val="16"/>
                <w:color w:val="41516E"/>
              </w:rPr>
              <w:t>22%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41516E"/>
        </w:rPr>
        <w:t>Compensation actually paid differs from table totals due to LTE awards with multi-year service and/or performance-based vesting conditions.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The following table sets forth information regarding the identification of our Primary Executive Officer (“PEO”) and non-PEO NEOs for the corresponding fiscal years. In each of these years, our PEO held the title of CEO.</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Fiscal Year</w:t>
            </w:r>
          </w:p>
        </w:tc>
        <w:tc>
          <w:tcPr>
            <w:tcW w:w="158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CEO(s)</w:t>
            </w:r>
          </w:p>
        </w:tc>
        <w:tc>
          <w:tcPr>
            <w:tcW w:w="8700" w:type="dxa"/>
            <w:vAlign w:val="bottom"/>
            <w:tcBorders>
              <w:bottom w:val="single" w:sz="8" w:color="41516E"/>
            </w:tcBorders>
          </w:tcPr>
          <w:p>
            <w:pPr>
              <w:ind w:left="280"/>
              <w:spacing w:after="0"/>
              <w:rPr>
                <w:sz w:val="20"/>
                <w:szCs w:val="20"/>
                <w:color w:val="auto"/>
              </w:rPr>
            </w:pPr>
            <w:r>
              <w:rPr>
                <w:rFonts w:ascii="Arial" w:cs="Arial" w:eastAsia="Arial" w:hAnsi="Arial"/>
                <w:sz w:val="16"/>
                <w:szCs w:val="16"/>
                <w:b w:val="1"/>
                <w:bCs w:val="1"/>
                <w:color w:val="41516E"/>
              </w:rPr>
              <w:t>Other NEOs</w:t>
            </w:r>
          </w:p>
        </w:tc>
      </w:tr>
      <w:tr>
        <w:trPr>
          <w:trHeight w:val="183"/>
        </w:trPr>
        <w:tc>
          <w:tcPr>
            <w:tcW w:w="960" w:type="dxa"/>
            <w:vAlign w:val="bottom"/>
          </w:tcPr>
          <w:p>
            <w:pPr>
              <w:ind w:left="60"/>
              <w:spacing w:after="0" w:line="183" w:lineRule="exact"/>
              <w:rPr>
                <w:sz w:val="20"/>
                <w:szCs w:val="20"/>
                <w:color w:val="auto"/>
              </w:rPr>
            </w:pPr>
            <w:r>
              <w:rPr>
                <w:rFonts w:ascii="Arial" w:cs="Arial" w:eastAsia="Arial" w:hAnsi="Arial"/>
                <w:sz w:val="16"/>
                <w:szCs w:val="16"/>
                <w:color w:val="41516E"/>
              </w:rPr>
              <w:t>2019</w:t>
            </w:r>
          </w:p>
        </w:tc>
        <w:tc>
          <w:tcPr>
            <w:tcW w:w="1580" w:type="dxa"/>
            <w:vAlign w:val="bottom"/>
          </w:tcPr>
          <w:p>
            <w:pPr>
              <w:ind w:left="60"/>
              <w:spacing w:after="0" w:line="183" w:lineRule="exact"/>
              <w:rPr>
                <w:sz w:val="20"/>
                <w:szCs w:val="20"/>
                <w:color w:val="auto"/>
              </w:rPr>
            </w:pPr>
            <w:r>
              <w:rPr>
                <w:rFonts w:ascii="Arial" w:cs="Arial" w:eastAsia="Arial" w:hAnsi="Arial"/>
                <w:sz w:val="16"/>
                <w:szCs w:val="16"/>
                <w:color w:val="41516E"/>
              </w:rPr>
              <w:t>David A. Burwick</w:t>
            </w:r>
          </w:p>
        </w:tc>
        <w:tc>
          <w:tcPr>
            <w:tcW w:w="8700" w:type="dxa"/>
            <w:vAlign w:val="bottom"/>
          </w:tcPr>
          <w:p>
            <w:pPr>
              <w:ind w:left="280"/>
              <w:spacing w:after="0" w:line="183" w:lineRule="exact"/>
              <w:rPr>
                <w:sz w:val="20"/>
                <w:szCs w:val="20"/>
                <w:color w:val="auto"/>
              </w:rPr>
            </w:pPr>
            <w:r>
              <w:rPr>
                <w:rFonts w:ascii="Arial" w:cs="Arial" w:eastAsia="Arial" w:hAnsi="Arial"/>
                <w:sz w:val="16"/>
                <w:szCs w:val="16"/>
                <w:color w:val="41516E"/>
              </w:rPr>
              <w:t>Frank H. Smalla, C. James Koch, John C. Geist, Lesya Lysyj</w:t>
            </w:r>
          </w:p>
        </w:tc>
      </w:tr>
      <w:tr>
        <w:trPr>
          <w:trHeight w:val="189"/>
        </w:trPr>
        <w:tc>
          <w:tcPr>
            <w:tcW w:w="96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2020</w:t>
            </w:r>
          </w:p>
        </w:tc>
        <w:tc>
          <w:tcPr>
            <w:tcW w:w="158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David A. Burwick</w:t>
            </w:r>
          </w:p>
        </w:tc>
        <w:tc>
          <w:tcPr>
            <w:tcW w:w="8700" w:type="dxa"/>
            <w:vAlign w:val="bottom"/>
            <w:shd w:val="clear" w:color="auto" w:fill="EFF0F1"/>
          </w:tcPr>
          <w:p>
            <w:pPr>
              <w:ind w:left="280"/>
              <w:spacing w:after="0"/>
              <w:rPr>
                <w:sz w:val="20"/>
                <w:szCs w:val="20"/>
                <w:color w:val="auto"/>
              </w:rPr>
            </w:pPr>
            <w:r>
              <w:rPr>
                <w:rFonts w:ascii="Arial" w:cs="Arial" w:eastAsia="Arial" w:hAnsi="Arial"/>
                <w:sz w:val="16"/>
                <w:szCs w:val="16"/>
                <w:color w:val="41516E"/>
              </w:rPr>
              <w:t>Frank H. Smalla, John C. Geist, Carolyn O’Boyle, Quincy B. Troupe</w:t>
            </w:r>
          </w:p>
        </w:tc>
      </w:tr>
      <w:tr>
        <w:trPr>
          <w:trHeight w:val="189"/>
        </w:trPr>
        <w:tc>
          <w:tcPr>
            <w:tcW w:w="960" w:type="dxa"/>
            <w:vAlign w:val="bottom"/>
          </w:tcPr>
          <w:p>
            <w:pPr>
              <w:ind w:left="60"/>
              <w:spacing w:after="0"/>
              <w:rPr>
                <w:sz w:val="20"/>
                <w:szCs w:val="20"/>
                <w:color w:val="auto"/>
              </w:rPr>
            </w:pPr>
            <w:r>
              <w:rPr>
                <w:rFonts w:ascii="Arial" w:cs="Arial" w:eastAsia="Arial" w:hAnsi="Arial"/>
                <w:sz w:val="16"/>
                <w:szCs w:val="16"/>
                <w:color w:val="41516E"/>
              </w:rPr>
              <w:t>2021</w:t>
            </w:r>
          </w:p>
        </w:tc>
        <w:tc>
          <w:tcPr>
            <w:tcW w:w="1580" w:type="dxa"/>
            <w:vAlign w:val="bottom"/>
          </w:tcPr>
          <w:p>
            <w:pPr>
              <w:ind w:left="60"/>
              <w:spacing w:after="0"/>
              <w:rPr>
                <w:sz w:val="20"/>
                <w:szCs w:val="20"/>
                <w:color w:val="auto"/>
              </w:rPr>
            </w:pPr>
            <w:r>
              <w:rPr>
                <w:rFonts w:ascii="Arial" w:cs="Arial" w:eastAsia="Arial" w:hAnsi="Arial"/>
                <w:sz w:val="16"/>
                <w:szCs w:val="16"/>
                <w:color w:val="41516E"/>
              </w:rPr>
              <w:t>David A. Burwick</w:t>
            </w:r>
          </w:p>
        </w:tc>
        <w:tc>
          <w:tcPr>
            <w:tcW w:w="8700" w:type="dxa"/>
            <w:vAlign w:val="bottom"/>
          </w:tcPr>
          <w:p>
            <w:pPr>
              <w:ind w:left="280"/>
              <w:spacing w:after="0"/>
              <w:rPr>
                <w:sz w:val="20"/>
                <w:szCs w:val="20"/>
                <w:color w:val="auto"/>
              </w:rPr>
            </w:pPr>
            <w:r>
              <w:rPr>
                <w:rFonts w:ascii="Arial" w:cs="Arial" w:eastAsia="Arial" w:hAnsi="Arial"/>
                <w:sz w:val="16"/>
                <w:szCs w:val="16"/>
                <w:color w:val="41516E"/>
              </w:rPr>
              <w:t>Frank H. Smalla, John C. Geist, Quincy B. Troupe, Lesya Lysyj</w:t>
            </w:r>
          </w:p>
        </w:tc>
      </w:tr>
      <w:tr>
        <w:trPr>
          <w:trHeight w:val="189"/>
        </w:trPr>
        <w:tc>
          <w:tcPr>
            <w:tcW w:w="96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2022</w:t>
            </w:r>
          </w:p>
        </w:tc>
        <w:tc>
          <w:tcPr>
            <w:tcW w:w="158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David A. Burwick</w:t>
            </w:r>
          </w:p>
        </w:tc>
        <w:tc>
          <w:tcPr>
            <w:tcW w:w="8700" w:type="dxa"/>
            <w:vAlign w:val="bottom"/>
            <w:shd w:val="clear" w:color="auto" w:fill="EFF0F1"/>
          </w:tcPr>
          <w:p>
            <w:pPr>
              <w:ind w:left="280"/>
              <w:spacing w:after="0"/>
              <w:rPr>
                <w:sz w:val="20"/>
                <w:szCs w:val="20"/>
                <w:color w:val="auto"/>
              </w:rPr>
            </w:pPr>
            <w:r>
              <w:rPr>
                <w:rFonts w:ascii="Arial" w:cs="Arial" w:eastAsia="Arial" w:hAnsi="Arial"/>
                <w:sz w:val="16"/>
                <w:szCs w:val="16"/>
                <w:color w:val="41516E"/>
              </w:rPr>
              <w:t>Frank H. Smalla, John C. Geist, Lesya Lysyj, Carolyn O’Boyle, Quincy B. Troupe</w:t>
            </w:r>
          </w:p>
        </w:tc>
      </w:tr>
      <w:tr>
        <w:trPr>
          <w:trHeight w:val="189"/>
        </w:trPr>
        <w:tc>
          <w:tcPr>
            <w:tcW w:w="960" w:type="dxa"/>
            <w:vAlign w:val="bottom"/>
            <w:tcBorders>
              <w:bottom w:val="single" w:sz="8" w:color="41516E"/>
            </w:tcBorders>
          </w:tcPr>
          <w:p>
            <w:pPr>
              <w:ind w:left="60"/>
              <w:spacing w:after="0"/>
              <w:rPr>
                <w:sz w:val="20"/>
                <w:szCs w:val="20"/>
                <w:color w:val="auto"/>
              </w:rPr>
            </w:pPr>
            <w:r>
              <w:rPr>
                <w:rFonts w:ascii="Arial" w:cs="Arial" w:eastAsia="Arial" w:hAnsi="Arial"/>
                <w:sz w:val="16"/>
                <w:szCs w:val="16"/>
                <w:color w:val="41516E"/>
              </w:rPr>
              <w:t>2023</w:t>
            </w:r>
          </w:p>
        </w:tc>
        <w:tc>
          <w:tcPr>
            <w:tcW w:w="1580" w:type="dxa"/>
            <w:vAlign w:val="bottom"/>
            <w:tcBorders>
              <w:bottom w:val="single" w:sz="8" w:color="41516E"/>
            </w:tcBorders>
          </w:tcPr>
          <w:p>
            <w:pPr>
              <w:ind w:left="60"/>
              <w:spacing w:after="0"/>
              <w:rPr>
                <w:sz w:val="20"/>
                <w:szCs w:val="20"/>
                <w:color w:val="auto"/>
              </w:rPr>
            </w:pPr>
            <w:r>
              <w:rPr>
                <w:rFonts w:ascii="Arial" w:cs="Arial" w:eastAsia="Arial" w:hAnsi="Arial"/>
                <w:sz w:val="16"/>
                <w:szCs w:val="16"/>
                <w:color w:val="41516E"/>
              </w:rPr>
              <w:t>David A. Burwick</w:t>
            </w:r>
          </w:p>
        </w:tc>
        <w:tc>
          <w:tcPr>
            <w:tcW w:w="8700" w:type="dxa"/>
            <w:vAlign w:val="bottom"/>
            <w:tcBorders>
              <w:bottom w:val="single" w:sz="8" w:color="41516E"/>
            </w:tcBorders>
          </w:tcPr>
          <w:p>
            <w:pPr>
              <w:ind w:left="280"/>
              <w:spacing w:after="0"/>
              <w:rPr>
                <w:sz w:val="20"/>
                <w:szCs w:val="20"/>
                <w:color w:val="auto"/>
              </w:rPr>
            </w:pPr>
            <w:r>
              <w:rPr>
                <w:rFonts w:ascii="Arial" w:cs="Arial" w:eastAsia="Arial" w:hAnsi="Arial"/>
                <w:sz w:val="16"/>
                <w:szCs w:val="16"/>
                <w:color w:val="41516E"/>
              </w:rPr>
              <w:t>Diego Reynoso, Matthew D. Murphy, Philip A. Hodges, John C. Geist, Lesya Lysyj, Frank H. Smalla</w:t>
            </w:r>
          </w:p>
        </w:tc>
      </w:tr>
    </w:tbl>
    <w:p>
      <w:pPr>
        <w:spacing w:after="0" w:line="38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Most Important Financial Measures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41516E"/>
        </w:rPr>
        <w:t>The following table outlines the most important financial measures upon which the Company relies when analyzing and setting executive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41516E"/>
        </w:rPr>
        <w:t xml:space="preserve">Depletions Growth: </w:t>
      </w:r>
      <w:r>
        <w:rPr>
          <w:rFonts w:ascii="Arial" w:cs="Arial" w:eastAsia="Arial" w:hAnsi="Arial"/>
          <w:sz w:val="16"/>
          <w:szCs w:val="16"/>
          <w:color w:val="41516E"/>
        </w:rPr>
        <w:t>year-over-year growth of sales by our wholesalers to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41516E"/>
        </w:rPr>
        <w:t xml:space="preserve">Net Revenue Growth: </w:t>
      </w:r>
      <w:r>
        <w:rPr>
          <w:rFonts w:ascii="Arial" w:cs="Arial" w:eastAsia="Arial" w:hAnsi="Arial"/>
          <w:sz w:val="16"/>
          <w:szCs w:val="16"/>
          <w:color w:val="41516E"/>
        </w:rPr>
        <w:t>compounded net revenue growth rates over a two-year period</w:t>
      </w:r>
    </w:p>
    <w:p>
      <w:pPr>
        <w:spacing w:after="0" w:line="59" w:lineRule="exact"/>
        <w:rPr>
          <w:sz w:val="20"/>
          <w:szCs w:val="20"/>
          <w:color w:val="auto"/>
        </w:rPr>
      </w:pPr>
    </w:p>
    <w:p>
      <w:pPr>
        <w:ind w:left="60" w:right="360"/>
        <w:spacing w:after="0" w:line="281" w:lineRule="auto"/>
        <w:rPr>
          <w:sz w:val="20"/>
          <w:szCs w:val="20"/>
          <w:color w:val="auto"/>
        </w:rPr>
      </w:pPr>
      <w:r>
        <w:rPr>
          <w:rFonts w:ascii="Arial" w:cs="Arial" w:eastAsia="Arial" w:hAnsi="Arial"/>
          <w:sz w:val="16"/>
          <w:szCs w:val="16"/>
          <w:b w:val="1"/>
          <w:bCs w:val="1"/>
          <w:color w:val="41516E"/>
        </w:rPr>
        <w:t xml:space="preserve">EBIT: </w:t>
      </w:r>
      <w:r>
        <w:rPr>
          <w:rFonts w:ascii="Arial" w:cs="Arial" w:eastAsia="Arial" w:hAnsi="Arial"/>
          <w:sz w:val="16"/>
          <w:szCs w:val="16"/>
          <w:color w:val="41516E"/>
        </w:rPr>
        <w:t>annual earnings before interest and taxes. EBIT is equivalent to Operating Income on the Income Statement in the Company’s Annual Report on</w:t>
      </w:r>
      <w:r>
        <w:rPr>
          <w:rFonts w:ascii="Arial" w:cs="Arial" w:eastAsia="Arial" w:hAnsi="Arial"/>
          <w:sz w:val="16"/>
          <w:szCs w:val="16"/>
          <w:b w:val="1"/>
          <w:bCs w:val="1"/>
          <w:color w:val="41516E"/>
        </w:rPr>
        <w:t xml:space="preserve"> </w:t>
      </w:r>
      <w:r>
        <w:rPr>
          <w:rFonts w:ascii="Arial" w:cs="Arial" w:eastAsia="Arial" w:hAnsi="Arial"/>
          <w:sz w:val="16"/>
          <w:szCs w:val="16"/>
          <w:color w:val="41516E"/>
        </w:rPr>
        <w:t>Form 10-K for Fiscal Year 2023, excluding the $16.4 million non-cash impairment recorded primarily for the Dogfish Head brand in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41516E"/>
        </w:rPr>
        <w:t xml:space="preserve">Resource Efficiency: </w:t>
      </w:r>
      <w:r>
        <w:rPr>
          <w:rFonts w:ascii="Arial" w:cs="Arial" w:eastAsia="Arial" w:hAnsi="Arial"/>
          <w:sz w:val="16"/>
          <w:szCs w:val="16"/>
          <w:color w:val="41516E"/>
        </w:rPr>
        <w:t>annual focused operating expense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5"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8034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80340"/>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ind w:right="80"/>
        <w:spacing w:after="0" w:line="298" w:lineRule="auto"/>
        <w:rPr>
          <w:sz w:val="20"/>
          <w:szCs w:val="20"/>
          <w:color w:val="auto"/>
        </w:rPr>
      </w:pPr>
      <w:r>
        <w:rPr>
          <w:rFonts w:ascii="Arial" w:cs="Arial" w:eastAsia="Arial" w:hAnsi="Arial"/>
          <w:sz w:val="32"/>
          <w:szCs w:val="32"/>
          <w:b w:val="1"/>
          <w:bCs w:val="1"/>
          <w:color w:val="41516E"/>
        </w:rPr>
        <w:t>Relationship Between Most Important Financial Measures and Executive Compensation</w:t>
      </w:r>
    </w:p>
    <w:p>
      <w:pPr>
        <w:spacing w:after="0" w:line="4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As described below and elsewhere in this Proxy Statement, over the last five fiscal years we have relied on the above measures as criteria for the variable aspects of our executive compensation, particularly our cash bonus and LTE programs. Below is a description of the relationship between those measures and programs. These elements are also described in detail above under the headings “Cash Incentive Bonuses” and “Stock Option Awards.”</w:t>
      </w:r>
    </w:p>
    <w:p>
      <w:pPr>
        <w:spacing w:after="0" w:line="144" w:lineRule="exact"/>
        <w:rPr>
          <w:sz w:val="20"/>
          <w:szCs w:val="20"/>
          <w:color w:val="auto"/>
        </w:rPr>
      </w:pPr>
    </w:p>
    <w:p>
      <w:pPr>
        <w:ind w:left="180" w:hanging="172"/>
        <w:spacing w:after="0" w:line="286" w:lineRule="auto"/>
        <w:tabs>
          <w:tab w:leader="none" w:pos="180" w:val="left"/>
        </w:tabs>
        <w:numPr>
          <w:ilvl w:val="0"/>
          <w:numId w:val="31"/>
        </w:numPr>
        <w:rPr>
          <w:rFonts w:ascii="Arial" w:cs="Arial" w:eastAsia="Arial" w:hAnsi="Arial"/>
          <w:sz w:val="16"/>
          <w:szCs w:val="16"/>
          <w:color w:val="41516E"/>
        </w:rPr>
      </w:pPr>
      <w:r>
        <w:rPr>
          <w:rFonts w:ascii="Arial" w:cs="Arial" w:eastAsia="Arial" w:hAnsi="Arial"/>
          <w:sz w:val="16"/>
          <w:szCs w:val="16"/>
          <w:b w:val="1"/>
          <w:bCs w:val="1"/>
          <w:color w:val="41516E"/>
        </w:rPr>
        <w:t xml:space="preserve">Depletions Growth: </w:t>
      </w:r>
      <w:r>
        <w:rPr>
          <w:rFonts w:ascii="Arial" w:cs="Arial" w:eastAsia="Arial" w:hAnsi="Arial"/>
          <w:sz w:val="16"/>
          <w:szCs w:val="16"/>
          <w:color w:val="41516E"/>
        </w:rPr>
        <w:t>2023 Depletions Growth was weighted as 50% of our 2023 Bonus Scale. Year-over-year depletions growth was weighted as 60% of</w:t>
      </w:r>
      <w:r>
        <w:rPr>
          <w:rFonts w:ascii="Arial" w:cs="Arial" w:eastAsia="Arial" w:hAnsi="Arial"/>
          <w:sz w:val="16"/>
          <w:szCs w:val="16"/>
          <w:b w:val="1"/>
          <w:bCs w:val="1"/>
          <w:color w:val="41516E"/>
        </w:rPr>
        <w:t xml:space="preserve"> </w:t>
      </w:r>
      <w:r>
        <w:rPr>
          <w:rFonts w:ascii="Arial" w:cs="Arial" w:eastAsia="Arial" w:hAnsi="Arial"/>
          <w:sz w:val="16"/>
          <w:szCs w:val="16"/>
          <w:color w:val="41516E"/>
        </w:rPr>
        <w:t>our Bonus Scale in fiscal years 2019 through 2022.</w:t>
      </w:r>
    </w:p>
    <w:p>
      <w:pPr>
        <w:spacing w:after="0" w:line="20"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31"/>
        </w:numPr>
        <w:rPr>
          <w:rFonts w:ascii="Arial" w:cs="Arial" w:eastAsia="Arial" w:hAnsi="Arial"/>
          <w:sz w:val="16"/>
          <w:szCs w:val="16"/>
          <w:color w:val="41516E"/>
        </w:rPr>
      </w:pPr>
      <w:r>
        <w:rPr>
          <w:rFonts w:ascii="Arial" w:cs="Arial" w:eastAsia="Arial" w:hAnsi="Arial"/>
          <w:sz w:val="16"/>
          <w:szCs w:val="16"/>
          <w:b w:val="1"/>
          <w:bCs w:val="1"/>
          <w:color w:val="41516E"/>
        </w:rPr>
        <w:t xml:space="preserve">Net Revenue Growth: </w:t>
      </w:r>
      <w:r>
        <w:rPr>
          <w:rFonts w:ascii="Arial" w:cs="Arial" w:eastAsia="Arial" w:hAnsi="Arial"/>
          <w:sz w:val="16"/>
          <w:szCs w:val="16"/>
          <w:color w:val="41516E"/>
        </w:rPr>
        <w:t>The option awards granted to our CEO and other NEOs in 2023 are all contingent upon the Company achieving certain</w:t>
      </w:r>
      <w:r>
        <w:rPr>
          <w:rFonts w:ascii="Arial" w:cs="Arial" w:eastAsia="Arial" w:hAnsi="Arial"/>
          <w:sz w:val="16"/>
          <w:szCs w:val="16"/>
          <w:b w:val="1"/>
          <w:bCs w:val="1"/>
          <w:color w:val="41516E"/>
        </w:rPr>
        <w:t xml:space="preserve"> </w:t>
      </w:r>
      <w:r>
        <w:rPr>
          <w:rFonts w:ascii="Arial" w:cs="Arial" w:eastAsia="Arial" w:hAnsi="Arial"/>
          <w:sz w:val="16"/>
          <w:szCs w:val="16"/>
          <w:color w:val="41516E"/>
        </w:rPr>
        <w:t>compounded annual growth rate targets based on net revenue growth in Fiscal Year 2024 over Fiscal Year 2022, which has similarly been the case for annual option awards granted to our CEO and other NEOs in each of the last five fiscal years.</w:t>
      </w:r>
    </w:p>
    <w:p>
      <w:pPr>
        <w:spacing w:after="0" w:line="36" w:lineRule="exact"/>
        <w:rPr>
          <w:rFonts w:ascii="Arial" w:cs="Arial" w:eastAsia="Arial" w:hAnsi="Arial"/>
          <w:sz w:val="16"/>
          <w:szCs w:val="16"/>
          <w:color w:val="41516E"/>
        </w:rPr>
      </w:pPr>
    </w:p>
    <w:p>
      <w:pPr>
        <w:ind w:left="180" w:hanging="172"/>
        <w:spacing w:after="0"/>
        <w:tabs>
          <w:tab w:leader="none" w:pos="180" w:val="left"/>
        </w:tabs>
        <w:numPr>
          <w:ilvl w:val="0"/>
          <w:numId w:val="31"/>
        </w:numPr>
        <w:rPr>
          <w:rFonts w:ascii="Arial" w:cs="Arial" w:eastAsia="Arial" w:hAnsi="Arial"/>
          <w:sz w:val="16"/>
          <w:szCs w:val="16"/>
          <w:color w:val="41516E"/>
        </w:rPr>
      </w:pPr>
      <w:r>
        <w:rPr>
          <w:rFonts w:ascii="Arial" w:cs="Arial" w:eastAsia="Arial" w:hAnsi="Arial"/>
          <w:sz w:val="16"/>
          <w:szCs w:val="16"/>
          <w:b w:val="1"/>
          <w:bCs w:val="1"/>
          <w:color w:val="41516E"/>
        </w:rPr>
        <w:t xml:space="preserve">EBIT: </w:t>
      </w:r>
      <w:r>
        <w:rPr>
          <w:rFonts w:ascii="Arial" w:cs="Arial" w:eastAsia="Arial" w:hAnsi="Arial"/>
          <w:sz w:val="16"/>
          <w:szCs w:val="16"/>
          <w:color w:val="41516E"/>
        </w:rPr>
        <w:t>2023 EBIT was weighted as 30% of our 2023 Bonus Scale. EBIT was weighted as 20% of our Bonus Scale in fiscal years 2019 through 2022.</w:t>
      </w:r>
    </w:p>
    <w:p>
      <w:pPr>
        <w:spacing w:after="0" w:line="86"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31"/>
        </w:numPr>
        <w:rPr>
          <w:rFonts w:ascii="Arial" w:cs="Arial" w:eastAsia="Arial" w:hAnsi="Arial"/>
          <w:sz w:val="16"/>
          <w:szCs w:val="16"/>
          <w:color w:val="41516E"/>
        </w:rPr>
      </w:pPr>
      <w:r>
        <w:rPr>
          <w:rFonts w:ascii="Arial" w:cs="Arial" w:eastAsia="Arial" w:hAnsi="Arial"/>
          <w:sz w:val="16"/>
          <w:szCs w:val="16"/>
          <w:b w:val="1"/>
          <w:bCs w:val="1"/>
          <w:color w:val="41516E"/>
        </w:rPr>
        <w:t xml:space="preserve">Resource Efficiency: </w:t>
      </w:r>
      <w:r>
        <w:rPr>
          <w:rFonts w:ascii="Arial" w:cs="Arial" w:eastAsia="Arial" w:hAnsi="Arial"/>
          <w:sz w:val="16"/>
          <w:szCs w:val="16"/>
          <w:color w:val="41516E"/>
        </w:rPr>
        <w:t>Resource efficiency, or focused operating expense cost savings, was weighted as 20% of our 2023 Bonus Scale. Resource</w:t>
      </w:r>
      <w:r>
        <w:rPr>
          <w:rFonts w:ascii="Arial" w:cs="Arial" w:eastAsia="Arial" w:hAnsi="Arial"/>
          <w:sz w:val="16"/>
          <w:szCs w:val="16"/>
          <w:b w:val="1"/>
          <w:bCs w:val="1"/>
          <w:color w:val="41516E"/>
        </w:rPr>
        <w:t xml:space="preserve"> </w:t>
      </w:r>
      <w:r>
        <w:rPr>
          <w:rFonts w:ascii="Arial" w:cs="Arial" w:eastAsia="Arial" w:hAnsi="Arial"/>
          <w:sz w:val="16"/>
          <w:szCs w:val="16"/>
          <w:color w:val="41516E"/>
        </w:rPr>
        <w:t>Efficiency has been weighted as 20% of our Bonus Scale in each of the last five fiscal years.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The following tables set forth information regarding the correlation between each of these financial performance measures and the compensation actually paid to our CEO and the average compensation paid to our other NEOs over the last five fiscal years. When reviewing these tables, it is important to note that a substantial portion of our CEO’s compensation in 2021 was attributable to two special equity grants awarded for the purposes of retaining Mr. Burwick to provide leadership stability and to align his total compensation with the market compared to similarly sized companies. Excluding the value of those two special equity awards as of the grant date, his total earned compensation was $4,840,386 in 2021. It is also worth noting that 2023 compensation for our non-CEO NEOs includes the value of special long-term equity awards granted to two NEOs in connection with their recruitment and hiring, and another special long-term equity award to another NEO in connection with his appointment as interim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106680</wp:posOffset>
            </wp:positionV>
            <wp:extent cx="5701030" cy="30003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0103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49</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238125</wp:posOffset>
            </wp:positionV>
            <wp:extent cx="5743575" cy="637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43575" cy="637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238125</wp:posOffset>
            </wp:positionV>
            <wp:extent cx="5812155" cy="6420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12155" cy="642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51</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ind w:right="960"/>
        <w:spacing w:after="0" w:line="298" w:lineRule="auto"/>
        <w:rPr>
          <w:sz w:val="20"/>
          <w:szCs w:val="20"/>
          <w:color w:val="auto"/>
        </w:rPr>
      </w:pPr>
      <w:r>
        <w:rPr>
          <w:rFonts w:ascii="Arial" w:cs="Arial" w:eastAsia="Arial" w:hAnsi="Arial"/>
          <w:sz w:val="32"/>
          <w:szCs w:val="32"/>
          <w:b w:val="1"/>
          <w:bCs w:val="1"/>
          <w:color w:val="41516E"/>
        </w:rPr>
        <w:t>Relationship Between Company and Peer Group Total Shareholder Return</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The following table sets forth information regarding the relationship between the Company’s total shareholder return (“TSR”) and its peer group’s TSR. For the purposes of this table, the Company’s peer group is represented by Standard &amp; Poor’s 500 Beverage Index, which consists of producers of alcoholic and non-alcoholic beverages (“S&amp;P 500 Beverages Index”) for the five years ending December 30, 2023 The table assumes that the value of the investment in Boston Beer stock and the index was $100 on January 1, 2019. The TSR is reflected as of the end of the Company’s respective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104775</wp:posOffset>
            </wp:positionV>
            <wp:extent cx="6086475" cy="3317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86475"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8034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180340"/>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Pay </w:t>
      </w:r>
      <w:r>
        <w:rPr>
          <w:rFonts w:ascii="Arial" w:cs="Arial" w:eastAsia="Arial" w:hAnsi="Arial"/>
          <w:sz w:val="47"/>
          <w:szCs w:val="47"/>
          <w:b w:val="1"/>
          <w:bCs w:val="1"/>
          <w:color w:val="798297"/>
        </w:rPr>
        <w:t>Ratio Disclosure</w:t>
      </w: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The SEC requires companies to disclose the total compensation paid to their median employee, as well as the ratio of the annual total compensation of their CEO to the annual total compensation of the median employee. The ratio presented below is a reasonable estimate calculated in a manner consistent with Item 402(u) of Regulation S-K under the Securities Exchange Act of 1934.</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As outlined in detail in the Summary Compensation Table and elsewhere in this Proxy Statement, in 2023 Mr. Burwick earned annual total compensation of $5,907,342. During that same period, our median-compensated coworker’s annual total compensation was $95,907. The breakdown of the annual total compensation mix of the CEO and the Company’s median employee, which we refer to as our median-compensated coworker, is outlined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41516E"/>
              </w:rPr>
              <w:t>Performance</w:t>
            </w:r>
          </w:p>
        </w:tc>
        <w:tc>
          <w:tcPr>
            <w:tcW w:w="32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41516E"/>
              </w:rPr>
              <w:t>Equity</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3780" w:type="dxa"/>
            <w:vAlign w:val="bottom"/>
            <w:tcBorders>
              <w:bottom w:val="single" w:sz="8" w:color="41516E"/>
            </w:tcBorders>
          </w:tcPr>
          <w:p>
            <w:pPr>
              <w:ind w:left="60"/>
              <w:spacing w:after="0"/>
              <w:rPr>
                <w:sz w:val="20"/>
                <w:szCs w:val="20"/>
                <w:color w:val="auto"/>
              </w:rPr>
            </w:pPr>
            <w:r>
              <w:rPr>
                <w:rFonts w:ascii="Arial" w:cs="Arial" w:eastAsia="Arial" w:hAnsi="Arial"/>
                <w:sz w:val="16"/>
                <w:szCs w:val="16"/>
                <w:b w:val="1"/>
                <w:bCs w:val="1"/>
                <w:color w:val="41516E"/>
              </w:rPr>
              <w:t>Position</w:t>
            </w:r>
          </w:p>
        </w:tc>
        <w:tc>
          <w:tcPr>
            <w:tcW w:w="1540" w:type="dxa"/>
            <w:vAlign w:val="bottom"/>
            <w:tcBorders>
              <w:bottom w:val="single" w:sz="8" w:color="41516E"/>
            </w:tcBorders>
          </w:tcPr>
          <w:p>
            <w:pPr>
              <w:spacing w:after="0"/>
              <w:rPr>
                <w:sz w:val="17"/>
                <w:szCs w:val="17"/>
                <w:color w:val="auto"/>
              </w:rPr>
            </w:pPr>
          </w:p>
        </w:tc>
        <w:tc>
          <w:tcPr>
            <w:tcW w:w="760" w:type="dxa"/>
            <w:vAlign w:val="bottom"/>
            <w:tcBorders>
              <w:bottom w:val="single" w:sz="8" w:color="41516E"/>
            </w:tcBorders>
          </w:tcPr>
          <w:p>
            <w:pPr>
              <w:jc w:val="right"/>
              <w:ind w:right="19"/>
              <w:spacing w:after="0"/>
              <w:rPr>
                <w:sz w:val="20"/>
                <w:szCs w:val="20"/>
                <w:color w:val="auto"/>
              </w:rPr>
            </w:pPr>
            <w:r>
              <w:rPr>
                <w:rFonts w:ascii="Arial" w:cs="Arial" w:eastAsia="Arial" w:hAnsi="Arial"/>
                <w:sz w:val="16"/>
                <w:szCs w:val="16"/>
                <w:b w:val="1"/>
                <w:bCs w:val="1"/>
                <w:color w:val="41516E"/>
              </w:rPr>
              <w:t>Salary</w:t>
            </w:r>
          </w:p>
        </w:tc>
        <w:tc>
          <w:tcPr>
            <w:tcW w:w="240" w:type="dxa"/>
            <w:vAlign w:val="bottom"/>
            <w:tcBorders>
              <w:bottom w:val="single" w:sz="8" w:color="41516E"/>
            </w:tcBorders>
          </w:tcPr>
          <w:p>
            <w:pPr>
              <w:spacing w:after="0"/>
              <w:rPr>
                <w:sz w:val="17"/>
                <w:szCs w:val="17"/>
                <w:color w:val="auto"/>
              </w:rPr>
            </w:pPr>
          </w:p>
        </w:tc>
        <w:tc>
          <w:tcPr>
            <w:tcW w:w="1140" w:type="dxa"/>
            <w:vAlign w:val="bottom"/>
            <w:tcBorders>
              <w:bottom w:val="single" w:sz="8" w:color="41516E"/>
            </w:tcBorders>
          </w:tcPr>
          <w:p>
            <w:pPr>
              <w:jc w:val="right"/>
              <w:ind w:right="19"/>
              <w:spacing w:after="0"/>
              <w:rPr>
                <w:sz w:val="20"/>
                <w:szCs w:val="20"/>
                <w:color w:val="auto"/>
              </w:rPr>
            </w:pPr>
            <w:r>
              <w:rPr>
                <w:rFonts w:ascii="Arial" w:cs="Arial" w:eastAsia="Arial" w:hAnsi="Arial"/>
                <w:sz w:val="16"/>
                <w:szCs w:val="16"/>
                <w:b w:val="1"/>
                <w:bCs w:val="1"/>
                <w:color w:val="41516E"/>
              </w:rPr>
              <w:t>Bonus</w:t>
            </w:r>
          </w:p>
        </w:tc>
        <w:tc>
          <w:tcPr>
            <w:tcW w:w="320" w:type="dxa"/>
            <w:vAlign w:val="bottom"/>
            <w:tcBorders>
              <w:bottom w:val="single" w:sz="8" w:color="41516E"/>
            </w:tcBorders>
          </w:tcPr>
          <w:p>
            <w:pPr>
              <w:spacing w:after="0"/>
              <w:rPr>
                <w:sz w:val="17"/>
                <w:szCs w:val="17"/>
                <w:color w:val="auto"/>
              </w:rPr>
            </w:pPr>
          </w:p>
        </w:tc>
        <w:tc>
          <w:tcPr>
            <w:tcW w:w="920" w:type="dxa"/>
            <w:vAlign w:val="bottom"/>
            <w:tcBorders>
              <w:bottom w:val="single" w:sz="8" w:color="41516E"/>
            </w:tcBorders>
          </w:tcPr>
          <w:p>
            <w:pPr>
              <w:jc w:val="right"/>
              <w:ind w:right="19"/>
              <w:spacing w:after="0"/>
              <w:rPr>
                <w:sz w:val="20"/>
                <w:szCs w:val="20"/>
                <w:color w:val="auto"/>
              </w:rPr>
            </w:pPr>
            <w:r>
              <w:rPr>
                <w:rFonts w:ascii="Arial" w:cs="Arial" w:eastAsia="Arial" w:hAnsi="Arial"/>
                <w:sz w:val="16"/>
                <w:szCs w:val="16"/>
                <w:b w:val="1"/>
                <w:bCs w:val="1"/>
                <w:color w:val="41516E"/>
              </w:rPr>
              <w:t>Awards</w:t>
            </w:r>
          </w:p>
        </w:tc>
        <w:tc>
          <w:tcPr>
            <w:tcW w:w="280" w:type="dxa"/>
            <w:vAlign w:val="bottom"/>
            <w:tcBorders>
              <w:bottom w:val="single" w:sz="8" w:color="41516E"/>
            </w:tcBorders>
          </w:tcPr>
          <w:p>
            <w:pPr>
              <w:spacing w:after="0"/>
              <w:rPr>
                <w:sz w:val="17"/>
                <w:szCs w:val="17"/>
                <w:color w:val="auto"/>
              </w:rPr>
            </w:pPr>
          </w:p>
        </w:tc>
        <w:tc>
          <w:tcPr>
            <w:tcW w:w="1140" w:type="dxa"/>
            <w:vAlign w:val="bottom"/>
            <w:tcBorders>
              <w:bottom w:val="single" w:sz="8" w:color="41516E"/>
            </w:tcBorders>
          </w:tcPr>
          <w:p>
            <w:pPr>
              <w:jc w:val="right"/>
              <w:ind w:right="39"/>
              <w:spacing w:after="0"/>
              <w:rPr>
                <w:sz w:val="20"/>
                <w:szCs w:val="20"/>
                <w:color w:val="auto"/>
              </w:rPr>
            </w:pPr>
            <w:r>
              <w:rPr>
                <w:rFonts w:ascii="Arial" w:cs="Arial" w:eastAsia="Arial" w:hAnsi="Arial"/>
                <w:sz w:val="16"/>
                <w:szCs w:val="16"/>
                <w:b w:val="1"/>
                <w:bCs w:val="1"/>
                <w:color w:val="41516E"/>
              </w:rPr>
              <w:t>Other Comp</w:t>
            </w:r>
          </w:p>
        </w:tc>
        <w:tc>
          <w:tcPr>
            <w:tcW w:w="280" w:type="dxa"/>
            <w:vAlign w:val="bottom"/>
            <w:tcBorders>
              <w:bottom w:val="single" w:sz="8" w:color="41516E"/>
            </w:tcBorders>
          </w:tcPr>
          <w:p>
            <w:pPr>
              <w:spacing w:after="0"/>
              <w:rPr>
                <w:sz w:val="17"/>
                <w:szCs w:val="17"/>
                <w:color w:val="auto"/>
              </w:rPr>
            </w:pPr>
          </w:p>
        </w:tc>
        <w:tc>
          <w:tcPr>
            <w:tcW w:w="840" w:type="dxa"/>
            <w:vAlign w:val="bottom"/>
            <w:tcBorders>
              <w:bottom w:val="single" w:sz="8" w:color="41516E"/>
            </w:tcBorders>
          </w:tcPr>
          <w:p>
            <w:pPr>
              <w:jc w:val="right"/>
              <w:spacing w:after="0"/>
              <w:rPr>
                <w:sz w:val="20"/>
                <w:szCs w:val="20"/>
                <w:color w:val="auto"/>
              </w:rPr>
            </w:pPr>
            <w:r>
              <w:rPr>
                <w:rFonts w:ascii="Arial" w:cs="Arial" w:eastAsia="Arial" w:hAnsi="Arial"/>
                <w:sz w:val="16"/>
                <w:szCs w:val="16"/>
                <w:b w:val="1"/>
                <w:bCs w:val="1"/>
                <w:color w:val="41516E"/>
              </w:rPr>
              <w:t>Total</w:t>
            </w:r>
          </w:p>
        </w:tc>
      </w:tr>
      <w:tr>
        <w:trPr>
          <w:trHeight w:val="183"/>
        </w:trPr>
        <w:tc>
          <w:tcPr>
            <w:tcW w:w="3780" w:type="dxa"/>
            <w:vAlign w:val="bottom"/>
          </w:tcPr>
          <w:p>
            <w:pPr>
              <w:ind w:left="60"/>
              <w:spacing w:after="0" w:line="183" w:lineRule="exact"/>
              <w:rPr>
                <w:sz w:val="20"/>
                <w:szCs w:val="20"/>
                <w:color w:val="auto"/>
              </w:rPr>
            </w:pPr>
            <w:r>
              <w:rPr>
                <w:rFonts w:ascii="Arial" w:cs="Arial" w:eastAsia="Arial" w:hAnsi="Arial"/>
                <w:sz w:val="16"/>
                <w:szCs w:val="16"/>
                <w:color w:val="41516E"/>
              </w:rPr>
              <w:t>CEO</w:t>
            </w:r>
          </w:p>
        </w:tc>
        <w:tc>
          <w:tcPr>
            <w:tcW w:w="1540" w:type="dxa"/>
            <w:vAlign w:val="bottom"/>
          </w:tcPr>
          <w:p>
            <w:pPr>
              <w:jc w:val="right"/>
              <w:spacing w:after="0" w:line="183" w:lineRule="exact"/>
              <w:rPr>
                <w:sz w:val="20"/>
                <w:szCs w:val="20"/>
                <w:color w:val="auto"/>
              </w:rPr>
            </w:pPr>
            <w:r>
              <w:rPr>
                <w:rFonts w:ascii="Arial" w:cs="Arial" w:eastAsia="Arial" w:hAnsi="Arial"/>
                <w:sz w:val="16"/>
                <w:szCs w:val="16"/>
                <w:color w:val="41516E"/>
              </w:rPr>
              <w:t>$</w:t>
            </w:r>
          </w:p>
        </w:tc>
        <w:tc>
          <w:tcPr>
            <w:tcW w:w="760" w:type="dxa"/>
            <w:vAlign w:val="bottom"/>
          </w:tcPr>
          <w:p>
            <w:pPr>
              <w:jc w:val="right"/>
              <w:ind w:right="19"/>
              <w:spacing w:after="0" w:line="183" w:lineRule="exact"/>
              <w:rPr>
                <w:sz w:val="20"/>
                <w:szCs w:val="20"/>
                <w:color w:val="auto"/>
              </w:rPr>
            </w:pPr>
            <w:r>
              <w:rPr>
                <w:rFonts w:ascii="Arial" w:cs="Arial" w:eastAsia="Arial" w:hAnsi="Arial"/>
                <w:sz w:val="16"/>
                <w:szCs w:val="16"/>
                <w:color w:val="41516E"/>
              </w:rPr>
              <w:t>860,500</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41516E"/>
              </w:rPr>
              <w:t>$</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41516E"/>
              </w:rPr>
              <w:t>1,032,605</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41516E"/>
              </w:rPr>
              <w:t>$</w:t>
            </w:r>
          </w:p>
        </w:tc>
        <w:tc>
          <w:tcPr>
            <w:tcW w:w="920" w:type="dxa"/>
            <w:vAlign w:val="bottom"/>
          </w:tcPr>
          <w:p>
            <w:pPr>
              <w:jc w:val="right"/>
              <w:ind w:right="19"/>
              <w:spacing w:after="0" w:line="183" w:lineRule="exact"/>
              <w:rPr>
                <w:sz w:val="20"/>
                <w:szCs w:val="20"/>
                <w:color w:val="auto"/>
              </w:rPr>
            </w:pPr>
            <w:r>
              <w:rPr>
                <w:rFonts w:ascii="Arial" w:cs="Arial" w:eastAsia="Arial" w:hAnsi="Arial"/>
                <w:sz w:val="16"/>
                <w:szCs w:val="16"/>
                <w:color w:val="41516E"/>
              </w:rPr>
              <w:t>4,000,120</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41516E"/>
              </w:rPr>
              <w:t>$</w:t>
            </w:r>
          </w:p>
        </w:tc>
        <w:tc>
          <w:tcPr>
            <w:tcW w:w="1140" w:type="dxa"/>
            <w:vAlign w:val="bottom"/>
          </w:tcPr>
          <w:p>
            <w:pPr>
              <w:jc w:val="right"/>
              <w:ind w:right="39"/>
              <w:spacing w:after="0" w:line="183" w:lineRule="exact"/>
              <w:rPr>
                <w:sz w:val="20"/>
                <w:szCs w:val="20"/>
                <w:color w:val="auto"/>
              </w:rPr>
            </w:pPr>
            <w:r>
              <w:rPr>
                <w:rFonts w:ascii="Arial" w:cs="Arial" w:eastAsia="Arial" w:hAnsi="Arial"/>
                <w:sz w:val="16"/>
                <w:szCs w:val="16"/>
                <w:color w:val="41516E"/>
              </w:rPr>
              <w:t>14,117</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41516E"/>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41516E"/>
              </w:rPr>
              <w:t>5,907,342</w:t>
            </w:r>
          </w:p>
        </w:tc>
      </w:tr>
      <w:tr>
        <w:trPr>
          <w:trHeight w:val="189"/>
        </w:trPr>
        <w:tc>
          <w:tcPr>
            <w:tcW w:w="3780" w:type="dxa"/>
            <w:vAlign w:val="bottom"/>
            <w:tcBorders>
              <w:bottom w:val="single" w:sz="8" w:color="41516E"/>
            </w:tcBorders>
            <w:shd w:val="clear" w:color="auto" w:fill="EFF0F1"/>
          </w:tcPr>
          <w:p>
            <w:pPr>
              <w:ind w:left="60"/>
              <w:spacing w:after="0"/>
              <w:rPr>
                <w:sz w:val="20"/>
                <w:szCs w:val="20"/>
                <w:color w:val="auto"/>
              </w:rPr>
            </w:pPr>
            <w:r>
              <w:rPr>
                <w:rFonts w:ascii="Arial" w:cs="Arial" w:eastAsia="Arial" w:hAnsi="Arial"/>
                <w:sz w:val="16"/>
                <w:szCs w:val="16"/>
                <w:color w:val="41516E"/>
              </w:rPr>
              <w:t>Median-Compensated Coworker</w:t>
            </w:r>
          </w:p>
        </w:tc>
        <w:tc>
          <w:tcPr>
            <w:tcW w:w="15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760" w:type="dxa"/>
            <w:vAlign w:val="bottom"/>
            <w:tcBorders>
              <w:bottom w:val="single" w:sz="8" w:color="41516E"/>
            </w:tcBorders>
            <w:shd w:val="clear" w:color="auto" w:fill="EFF0F1"/>
          </w:tcPr>
          <w:p>
            <w:pPr>
              <w:jc w:val="right"/>
              <w:ind w:right="19"/>
              <w:spacing w:after="0"/>
              <w:rPr>
                <w:sz w:val="20"/>
                <w:szCs w:val="20"/>
                <w:color w:val="auto"/>
              </w:rPr>
            </w:pPr>
            <w:r>
              <w:rPr>
                <w:rFonts w:ascii="Arial" w:cs="Arial" w:eastAsia="Arial" w:hAnsi="Arial"/>
                <w:sz w:val="16"/>
                <w:szCs w:val="16"/>
                <w:color w:val="41516E"/>
              </w:rPr>
              <w:t>83,854</w:t>
            </w:r>
          </w:p>
        </w:tc>
        <w:tc>
          <w:tcPr>
            <w:tcW w:w="2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1140" w:type="dxa"/>
            <w:vAlign w:val="bottom"/>
            <w:tcBorders>
              <w:bottom w:val="single" w:sz="8" w:color="41516E"/>
            </w:tcBorders>
            <w:shd w:val="clear" w:color="auto" w:fill="EFF0F1"/>
          </w:tcPr>
          <w:p>
            <w:pPr>
              <w:jc w:val="right"/>
              <w:ind w:right="19"/>
              <w:spacing w:after="0"/>
              <w:rPr>
                <w:sz w:val="20"/>
                <w:szCs w:val="20"/>
                <w:color w:val="auto"/>
              </w:rPr>
            </w:pPr>
            <w:r>
              <w:rPr>
                <w:rFonts w:ascii="Arial" w:cs="Arial" w:eastAsia="Arial" w:hAnsi="Arial"/>
                <w:sz w:val="16"/>
                <w:szCs w:val="16"/>
                <w:color w:val="41516E"/>
              </w:rPr>
              <w:t>8,000</w:t>
            </w:r>
          </w:p>
        </w:tc>
        <w:tc>
          <w:tcPr>
            <w:tcW w:w="320" w:type="dxa"/>
            <w:vAlign w:val="bottom"/>
            <w:tcBorders>
              <w:bottom w:val="single" w:sz="8" w:color="41516E"/>
            </w:tcBorders>
            <w:shd w:val="clear" w:color="auto" w:fill="EFF0F1"/>
          </w:tcPr>
          <w:p>
            <w:pPr>
              <w:jc w:val="right"/>
              <w:ind w:right="19"/>
              <w:spacing w:after="0"/>
              <w:rPr>
                <w:sz w:val="20"/>
                <w:szCs w:val="20"/>
                <w:color w:val="auto"/>
              </w:rPr>
            </w:pPr>
            <w:r>
              <w:rPr>
                <w:rFonts w:ascii="Arial" w:cs="Arial" w:eastAsia="Arial" w:hAnsi="Arial"/>
                <w:sz w:val="16"/>
                <w:szCs w:val="16"/>
                <w:color w:val="41516E"/>
              </w:rPr>
              <w:t>$</w:t>
            </w:r>
          </w:p>
        </w:tc>
        <w:tc>
          <w:tcPr>
            <w:tcW w:w="920" w:type="dxa"/>
            <w:vAlign w:val="bottom"/>
            <w:tcBorders>
              <w:bottom w:val="single" w:sz="8" w:color="41516E"/>
            </w:tcBorders>
            <w:shd w:val="clear" w:color="auto" w:fill="EFF0F1"/>
          </w:tcPr>
          <w:p>
            <w:pPr>
              <w:jc w:val="right"/>
              <w:ind w:right="19"/>
              <w:spacing w:after="0"/>
              <w:rPr>
                <w:sz w:val="20"/>
                <w:szCs w:val="20"/>
                <w:color w:val="auto"/>
              </w:rPr>
            </w:pPr>
            <w:r>
              <w:rPr>
                <w:rFonts w:ascii="Arial" w:cs="Arial" w:eastAsia="Arial" w:hAnsi="Arial"/>
                <w:sz w:val="16"/>
                <w:szCs w:val="16"/>
                <w:color w:val="41516E"/>
              </w:rPr>
              <w:t>0</w:t>
            </w:r>
          </w:p>
        </w:tc>
        <w:tc>
          <w:tcPr>
            <w:tcW w:w="28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1140" w:type="dxa"/>
            <w:vAlign w:val="bottom"/>
            <w:tcBorders>
              <w:bottom w:val="single" w:sz="8" w:color="41516E"/>
            </w:tcBorders>
            <w:shd w:val="clear" w:color="auto" w:fill="EFF0F1"/>
          </w:tcPr>
          <w:p>
            <w:pPr>
              <w:jc w:val="right"/>
              <w:ind w:right="39"/>
              <w:spacing w:after="0"/>
              <w:rPr>
                <w:sz w:val="20"/>
                <w:szCs w:val="20"/>
                <w:color w:val="auto"/>
              </w:rPr>
            </w:pPr>
            <w:r>
              <w:rPr>
                <w:rFonts w:ascii="Arial" w:cs="Arial" w:eastAsia="Arial" w:hAnsi="Arial"/>
                <w:sz w:val="16"/>
                <w:szCs w:val="16"/>
                <w:color w:val="41516E"/>
              </w:rPr>
              <w:t>4,053</w:t>
            </w:r>
          </w:p>
        </w:tc>
        <w:tc>
          <w:tcPr>
            <w:tcW w:w="28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6"/>
                <w:szCs w:val="16"/>
                <w:color w:val="41516E"/>
              </w:rPr>
              <w:t>$</w:t>
            </w:r>
          </w:p>
        </w:tc>
        <w:tc>
          <w:tcPr>
            <w:tcW w:w="840" w:type="dxa"/>
            <w:vAlign w:val="bottom"/>
            <w:tcBorders>
              <w:bottom w:val="single" w:sz="8" w:color="41516E"/>
            </w:tcBorders>
            <w:shd w:val="clear" w:color="auto" w:fill="EFF0F1"/>
          </w:tcPr>
          <w:p>
            <w:pPr>
              <w:jc w:val="right"/>
              <w:spacing w:after="0"/>
              <w:rPr>
                <w:sz w:val="20"/>
                <w:szCs w:val="20"/>
                <w:color w:val="auto"/>
              </w:rPr>
            </w:pPr>
            <w:r>
              <w:rPr>
                <w:rFonts w:ascii="Arial" w:cs="Arial" w:eastAsia="Arial" w:hAnsi="Arial"/>
                <w:sz w:val="16"/>
                <w:szCs w:val="16"/>
                <w:color w:val="41516E"/>
              </w:rPr>
              <w:t>95,907</w:t>
            </w:r>
          </w:p>
        </w:tc>
      </w:tr>
    </w:tbl>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For the purposes of determining the 2023 annual total compensation of the CEO and the median-compensated coworker, “Other Comp” includes group life insurance premium contributions by the Company, Company matching contributions under the Company’s 401(k) plan, company contributions to health savings accounts, wellness plan reimbursements, car allowances (if applicable), and reimbursement of relocation expenses (if applicable).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There have been no material changes in our employee population or employee compensation arrangements in our last completed fiscal year that we believe would significantly impact our pay ratio disclosure. Accordingly, as permitted under the SEC’s disclosure rules, we are using the same median employee as we used for the purposes of our 2023 pay ratio. In determining the median-compensated coworker, a list was prepared of all Company coworkers as of December 23, 2022, excluding the CEO and coworkers on leaves of absence. The list was ranked by total compensation, and the median-compensated coworker was selected from that ranking.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41516E"/>
        </w:rPr>
        <w:t>As a result, we estimate that Mr. Burwick’s 2023 annual total compensation was approximately 62 times that of our median-compensated coworker.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132080</wp:posOffset>
            </wp:positionV>
            <wp:extent cx="8572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53</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Stock Ownership </w:t>
      </w:r>
      <w:r>
        <w:rPr>
          <w:rFonts w:ascii="Arial" w:cs="Arial" w:eastAsia="Arial" w:hAnsi="Arial"/>
          <w:sz w:val="47"/>
          <w:szCs w:val="47"/>
          <w:b w:val="1"/>
          <w:bCs w:val="1"/>
          <w:color w:val="798297"/>
        </w:rPr>
        <w:t>of Board, Management, and</w:t>
      </w:r>
    </w:p>
    <w:p>
      <w:pPr>
        <w:spacing w:after="0" w:line="34" w:lineRule="exact"/>
        <w:rPr>
          <w:sz w:val="20"/>
          <w:szCs w:val="20"/>
          <w:color w:val="auto"/>
        </w:rPr>
      </w:pPr>
    </w:p>
    <w:p>
      <w:pPr>
        <w:spacing w:after="0"/>
        <w:rPr>
          <w:sz w:val="20"/>
          <w:szCs w:val="20"/>
          <w:color w:val="auto"/>
        </w:rPr>
      </w:pPr>
      <w:r>
        <w:rPr>
          <w:rFonts w:ascii="Arial" w:cs="Arial" w:eastAsia="Arial" w:hAnsi="Arial"/>
          <w:sz w:val="47"/>
          <w:szCs w:val="47"/>
          <w:b w:val="1"/>
          <w:bCs w:val="1"/>
          <w:color w:val="798297"/>
        </w:rPr>
        <w:t>Principal Stockholders</w:t>
      </w:r>
    </w:p>
    <w:p>
      <w:pPr>
        <w:spacing w:after="0" w:line="395"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The following table sets forth certain information regarding beneficial ownership of our Class A Common Stock and Class B Common Stock as of the Record Date by:</w:t>
      </w:r>
    </w:p>
    <w:p>
      <w:pPr>
        <w:spacing w:after="0" w:line="129"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6"/>
          <w:szCs w:val="16"/>
          <w:color w:val="41516E"/>
        </w:rPr>
      </w:pPr>
      <w:r>
        <w:rPr>
          <w:rFonts w:ascii="Arial" w:cs="Arial" w:eastAsia="Arial" w:hAnsi="Arial"/>
          <w:sz w:val="16"/>
          <w:szCs w:val="16"/>
          <w:color w:val="41516E"/>
        </w:rPr>
        <w:t>Our Directors, all of whom are nominees for reelection;</w:t>
      </w:r>
    </w:p>
    <w:p>
      <w:pPr>
        <w:spacing w:after="0" w:line="86" w:lineRule="exact"/>
        <w:rPr>
          <w:rFonts w:ascii="Arial" w:cs="Arial" w:eastAsia="Arial" w:hAnsi="Arial"/>
          <w:sz w:val="16"/>
          <w:szCs w:val="16"/>
          <w:color w:val="41516E"/>
        </w:rPr>
      </w:pPr>
    </w:p>
    <w:p>
      <w:pPr>
        <w:ind w:left="180" w:hanging="172"/>
        <w:spacing w:after="0"/>
        <w:tabs>
          <w:tab w:leader="none" w:pos="180" w:val="left"/>
        </w:tabs>
        <w:numPr>
          <w:ilvl w:val="0"/>
          <w:numId w:val="32"/>
        </w:numPr>
        <w:rPr>
          <w:rFonts w:ascii="Arial" w:cs="Arial" w:eastAsia="Arial" w:hAnsi="Arial"/>
          <w:sz w:val="16"/>
          <w:szCs w:val="16"/>
          <w:color w:val="41516E"/>
        </w:rPr>
      </w:pPr>
      <w:r>
        <w:rPr>
          <w:rFonts w:ascii="Arial" w:cs="Arial" w:eastAsia="Arial" w:hAnsi="Arial"/>
          <w:sz w:val="16"/>
          <w:szCs w:val="16"/>
          <w:color w:val="41516E"/>
        </w:rPr>
        <w:t>Our 2023 Named Executive Officers;</w:t>
      </w:r>
    </w:p>
    <w:p>
      <w:pPr>
        <w:spacing w:after="0" w:line="86" w:lineRule="exact"/>
        <w:rPr>
          <w:rFonts w:ascii="Arial" w:cs="Arial" w:eastAsia="Arial" w:hAnsi="Arial"/>
          <w:sz w:val="16"/>
          <w:szCs w:val="16"/>
          <w:color w:val="41516E"/>
        </w:rPr>
      </w:pPr>
    </w:p>
    <w:p>
      <w:pPr>
        <w:ind w:left="180" w:hanging="172"/>
        <w:spacing w:after="0"/>
        <w:tabs>
          <w:tab w:leader="none" w:pos="180" w:val="left"/>
        </w:tabs>
        <w:numPr>
          <w:ilvl w:val="0"/>
          <w:numId w:val="32"/>
        </w:numPr>
        <w:rPr>
          <w:rFonts w:ascii="Arial" w:cs="Arial" w:eastAsia="Arial" w:hAnsi="Arial"/>
          <w:sz w:val="16"/>
          <w:szCs w:val="16"/>
          <w:color w:val="41516E"/>
        </w:rPr>
      </w:pPr>
      <w:r>
        <w:rPr>
          <w:rFonts w:ascii="Arial" w:cs="Arial" w:eastAsia="Arial" w:hAnsi="Arial"/>
          <w:sz w:val="16"/>
          <w:szCs w:val="16"/>
          <w:color w:val="41516E"/>
        </w:rPr>
        <w:t>All Directors and Executive Officers as a group; and</w:t>
      </w:r>
    </w:p>
    <w:p>
      <w:pPr>
        <w:spacing w:after="0" w:line="86" w:lineRule="exact"/>
        <w:rPr>
          <w:rFonts w:ascii="Arial" w:cs="Arial" w:eastAsia="Arial" w:hAnsi="Arial"/>
          <w:sz w:val="16"/>
          <w:szCs w:val="16"/>
          <w:color w:val="41516E"/>
        </w:rPr>
      </w:pPr>
    </w:p>
    <w:p>
      <w:pPr>
        <w:ind w:left="180" w:right="20" w:hanging="172"/>
        <w:spacing w:after="0" w:line="286" w:lineRule="auto"/>
        <w:tabs>
          <w:tab w:leader="none" w:pos="180" w:val="left"/>
        </w:tabs>
        <w:numPr>
          <w:ilvl w:val="0"/>
          <w:numId w:val="32"/>
        </w:numPr>
        <w:rPr>
          <w:rFonts w:ascii="Arial" w:cs="Arial" w:eastAsia="Arial" w:hAnsi="Arial"/>
          <w:sz w:val="16"/>
          <w:szCs w:val="16"/>
          <w:color w:val="41516E"/>
        </w:rPr>
      </w:pPr>
      <w:r>
        <w:rPr>
          <w:rFonts w:ascii="Arial" w:cs="Arial" w:eastAsia="Arial" w:hAnsi="Arial"/>
          <w:sz w:val="16"/>
          <w:szCs w:val="16"/>
          <w:color w:val="41516E"/>
        </w:rPr>
        <w:t>Each person (or group of affiliated persons) known by us to be a beneficial owner of more than 5% of our outstanding Class A Common Stock or Class B Common Stock.</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The information provided in the table is based on our records, information filed with the SEC, and information provided to us, except as otherwise noted. Beneficial ownership is determined under the rules of the SEC; the information set forth below is not necessarily indicative of beneficial ownership for any other purpose. Under SEC rules, beneficial ownership includes any shares as to which an individual has sole or shared voting power or investment power and any shares that the individual has the right or option to acquire under certain circumstances. Unless otherwise indicated, each person or entity named below held sole voting and investment power over the shares listed.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The share information below is as of the Record Date, except the information relating to those certain entities described in footnotes 15 through 18 to the below table is as of the dates disclosed in such footnotes and percentages are calculated assuming continued beneficial ownership as of the Record Date. All shares listed below are Class A Shares, except for Class B Shares, all of which are held by Mr. Koch. Ownership percentages shown below are percentages of all outstanding Class A Shares, except in the case of the percentage ownership of Mr. Koch, which reflects his percentage ownership of all outstanding Class A Shares and Class B Shares, as of the Record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vMerge w:val="restart"/>
          </w:tcPr>
          <w:p>
            <w:pPr>
              <w:ind w:left="60"/>
              <w:spacing w:after="0"/>
              <w:rPr>
                <w:sz w:val="20"/>
                <w:szCs w:val="20"/>
                <w:color w:val="auto"/>
              </w:rPr>
            </w:pPr>
            <w:r>
              <w:rPr>
                <w:rFonts w:ascii="Arial" w:cs="Arial" w:eastAsia="Arial" w:hAnsi="Arial"/>
                <w:sz w:val="16"/>
                <w:szCs w:val="16"/>
                <w:b w:val="1"/>
                <w:bCs w:val="1"/>
                <w:color w:val="41516E"/>
              </w:rPr>
              <w:t>Name of Beneficial Owner</w:t>
            </w:r>
          </w:p>
        </w:tc>
        <w:tc>
          <w:tcPr>
            <w:tcW w:w="2440" w:type="dxa"/>
            <w:vAlign w:val="bottom"/>
            <w:tcBorders>
              <w:bottom w:val="single" w:sz="8" w:color="41516E"/>
            </w:tcBorders>
            <w:gridSpan w:val="2"/>
          </w:tcPr>
          <w:p>
            <w:pPr>
              <w:jc w:val="right"/>
              <w:ind w:right="79"/>
              <w:spacing w:after="0"/>
              <w:rPr>
                <w:sz w:val="20"/>
                <w:szCs w:val="20"/>
                <w:color w:val="auto"/>
              </w:rPr>
            </w:pPr>
            <w:r>
              <w:rPr>
                <w:rFonts w:ascii="Arial" w:cs="Arial" w:eastAsia="Arial" w:hAnsi="Arial"/>
                <w:sz w:val="16"/>
                <w:szCs w:val="16"/>
                <w:b w:val="1"/>
                <w:bCs w:val="1"/>
                <w:color w:val="41516E"/>
              </w:rPr>
              <w:t>Shares Beneficially Owned</w:t>
            </w:r>
          </w:p>
        </w:tc>
        <w:tc>
          <w:tcPr>
            <w:tcW w:w="0" w:type="dxa"/>
            <w:vAlign w:val="bottom"/>
          </w:tcPr>
          <w:p>
            <w:pPr>
              <w:spacing w:after="0"/>
              <w:rPr>
                <w:sz w:val="1"/>
                <w:szCs w:val="1"/>
                <w:color w:val="auto"/>
              </w:rPr>
            </w:pPr>
          </w:p>
        </w:tc>
      </w:tr>
      <w:tr>
        <w:trPr>
          <w:trHeight w:val="182"/>
        </w:trPr>
        <w:tc>
          <w:tcPr>
            <w:tcW w:w="8800" w:type="dxa"/>
            <w:vAlign w:val="bottom"/>
            <w:tcBorders>
              <w:bottom w:val="single" w:sz="8" w:color="41516E"/>
            </w:tcBorders>
            <w:vMerge w:val="continue"/>
          </w:tcPr>
          <w:p>
            <w:pPr>
              <w:spacing w:after="0"/>
              <w:rPr>
                <w:sz w:val="15"/>
                <w:szCs w:val="15"/>
                <w:color w:val="auto"/>
              </w:rPr>
            </w:pPr>
          </w:p>
        </w:tc>
        <w:tc>
          <w:tcPr>
            <w:tcW w:w="1400" w:type="dxa"/>
            <w:vAlign w:val="bottom"/>
            <w:tcBorders>
              <w:bottom w:val="single" w:sz="8" w:color="41516E"/>
            </w:tcBorders>
          </w:tcPr>
          <w:p>
            <w:pPr>
              <w:jc w:val="right"/>
              <w:ind w:right="319"/>
              <w:spacing w:after="0" w:line="183" w:lineRule="exact"/>
              <w:rPr>
                <w:sz w:val="20"/>
                <w:szCs w:val="20"/>
                <w:color w:val="auto"/>
              </w:rPr>
            </w:pPr>
            <w:r>
              <w:rPr>
                <w:rFonts w:ascii="Arial" w:cs="Arial" w:eastAsia="Arial" w:hAnsi="Arial"/>
                <w:sz w:val="16"/>
                <w:szCs w:val="16"/>
                <w:b w:val="1"/>
                <w:bCs w:val="1"/>
                <w:color w:val="41516E"/>
              </w:rPr>
              <w:t>Number</w:t>
            </w:r>
          </w:p>
        </w:tc>
        <w:tc>
          <w:tcPr>
            <w:tcW w:w="1040" w:type="dxa"/>
            <w:vAlign w:val="bottom"/>
            <w:tcBorders>
              <w:bottom w:val="single" w:sz="8" w:color="41516E"/>
            </w:tcBorders>
          </w:tcPr>
          <w:p>
            <w:pPr>
              <w:jc w:val="right"/>
              <w:spacing w:after="0" w:line="183" w:lineRule="exact"/>
              <w:rPr>
                <w:sz w:val="20"/>
                <w:szCs w:val="20"/>
                <w:color w:val="auto"/>
              </w:rPr>
            </w:pPr>
            <w:r>
              <w:rPr>
                <w:rFonts w:ascii="Arial" w:cs="Arial" w:eastAsia="Arial" w:hAnsi="Arial"/>
                <w:sz w:val="16"/>
                <w:szCs w:val="16"/>
                <w:b w:val="1"/>
                <w:bCs w:val="1"/>
                <w:color w:val="41516E"/>
              </w:rPr>
              <w:t>Percent</w:t>
            </w:r>
          </w:p>
        </w:tc>
        <w:tc>
          <w:tcPr>
            <w:tcW w:w="0" w:type="dxa"/>
            <w:vAlign w:val="bottom"/>
          </w:tcPr>
          <w:p>
            <w:pPr>
              <w:spacing w:after="0"/>
              <w:rPr>
                <w:sz w:val="1"/>
                <w:szCs w:val="1"/>
                <w:color w:val="auto"/>
              </w:rPr>
            </w:pPr>
          </w:p>
        </w:tc>
      </w:tr>
      <w:tr>
        <w:trPr>
          <w:trHeight w:val="183"/>
        </w:trPr>
        <w:tc>
          <w:tcPr>
            <w:tcW w:w="8800" w:type="dxa"/>
            <w:vAlign w:val="bottom"/>
          </w:tcPr>
          <w:p>
            <w:pPr>
              <w:ind w:left="60"/>
              <w:spacing w:after="0" w:line="183" w:lineRule="exact"/>
              <w:rPr>
                <w:sz w:val="20"/>
                <w:szCs w:val="20"/>
                <w:color w:val="auto"/>
              </w:rPr>
            </w:pPr>
            <w:r>
              <w:rPr>
                <w:rFonts w:ascii="Arial" w:cs="Arial" w:eastAsia="Arial" w:hAnsi="Arial"/>
                <w:sz w:val="16"/>
                <w:szCs w:val="16"/>
                <w:b w:val="1"/>
                <w:bCs w:val="1"/>
                <w:color w:val="41516E"/>
              </w:rPr>
              <w:t>Directors and Named Executive Officers:</w:t>
            </w: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EFF0F1"/>
          </w:tcPr>
          <w:p>
            <w:pPr>
              <w:ind w:left="60"/>
              <w:spacing w:after="0" w:line="230" w:lineRule="exact"/>
              <w:rPr>
                <w:sz w:val="20"/>
                <w:szCs w:val="20"/>
                <w:color w:val="auto"/>
              </w:rPr>
            </w:pPr>
            <w:r>
              <w:rPr>
                <w:rFonts w:ascii="Arial" w:cs="Arial" w:eastAsia="Arial" w:hAnsi="Arial"/>
                <w:sz w:val="16"/>
                <w:szCs w:val="16"/>
                <w:b w:val="1"/>
                <w:bCs w:val="1"/>
                <w:color w:val="41516E"/>
              </w:rPr>
              <w:t>C. James Koch</w:t>
            </w:r>
            <w:r>
              <w:rPr>
                <w:rFonts w:ascii="Arial" w:cs="Arial" w:eastAsia="Arial" w:hAnsi="Arial"/>
                <w:sz w:val="26"/>
                <w:szCs w:val="26"/>
                <w:b w:val="1"/>
                <w:bCs w:val="1"/>
                <w:color w:val="41516E"/>
                <w:vertAlign w:val="superscript"/>
              </w:rPr>
              <w:t>(1)</w:t>
            </w:r>
          </w:p>
        </w:tc>
        <w:tc>
          <w:tcPr>
            <w:tcW w:w="1400" w:type="dxa"/>
            <w:vAlign w:val="bottom"/>
            <w:shd w:val="clear" w:color="auto" w:fill="EFF0F1"/>
          </w:tcPr>
          <w:p>
            <w:pPr>
              <w:jc w:val="right"/>
              <w:ind w:right="319"/>
              <w:spacing w:after="0"/>
              <w:rPr>
                <w:sz w:val="20"/>
                <w:szCs w:val="20"/>
                <w:color w:val="auto"/>
              </w:rPr>
            </w:pPr>
            <w:r>
              <w:rPr>
                <w:rFonts w:ascii="Arial" w:cs="Arial" w:eastAsia="Arial" w:hAnsi="Arial"/>
                <w:sz w:val="16"/>
                <w:szCs w:val="16"/>
                <w:color w:val="41516E"/>
              </w:rPr>
              <w:t>2,271,472</w:t>
            </w:r>
          </w:p>
        </w:tc>
        <w:tc>
          <w:tcPr>
            <w:tcW w:w="104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18.8%</w:t>
            </w:r>
          </w:p>
        </w:tc>
        <w:tc>
          <w:tcPr>
            <w:tcW w:w="0" w:type="dxa"/>
            <w:vAlign w:val="bottom"/>
          </w:tcPr>
          <w:p>
            <w:pPr>
              <w:spacing w:after="0"/>
              <w:rPr>
                <w:sz w:val="1"/>
                <w:szCs w:val="1"/>
                <w:color w:val="auto"/>
              </w:rPr>
            </w:pPr>
          </w:p>
        </w:tc>
      </w:tr>
      <w:tr>
        <w:trPr>
          <w:trHeight w:val="230"/>
        </w:trPr>
        <w:tc>
          <w:tcPr>
            <w:tcW w:w="8800" w:type="dxa"/>
            <w:vAlign w:val="bottom"/>
          </w:tcPr>
          <w:p>
            <w:pPr>
              <w:ind w:left="60"/>
              <w:spacing w:after="0" w:line="230" w:lineRule="exact"/>
              <w:rPr>
                <w:sz w:val="20"/>
                <w:szCs w:val="20"/>
                <w:color w:val="auto"/>
              </w:rPr>
            </w:pPr>
            <w:r>
              <w:rPr>
                <w:rFonts w:ascii="Arial" w:cs="Arial" w:eastAsia="Arial" w:hAnsi="Arial"/>
                <w:sz w:val="16"/>
                <w:szCs w:val="16"/>
                <w:b w:val="1"/>
                <w:bCs w:val="1"/>
                <w:color w:val="41516E"/>
              </w:rPr>
              <w:t>Samuel A. Calagione, III</w:t>
            </w:r>
            <w:r>
              <w:rPr>
                <w:rFonts w:ascii="Arial" w:cs="Arial" w:eastAsia="Arial" w:hAnsi="Arial"/>
                <w:sz w:val="26"/>
                <w:szCs w:val="26"/>
                <w:b w:val="1"/>
                <w:bCs w:val="1"/>
                <w:color w:val="41516E"/>
                <w:vertAlign w:val="superscript"/>
              </w:rPr>
              <w:t>(2)</w:t>
            </w:r>
          </w:p>
        </w:tc>
        <w:tc>
          <w:tcPr>
            <w:tcW w:w="1400" w:type="dxa"/>
            <w:vAlign w:val="bottom"/>
          </w:tcPr>
          <w:p>
            <w:pPr>
              <w:jc w:val="right"/>
              <w:ind w:right="319"/>
              <w:spacing w:after="0"/>
              <w:rPr>
                <w:sz w:val="20"/>
                <w:szCs w:val="20"/>
                <w:color w:val="auto"/>
              </w:rPr>
            </w:pPr>
            <w:r>
              <w:rPr>
                <w:rFonts w:ascii="Arial" w:cs="Arial" w:eastAsia="Arial" w:hAnsi="Arial"/>
                <w:sz w:val="16"/>
                <w:szCs w:val="16"/>
                <w:color w:val="41516E"/>
              </w:rPr>
              <w:t>338,035</w:t>
            </w:r>
          </w:p>
        </w:tc>
        <w:tc>
          <w:tcPr>
            <w:tcW w:w="1040" w:type="dxa"/>
            <w:vAlign w:val="bottom"/>
          </w:tcPr>
          <w:p>
            <w:pPr>
              <w:jc w:val="right"/>
              <w:spacing w:after="0"/>
              <w:rPr>
                <w:sz w:val="20"/>
                <w:szCs w:val="20"/>
                <w:color w:val="auto"/>
              </w:rPr>
            </w:pPr>
            <w:r>
              <w:rPr>
                <w:rFonts w:ascii="Arial" w:cs="Arial" w:eastAsia="Arial" w:hAnsi="Arial"/>
                <w:sz w:val="16"/>
                <w:szCs w:val="16"/>
                <w:color w:val="41516E"/>
              </w:rPr>
              <w:t>3.4%</w:t>
            </w:r>
          </w:p>
        </w:tc>
        <w:tc>
          <w:tcPr>
            <w:tcW w:w="0" w:type="dxa"/>
            <w:vAlign w:val="bottom"/>
          </w:tcPr>
          <w:p>
            <w:pPr>
              <w:spacing w:after="0"/>
              <w:rPr>
                <w:sz w:val="1"/>
                <w:szCs w:val="1"/>
                <w:color w:val="auto"/>
              </w:rPr>
            </w:pPr>
          </w:p>
        </w:tc>
      </w:tr>
      <w:tr>
        <w:trPr>
          <w:trHeight w:val="229"/>
        </w:trPr>
        <w:tc>
          <w:tcPr>
            <w:tcW w:w="8800" w:type="dxa"/>
            <w:vAlign w:val="bottom"/>
            <w:shd w:val="clear" w:color="auto" w:fill="EFF0F1"/>
          </w:tcPr>
          <w:p>
            <w:pPr>
              <w:ind w:left="60"/>
              <w:spacing w:after="0" w:line="230" w:lineRule="exact"/>
              <w:rPr>
                <w:sz w:val="20"/>
                <w:szCs w:val="20"/>
                <w:color w:val="auto"/>
              </w:rPr>
            </w:pPr>
            <w:r>
              <w:rPr>
                <w:rFonts w:ascii="Arial" w:cs="Arial" w:eastAsia="Arial" w:hAnsi="Arial"/>
                <w:sz w:val="16"/>
                <w:szCs w:val="16"/>
                <w:b w:val="1"/>
                <w:bCs w:val="1"/>
                <w:color w:val="41516E"/>
              </w:rPr>
              <w:t>Cynthia A. Fisher</w:t>
            </w:r>
            <w:r>
              <w:rPr>
                <w:rFonts w:ascii="Arial" w:cs="Arial" w:eastAsia="Arial" w:hAnsi="Arial"/>
                <w:sz w:val="26"/>
                <w:szCs w:val="26"/>
                <w:b w:val="1"/>
                <w:bCs w:val="1"/>
                <w:color w:val="41516E"/>
                <w:vertAlign w:val="superscript"/>
              </w:rPr>
              <w:t>(3)</w:t>
            </w:r>
          </w:p>
        </w:tc>
        <w:tc>
          <w:tcPr>
            <w:tcW w:w="1400" w:type="dxa"/>
            <w:vAlign w:val="bottom"/>
            <w:shd w:val="clear" w:color="auto" w:fill="EFF0F1"/>
          </w:tcPr>
          <w:p>
            <w:pPr>
              <w:jc w:val="right"/>
              <w:ind w:right="319"/>
              <w:spacing w:after="0"/>
              <w:rPr>
                <w:sz w:val="20"/>
                <w:szCs w:val="20"/>
                <w:color w:val="auto"/>
              </w:rPr>
            </w:pPr>
            <w:r>
              <w:rPr>
                <w:rFonts w:ascii="Arial" w:cs="Arial" w:eastAsia="Arial" w:hAnsi="Arial"/>
                <w:sz w:val="16"/>
                <w:szCs w:val="16"/>
                <w:color w:val="41516E"/>
              </w:rPr>
              <w:t>212,776</w:t>
            </w:r>
          </w:p>
        </w:tc>
        <w:tc>
          <w:tcPr>
            <w:tcW w:w="104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2.1%</w:t>
            </w:r>
          </w:p>
        </w:tc>
        <w:tc>
          <w:tcPr>
            <w:tcW w:w="0" w:type="dxa"/>
            <w:vAlign w:val="bottom"/>
          </w:tcPr>
          <w:p>
            <w:pPr>
              <w:spacing w:after="0"/>
              <w:rPr>
                <w:sz w:val="1"/>
                <w:szCs w:val="1"/>
                <w:color w:val="auto"/>
              </w:rPr>
            </w:pPr>
          </w:p>
        </w:tc>
      </w:tr>
      <w:tr>
        <w:trPr>
          <w:trHeight w:val="230"/>
        </w:trPr>
        <w:tc>
          <w:tcPr>
            <w:tcW w:w="8800" w:type="dxa"/>
            <w:vAlign w:val="bottom"/>
          </w:tcPr>
          <w:p>
            <w:pPr>
              <w:ind w:left="60"/>
              <w:spacing w:after="0" w:line="230" w:lineRule="exact"/>
              <w:rPr>
                <w:sz w:val="20"/>
                <w:szCs w:val="20"/>
                <w:color w:val="auto"/>
              </w:rPr>
            </w:pPr>
            <w:r>
              <w:rPr>
                <w:rFonts w:ascii="Arial" w:cs="Arial" w:eastAsia="Arial" w:hAnsi="Arial"/>
                <w:sz w:val="16"/>
                <w:szCs w:val="16"/>
                <w:b w:val="1"/>
                <w:bCs w:val="1"/>
                <w:color w:val="41516E"/>
              </w:rPr>
              <w:t>David A. Burwick</w:t>
            </w:r>
            <w:r>
              <w:rPr>
                <w:rFonts w:ascii="Arial" w:cs="Arial" w:eastAsia="Arial" w:hAnsi="Arial"/>
                <w:sz w:val="26"/>
                <w:szCs w:val="26"/>
                <w:b w:val="1"/>
                <w:bCs w:val="1"/>
                <w:color w:val="41516E"/>
                <w:vertAlign w:val="superscript"/>
              </w:rPr>
              <w:t>(4)</w:t>
            </w:r>
          </w:p>
        </w:tc>
        <w:tc>
          <w:tcPr>
            <w:tcW w:w="1400" w:type="dxa"/>
            <w:vAlign w:val="bottom"/>
          </w:tcPr>
          <w:p>
            <w:pPr>
              <w:jc w:val="right"/>
              <w:ind w:right="319"/>
              <w:spacing w:after="0"/>
              <w:rPr>
                <w:sz w:val="20"/>
                <w:szCs w:val="20"/>
                <w:color w:val="auto"/>
              </w:rPr>
            </w:pPr>
            <w:r>
              <w:rPr>
                <w:rFonts w:ascii="Arial" w:cs="Arial" w:eastAsia="Arial" w:hAnsi="Arial"/>
                <w:sz w:val="16"/>
                <w:szCs w:val="16"/>
                <w:color w:val="41516E"/>
              </w:rPr>
              <w:t>91,704</w:t>
            </w:r>
          </w:p>
        </w:tc>
        <w:tc>
          <w:tcPr>
            <w:tcW w:w="1040" w:type="dxa"/>
            <w:vAlign w:val="bottom"/>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230"/>
        </w:trPr>
        <w:tc>
          <w:tcPr>
            <w:tcW w:w="8800" w:type="dxa"/>
            <w:vAlign w:val="bottom"/>
            <w:shd w:val="clear" w:color="auto" w:fill="EFF0F1"/>
          </w:tcPr>
          <w:p>
            <w:pPr>
              <w:ind w:left="60"/>
              <w:spacing w:after="0" w:line="230" w:lineRule="exact"/>
              <w:rPr>
                <w:sz w:val="20"/>
                <w:szCs w:val="20"/>
                <w:color w:val="auto"/>
              </w:rPr>
            </w:pPr>
            <w:r>
              <w:rPr>
                <w:rFonts w:ascii="Arial" w:cs="Arial" w:eastAsia="Arial" w:hAnsi="Arial"/>
                <w:sz w:val="16"/>
                <w:szCs w:val="16"/>
                <w:b w:val="1"/>
                <w:bCs w:val="1"/>
                <w:color w:val="41516E"/>
              </w:rPr>
              <w:t>John C. Geist</w:t>
            </w:r>
            <w:r>
              <w:rPr>
                <w:rFonts w:ascii="Arial" w:cs="Arial" w:eastAsia="Arial" w:hAnsi="Arial"/>
                <w:sz w:val="26"/>
                <w:szCs w:val="26"/>
                <w:b w:val="1"/>
                <w:bCs w:val="1"/>
                <w:color w:val="41516E"/>
                <w:vertAlign w:val="superscript"/>
              </w:rPr>
              <w:t>(5)</w:t>
            </w:r>
          </w:p>
        </w:tc>
        <w:tc>
          <w:tcPr>
            <w:tcW w:w="1400" w:type="dxa"/>
            <w:vAlign w:val="bottom"/>
            <w:shd w:val="clear" w:color="auto" w:fill="EFF0F1"/>
          </w:tcPr>
          <w:p>
            <w:pPr>
              <w:jc w:val="right"/>
              <w:ind w:right="319"/>
              <w:spacing w:after="0"/>
              <w:rPr>
                <w:sz w:val="20"/>
                <w:szCs w:val="20"/>
                <w:color w:val="auto"/>
              </w:rPr>
            </w:pPr>
            <w:r>
              <w:rPr>
                <w:rFonts w:ascii="Arial" w:cs="Arial" w:eastAsia="Arial" w:hAnsi="Arial"/>
                <w:sz w:val="16"/>
                <w:szCs w:val="16"/>
                <w:color w:val="41516E"/>
              </w:rPr>
              <w:t>21,369</w:t>
            </w:r>
          </w:p>
        </w:tc>
        <w:tc>
          <w:tcPr>
            <w:tcW w:w="104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230"/>
        </w:trPr>
        <w:tc>
          <w:tcPr>
            <w:tcW w:w="8800" w:type="dxa"/>
            <w:vAlign w:val="bottom"/>
          </w:tcPr>
          <w:p>
            <w:pPr>
              <w:ind w:left="60"/>
              <w:spacing w:after="0" w:line="230" w:lineRule="exact"/>
              <w:rPr>
                <w:sz w:val="20"/>
                <w:szCs w:val="20"/>
                <w:color w:val="auto"/>
              </w:rPr>
            </w:pPr>
            <w:r>
              <w:rPr>
                <w:rFonts w:ascii="Arial" w:cs="Arial" w:eastAsia="Arial" w:hAnsi="Arial"/>
                <w:sz w:val="16"/>
                <w:szCs w:val="16"/>
                <w:b w:val="1"/>
                <w:bCs w:val="1"/>
                <w:color w:val="41516E"/>
              </w:rPr>
              <w:t>Philip A. Hodges</w:t>
            </w:r>
            <w:r>
              <w:rPr>
                <w:rFonts w:ascii="Arial" w:cs="Arial" w:eastAsia="Arial" w:hAnsi="Arial"/>
                <w:sz w:val="26"/>
                <w:szCs w:val="26"/>
                <w:b w:val="1"/>
                <w:bCs w:val="1"/>
                <w:color w:val="41516E"/>
                <w:vertAlign w:val="superscript"/>
              </w:rPr>
              <w:t>(6)</w:t>
            </w:r>
          </w:p>
        </w:tc>
        <w:tc>
          <w:tcPr>
            <w:tcW w:w="1400" w:type="dxa"/>
            <w:vAlign w:val="bottom"/>
          </w:tcPr>
          <w:p>
            <w:pPr>
              <w:jc w:val="right"/>
              <w:ind w:right="319"/>
              <w:spacing w:after="0"/>
              <w:rPr>
                <w:sz w:val="20"/>
                <w:szCs w:val="20"/>
                <w:color w:val="auto"/>
              </w:rPr>
            </w:pPr>
            <w:r>
              <w:rPr>
                <w:rFonts w:ascii="Arial" w:cs="Arial" w:eastAsia="Arial" w:hAnsi="Arial"/>
                <w:sz w:val="16"/>
                <w:szCs w:val="16"/>
                <w:color w:val="41516E"/>
              </w:rPr>
              <w:t>19,567</w:t>
            </w:r>
          </w:p>
        </w:tc>
        <w:tc>
          <w:tcPr>
            <w:tcW w:w="1040" w:type="dxa"/>
            <w:vAlign w:val="bottom"/>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229"/>
        </w:trPr>
        <w:tc>
          <w:tcPr>
            <w:tcW w:w="8800" w:type="dxa"/>
            <w:vAlign w:val="bottom"/>
            <w:shd w:val="clear" w:color="auto" w:fill="EFF0F1"/>
          </w:tcPr>
          <w:p>
            <w:pPr>
              <w:ind w:left="60"/>
              <w:spacing w:after="0" w:line="230" w:lineRule="exact"/>
              <w:rPr>
                <w:sz w:val="20"/>
                <w:szCs w:val="20"/>
                <w:color w:val="auto"/>
              </w:rPr>
            </w:pPr>
            <w:r>
              <w:rPr>
                <w:rFonts w:ascii="Arial" w:cs="Arial" w:eastAsia="Arial" w:hAnsi="Arial"/>
                <w:sz w:val="16"/>
                <w:szCs w:val="16"/>
                <w:b w:val="1"/>
                <w:bCs w:val="1"/>
                <w:color w:val="41516E"/>
              </w:rPr>
              <w:t>Jean-Michel Valette</w:t>
            </w:r>
            <w:r>
              <w:rPr>
                <w:rFonts w:ascii="Arial" w:cs="Arial" w:eastAsia="Arial" w:hAnsi="Arial"/>
                <w:sz w:val="26"/>
                <w:szCs w:val="26"/>
                <w:b w:val="1"/>
                <w:bCs w:val="1"/>
                <w:color w:val="41516E"/>
                <w:vertAlign w:val="superscript"/>
              </w:rPr>
              <w:t>(7)</w:t>
            </w:r>
          </w:p>
        </w:tc>
        <w:tc>
          <w:tcPr>
            <w:tcW w:w="1400" w:type="dxa"/>
            <w:vAlign w:val="bottom"/>
            <w:shd w:val="clear" w:color="auto" w:fill="EFF0F1"/>
          </w:tcPr>
          <w:p>
            <w:pPr>
              <w:jc w:val="right"/>
              <w:ind w:right="319"/>
              <w:spacing w:after="0"/>
              <w:rPr>
                <w:sz w:val="20"/>
                <w:szCs w:val="20"/>
                <w:color w:val="auto"/>
              </w:rPr>
            </w:pPr>
            <w:r>
              <w:rPr>
                <w:rFonts w:ascii="Arial" w:cs="Arial" w:eastAsia="Arial" w:hAnsi="Arial"/>
                <w:sz w:val="16"/>
                <w:szCs w:val="16"/>
                <w:color w:val="41516E"/>
              </w:rPr>
              <w:t>18,774</w:t>
            </w:r>
          </w:p>
        </w:tc>
        <w:tc>
          <w:tcPr>
            <w:tcW w:w="104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230"/>
        </w:trPr>
        <w:tc>
          <w:tcPr>
            <w:tcW w:w="8800" w:type="dxa"/>
            <w:vAlign w:val="bottom"/>
          </w:tcPr>
          <w:p>
            <w:pPr>
              <w:ind w:left="60"/>
              <w:spacing w:after="0" w:line="230" w:lineRule="exact"/>
              <w:rPr>
                <w:sz w:val="20"/>
                <w:szCs w:val="20"/>
                <w:color w:val="auto"/>
              </w:rPr>
            </w:pPr>
            <w:r>
              <w:rPr>
                <w:rFonts w:ascii="Arial" w:cs="Arial" w:eastAsia="Arial" w:hAnsi="Arial"/>
                <w:sz w:val="16"/>
                <w:szCs w:val="16"/>
                <w:b w:val="1"/>
                <w:bCs w:val="1"/>
                <w:color w:val="41516E"/>
              </w:rPr>
              <w:t>Lesya Lysyj</w:t>
            </w:r>
            <w:r>
              <w:rPr>
                <w:rFonts w:ascii="Arial" w:cs="Arial" w:eastAsia="Arial" w:hAnsi="Arial"/>
                <w:sz w:val="26"/>
                <w:szCs w:val="26"/>
                <w:b w:val="1"/>
                <w:bCs w:val="1"/>
                <w:color w:val="41516E"/>
                <w:vertAlign w:val="superscript"/>
              </w:rPr>
              <w:t>(8)</w:t>
            </w:r>
          </w:p>
        </w:tc>
        <w:tc>
          <w:tcPr>
            <w:tcW w:w="1400" w:type="dxa"/>
            <w:vAlign w:val="bottom"/>
          </w:tcPr>
          <w:p>
            <w:pPr>
              <w:jc w:val="right"/>
              <w:ind w:right="319"/>
              <w:spacing w:after="0"/>
              <w:rPr>
                <w:sz w:val="20"/>
                <w:szCs w:val="20"/>
                <w:color w:val="auto"/>
              </w:rPr>
            </w:pPr>
            <w:r>
              <w:rPr>
                <w:rFonts w:ascii="Arial" w:cs="Arial" w:eastAsia="Arial" w:hAnsi="Arial"/>
                <w:sz w:val="16"/>
                <w:szCs w:val="16"/>
                <w:color w:val="41516E"/>
              </w:rPr>
              <w:t>18,576</w:t>
            </w:r>
          </w:p>
        </w:tc>
        <w:tc>
          <w:tcPr>
            <w:tcW w:w="1040" w:type="dxa"/>
            <w:vAlign w:val="bottom"/>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189"/>
        </w:trPr>
        <w:tc>
          <w:tcPr>
            <w:tcW w:w="8800" w:type="dxa"/>
            <w:vAlign w:val="bottom"/>
            <w:shd w:val="clear" w:color="auto" w:fill="EFF0F1"/>
          </w:tcPr>
          <w:p>
            <w:pPr>
              <w:ind w:left="60"/>
              <w:spacing w:after="0"/>
              <w:rPr>
                <w:sz w:val="20"/>
                <w:szCs w:val="20"/>
                <w:color w:val="auto"/>
              </w:rPr>
            </w:pPr>
            <w:r>
              <w:rPr>
                <w:rFonts w:ascii="Arial" w:cs="Arial" w:eastAsia="Arial" w:hAnsi="Arial"/>
                <w:sz w:val="16"/>
                <w:szCs w:val="16"/>
                <w:b w:val="1"/>
                <w:bCs w:val="1"/>
                <w:color w:val="41516E"/>
              </w:rPr>
              <w:t>Frank H. Smalla</w:t>
            </w:r>
          </w:p>
        </w:tc>
        <w:tc>
          <w:tcPr>
            <w:tcW w:w="1400" w:type="dxa"/>
            <w:vAlign w:val="bottom"/>
            <w:shd w:val="clear" w:color="auto" w:fill="EFF0F1"/>
          </w:tcPr>
          <w:p>
            <w:pPr>
              <w:jc w:val="right"/>
              <w:ind w:right="319"/>
              <w:spacing w:after="0"/>
              <w:rPr>
                <w:sz w:val="20"/>
                <w:szCs w:val="20"/>
                <w:color w:val="auto"/>
              </w:rPr>
            </w:pPr>
            <w:r>
              <w:rPr>
                <w:rFonts w:ascii="Arial" w:cs="Arial" w:eastAsia="Arial" w:hAnsi="Arial"/>
                <w:sz w:val="16"/>
                <w:szCs w:val="16"/>
                <w:color w:val="41516E"/>
              </w:rPr>
              <w:t>10,328</w:t>
            </w:r>
          </w:p>
        </w:tc>
        <w:tc>
          <w:tcPr>
            <w:tcW w:w="104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230"/>
        </w:trPr>
        <w:tc>
          <w:tcPr>
            <w:tcW w:w="8800" w:type="dxa"/>
            <w:vAlign w:val="bottom"/>
          </w:tcPr>
          <w:p>
            <w:pPr>
              <w:ind w:left="60"/>
              <w:spacing w:after="0" w:line="230" w:lineRule="exact"/>
              <w:rPr>
                <w:sz w:val="20"/>
                <w:szCs w:val="20"/>
                <w:color w:val="auto"/>
              </w:rPr>
            </w:pPr>
            <w:r>
              <w:rPr>
                <w:rFonts w:ascii="Arial" w:cs="Arial" w:eastAsia="Arial" w:hAnsi="Arial"/>
                <w:sz w:val="16"/>
                <w:szCs w:val="16"/>
                <w:b w:val="1"/>
                <w:bCs w:val="1"/>
                <w:color w:val="41516E"/>
              </w:rPr>
              <w:t>Diego Reynoso</w:t>
            </w:r>
            <w:r>
              <w:rPr>
                <w:rFonts w:ascii="Arial" w:cs="Arial" w:eastAsia="Arial" w:hAnsi="Arial"/>
                <w:sz w:val="26"/>
                <w:szCs w:val="26"/>
                <w:b w:val="1"/>
                <w:bCs w:val="1"/>
                <w:color w:val="41516E"/>
                <w:vertAlign w:val="superscript"/>
              </w:rPr>
              <w:t>(9)</w:t>
            </w:r>
          </w:p>
        </w:tc>
        <w:tc>
          <w:tcPr>
            <w:tcW w:w="1400" w:type="dxa"/>
            <w:vAlign w:val="bottom"/>
          </w:tcPr>
          <w:p>
            <w:pPr>
              <w:jc w:val="right"/>
              <w:ind w:right="319"/>
              <w:spacing w:after="0"/>
              <w:rPr>
                <w:sz w:val="20"/>
                <w:szCs w:val="20"/>
                <w:color w:val="auto"/>
              </w:rPr>
            </w:pPr>
            <w:r>
              <w:rPr>
                <w:rFonts w:ascii="Arial" w:cs="Arial" w:eastAsia="Arial" w:hAnsi="Arial"/>
                <w:sz w:val="16"/>
                <w:szCs w:val="16"/>
                <w:color w:val="41516E"/>
              </w:rPr>
              <w:t>9,164</w:t>
            </w:r>
          </w:p>
        </w:tc>
        <w:tc>
          <w:tcPr>
            <w:tcW w:w="1040" w:type="dxa"/>
            <w:vAlign w:val="bottom"/>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229"/>
        </w:trPr>
        <w:tc>
          <w:tcPr>
            <w:tcW w:w="8800" w:type="dxa"/>
            <w:vAlign w:val="bottom"/>
            <w:shd w:val="clear" w:color="auto" w:fill="EFF0F1"/>
          </w:tcPr>
          <w:p>
            <w:pPr>
              <w:ind w:left="60"/>
              <w:spacing w:after="0" w:line="230" w:lineRule="exact"/>
              <w:rPr>
                <w:sz w:val="20"/>
                <w:szCs w:val="20"/>
                <w:color w:val="auto"/>
              </w:rPr>
            </w:pPr>
            <w:r>
              <w:rPr>
                <w:rFonts w:ascii="Arial" w:cs="Arial" w:eastAsia="Arial" w:hAnsi="Arial"/>
                <w:sz w:val="16"/>
                <w:szCs w:val="16"/>
                <w:b w:val="1"/>
                <w:bCs w:val="1"/>
                <w:color w:val="41516E"/>
              </w:rPr>
              <w:t>Michael Spillane</w:t>
            </w:r>
            <w:r>
              <w:rPr>
                <w:rFonts w:ascii="Arial" w:cs="Arial" w:eastAsia="Arial" w:hAnsi="Arial"/>
                <w:sz w:val="26"/>
                <w:szCs w:val="26"/>
                <w:b w:val="1"/>
                <w:bCs w:val="1"/>
                <w:color w:val="41516E"/>
                <w:vertAlign w:val="superscript"/>
              </w:rPr>
              <w:t>(10)</w:t>
            </w:r>
          </w:p>
        </w:tc>
        <w:tc>
          <w:tcPr>
            <w:tcW w:w="1400" w:type="dxa"/>
            <w:vAlign w:val="bottom"/>
            <w:shd w:val="clear" w:color="auto" w:fill="EFF0F1"/>
          </w:tcPr>
          <w:p>
            <w:pPr>
              <w:jc w:val="right"/>
              <w:ind w:right="319"/>
              <w:spacing w:after="0"/>
              <w:rPr>
                <w:sz w:val="20"/>
                <w:szCs w:val="20"/>
                <w:color w:val="auto"/>
              </w:rPr>
            </w:pPr>
            <w:r>
              <w:rPr>
                <w:rFonts w:ascii="Arial" w:cs="Arial" w:eastAsia="Arial" w:hAnsi="Arial"/>
                <w:sz w:val="16"/>
                <w:szCs w:val="16"/>
                <w:color w:val="41516E"/>
              </w:rPr>
              <w:t>8,964</w:t>
            </w:r>
          </w:p>
        </w:tc>
        <w:tc>
          <w:tcPr>
            <w:tcW w:w="104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230"/>
        </w:trPr>
        <w:tc>
          <w:tcPr>
            <w:tcW w:w="8800" w:type="dxa"/>
            <w:vAlign w:val="bottom"/>
          </w:tcPr>
          <w:p>
            <w:pPr>
              <w:ind w:left="60"/>
              <w:spacing w:after="0" w:line="230" w:lineRule="exact"/>
              <w:rPr>
                <w:sz w:val="20"/>
                <w:szCs w:val="20"/>
                <w:color w:val="auto"/>
              </w:rPr>
            </w:pPr>
            <w:r>
              <w:rPr>
                <w:rFonts w:ascii="Arial" w:cs="Arial" w:eastAsia="Arial" w:hAnsi="Arial"/>
                <w:sz w:val="16"/>
                <w:szCs w:val="16"/>
                <w:b w:val="1"/>
                <w:bCs w:val="1"/>
                <w:color w:val="41516E"/>
              </w:rPr>
              <w:t>Matthew D. Murphy</w:t>
            </w:r>
            <w:r>
              <w:rPr>
                <w:rFonts w:ascii="Arial" w:cs="Arial" w:eastAsia="Arial" w:hAnsi="Arial"/>
                <w:sz w:val="26"/>
                <w:szCs w:val="26"/>
                <w:b w:val="1"/>
                <w:bCs w:val="1"/>
                <w:color w:val="41516E"/>
                <w:vertAlign w:val="superscript"/>
              </w:rPr>
              <w:t>(11)</w:t>
            </w:r>
          </w:p>
        </w:tc>
        <w:tc>
          <w:tcPr>
            <w:tcW w:w="1400" w:type="dxa"/>
            <w:vAlign w:val="bottom"/>
          </w:tcPr>
          <w:p>
            <w:pPr>
              <w:jc w:val="right"/>
              <w:ind w:right="319"/>
              <w:spacing w:after="0"/>
              <w:rPr>
                <w:sz w:val="20"/>
                <w:szCs w:val="20"/>
                <w:color w:val="auto"/>
              </w:rPr>
            </w:pPr>
            <w:r>
              <w:rPr>
                <w:rFonts w:ascii="Arial" w:cs="Arial" w:eastAsia="Arial" w:hAnsi="Arial"/>
                <w:sz w:val="16"/>
                <w:szCs w:val="16"/>
                <w:color w:val="41516E"/>
              </w:rPr>
              <w:t>7,985</w:t>
            </w:r>
          </w:p>
        </w:tc>
        <w:tc>
          <w:tcPr>
            <w:tcW w:w="1040" w:type="dxa"/>
            <w:vAlign w:val="bottom"/>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230"/>
        </w:trPr>
        <w:tc>
          <w:tcPr>
            <w:tcW w:w="8800" w:type="dxa"/>
            <w:vAlign w:val="bottom"/>
            <w:shd w:val="clear" w:color="auto" w:fill="EFF0F1"/>
          </w:tcPr>
          <w:p>
            <w:pPr>
              <w:ind w:left="60"/>
              <w:spacing w:after="0" w:line="230" w:lineRule="exact"/>
              <w:rPr>
                <w:sz w:val="20"/>
                <w:szCs w:val="20"/>
                <w:color w:val="auto"/>
              </w:rPr>
            </w:pPr>
            <w:r>
              <w:rPr>
                <w:rFonts w:ascii="Arial" w:cs="Arial" w:eastAsia="Arial" w:hAnsi="Arial"/>
                <w:sz w:val="16"/>
                <w:szCs w:val="16"/>
                <w:b w:val="1"/>
                <w:bCs w:val="1"/>
                <w:color w:val="41516E"/>
              </w:rPr>
              <w:t>Meghan V. Joyce</w:t>
            </w:r>
            <w:r>
              <w:rPr>
                <w:rFonts w:ascii="Arial" w:cs="Arial" w:eastAsia="Arial" w:hAnsi="Arial"/>
                <w:sz w:val="26"/>
                <w:szCs w:val="26"/>
                <w:b w:val="1"/>
                <w:bCs w:val="1"/>
                <w:color w:val="41516E"/>
                <w:vertAlign w:val="superscript"/>
              </w:rPr>
              <w:t>(12)</w:t>
            </w:r>
          </w:p>
        </w:tc>
        <w:tc>
          <w:tcPr>
            <w:tcW w:w="1400" w:type="dxa"/>
            <w:vAlign w:val="bottom"/>
            <w:shd w:val="clear" w:color="auto" w:fill="EFF0F1"/>
          </w:tcPr>
          <w:p>
            <w:pPr>
              <w:jc w:val="right"/>
              <w:ind w:right="319"/>
              <w:spacing w:after="0"/>
              <w:rPr>
                <w:sz w:val="20"/>
                <w:szCs w:val="20"/>
                <w:color w:val="auto"/>
              </w:rPr>
            </w:pPr>
            <w:r>
              <w:rPr>
                <w:rFonts w:ascii="Arial" w:cs="Arial" w:eastAsia="Arial" w:hAnsi="Arial"/>
                <w:sz w:val="16"/>
                <w:szCs w:val="16"/>
                <w:color w:val="41516E"/>
              </w:rPr>
              <w:t>4,121</w:t>
            </w:r>
          </w:p>
        </w:tc>
        <w:tc>
          <w:tcPr>
            <w:tcW w:w="104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230"/>
        </w:trPr>
        <w:tc>
          <w:tcPr>
            <w:tcW w:w="8800" w:type="dxa"/>
            <w:vAlign w:val="bottom"/>
          </w:tcPr>
          <w:p>
            <w:pPr>
              <w:ind w:left="60"/>
              <w:spacing w:after="0" w:line="230" w:lineRule="exact"/>
              <w:rPr>
                <w:sz w:val="20"/>
                <w:szCs w:val="20"/>
                <w:color w:val="auto"/>
              </w:rPr>
            </w:pPr>
            <w:r>
              <w:rPr>
                <w:rFonts w:ascii="Arial" w:cs="Arial" w:eastAsia="Arial" w:hAnsi="Arial"/>
                <w:sz w:val="16"/>
                <w:szCs w:val="16"/>
                <w:b w:val="1"/>
                <w:bCs w:val="1"/>
                <w:color w:val="41516E"/>
              </w:rPr>
              <w:t>Julio N. Nemeth</w:t>
            </w:r>
            <w:r>
              <w:rPr>
                <w:rFonts w:ascii="Arial" w:cs="Arial" w:eastAsia="Arial" w:hAnsi="Arial"/>
                <w:sz w:val="26"/>
                <w:szCs w:val="26"/>
                <w:b w:val="1"/>
                <w:bCs w:val="1"/>
                <w:color w:val="41516E"/>
                <w:vertAlign w:val="superscript"/>
              </w:rPr>
              <w:t>(13)</w:t>
            </w:r>
          </w:p>
        </w:tc>
        <w:tc>
          <w:tcPr>
            <w:tcW w:w="1400" w:type="dxa"/>
            <w:vAlign w:val="bottom"/>
          </w:tcPr>
          <w:p>
            <w:pPr>
              <w:jc w:val="right"/>
              <w:ind w:right="319"/>
              <w:spacing w:after="0"/>
              <w:rPr>
                <w:sz w:val="20"/>
                <w:szCs w:val="20"/>
                <w:color w:val="auto"/>
              </w:rPr>
            </w:pPr>
            <w:r>
              <w:rPr>
                <w:rFonts w:ascii="Arial" w:cs="Arial" w:eastAsia="Arial" w:hAnsi="Arial"/>
                <w:sz w:val="16"/>
                <w:szCs w:val="16"/>
                <w:color w:val="41516E"/>
              </w:rPr>
              <w:t>3,051</w:t>
            </w:r>
          </w:p>
        </w:tc>
        <w:tc>
          <w:tcPr>
            <w:tcW w:w="1040" w:type="dxa"/>
            <w:vAlign w:val="bottom"/>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229"/>
        </w:trPr>
        <w:tc>
          <w:tcPr>
            <w:tcW w:w="8800" w:type="dxa"/>
            <w:vAlign w:val="bottom"/>
            <w:shd w:val="clear" w:color="auto" w:fill="EFF0F1"/>
          </w:tcPr>
          <w:p>
            <w:pPr>
              <w:ind w:left="60"/>
              <w:spacing w:after="0" w:line="230" w:lineRule="exact"/>
              <w:rPr>
                <w:sz w:val="20"/>
                <w:szCs w:val="20"/>
                <w:color w:val="auto"/>
              </w:rPr>
            </w:pPr>
            <w:r>
              <w:rPr>
                <w:rFonts w:ascii="Arial" w:cs="Arial" w:eastAsia="Arial" w:hAnsi="Arial"/>
                <w:sz w:val="16"/>
                <w:szCs w:val="16"/>
                <w:b w:val="1"/>
                <w:bCs w:val="1"/>
                <w:color w:val="41516E"/>
              </w:rPr>
              <w:t>Cynthia Swanson</w:t>
            </w:r>
            <w:r>
              <w:rPr>
                <w:rFonts w:ascii="Arial" w:cs="Arial" w:eastAsia="Arial" w:hAnsi="Arial"/>
                <w:sz w:val="26"/>
                <w:szCs w:val="26"/>
                <w:b w:val="1"/>
                <w:bCs w:val="1"/>
                <w:color w:val="41516E"/>
                <w:vertAlign w:val="superscript"/>
              </w:rPr>
              <w:t>(14)</w:t>
            </w:r>
          </w:p>
        </w:tc>
        <w:tc>
          <w:tcPr>
            <w:tcW w:w="1400" w:type="dxa"/>
            <w:vAlign w:val="bottom"/>
            <w:shd w:val="clear" w:color="auto" w:fill="EFF0F1"/>
          </w:tcPr>
          <w:p>
            <w:pPr>
              <w:jc w:val="right"/>
              <w:ind w:right="319"/>
              <w:spacing w:after="0"/>
              <w:rPr>
                <w:sz w:val="20"/>
                <w:szCs w:val="20"/>
                <w:color w:val="auto"/>
              </w:rPr>
            </w:pPr>
            <w:r>
              <w:rPr>
                <w:rFonts w:ascii="Arial" w:cs="Arial" w:eastAsia="Arial" w:hAnsi="Arial"/>
                <w:sz w:val="16"/>
                <w:szCs w:val="16"/>
                <w:color w:val="41516E"/>
              </w:rPr>
              <w:t>856</w:t>
            </w:r>
          </w:p>
        </w:tc>
        <w:tc>
          <w:tcPr>
            <w:tcW w:w="1040" w:type="dxa"/>
            <w:vAlign w:val="bottom"/>
            <w:shd w:val="clear" w:color="auto" w:fill="EFF0F1"/>
          </w:tcPr>
          <w:p>
            <w:pPr>
              <w:jc w:val="right"/>
              <w:ind w:right="119"/>
              <w:spacing w:after="0"/>
              <w:rPr>
                <w:sz w:val="20"/>
                <w:szCs w:val="20"/>
                <w:color w:val="auto"/>
              </w:rPr>
            </w:pPr>
            <w:r>
              <w:rPr>
                <w:rFonts w:ascii="Arial" w:cs="Arial" w:eastAsia="Arial" w:hAnsi="Arial"/>
                <w:sz w:val="16"/>
                <w:szCs w:val="16"/>
                <w:color w:val="41516E"/>
              </w:rPr>
              <w:t>*</w:t>
            </w:r>
          </w:p>
        </w:tc>
        <w:tc>
          <w:tcPr>
            <w:tcW w:w="0" w:type="dxa"/>
            <w:vAlign w:val="bottom"/>
          </w:tcPr>
          <w:p>
            <w:pPr>
              <w:spacing w:after="0"/>
              <w:rPr>
                <w:sz w:val="1"/>
                <w:szCs w:val="1"/>
                <w:color w:val="auto"/>
              </w:rPr>
            </w:pPr>
          </w:p>
        </w:tc>
      </w:tr>
      <w:tr>
        <w:trPr>
          <w:trHeight w:val="189"/>
        </w:trPr>
        <w:tc>
          <w:tcPr>
            <w:tcW w:w="8800" w:type="dxa"/>
            <w:vAlign w:val="bottom"/>
          </w:tcPr>
          <w:p>
            <w:pPr>
              <w:ind w:left="60"/>
              <w:spacing w:after="0"/>
              <w:rPr>
                <w:sz w:val="20"/>
                <w:szCs w:val="20"/>
                <w:color w:val="auto"/>
              </w:rPr>
            </w:pPr>
            <w:r>
              <w:rPr>
                <w:rFonts w:ascii="Arial" w:cs="Arial" w:eastAsia="Arial" w:hAnsi="Arial"/>
                <w:sz w:val="16"/>
                <w:szCs w:val="16"/>
                <w:b w:val="1"/>
                <w:bCs w:val="1"/>
                <w:color w:val="41516E"/>
              </w:rPr>
              <w:t xml:space="preserve">All Directors and Executive Officers as a group </w:t>
            </w:r>
            <w:r>
              <w:rPr>
                <w:rFonts w:ascii="Arial" w:cs="Arial" w:eastAsia="Arial" w:hAnsi="Arial"/>
                <w:sz w:val="16"/>
                <w:szCs w:val="16"/>
                <w:color w:val="41516E"/>
              </w:rPr>
              <w:t>(20 people)</w:t>
            </w:r>
          </w:p>
        </w:tc>
        <w:tc>
          <w:tcPr>
            <w:tcW w:w="1400" w:type="dxa"/>
            <w:vAlign w:val="bottom"/>
          </w:tcPr>
          <w:p>
            <w:pPr>
              <w:jc w:val="right"/>
              <w:ind w:right="319"/>
              <w:spacing w:after="0"/>
              <w:rPr>
                <w:sz w:val="20"/>
                <w:szCs w:val="20"/>
                <w:color w:val="auto"/>
              </w:rPr>
            </w:pPr>
            <w:r>
              <w:rPr>
                <w:rFonts w:ascii="Arial" w:cs="Arial" w:eastAsia="Arial" w:hAnsi="Arial"/>
                <w:sz w:val="16"/>
                <w:szCs w:val="16"/>
                <w:color w:val="41516E"/>
              </w:rPr>
              <w:t>2,879,520</w:t>
            </w:r>
          </w:p>
        </w:tc>
        <w:tc>
          <w:tcPr>
            <w:tcW w:w="1040" w:type="dxa"/>
            <w:vAlign w:val="bottom"/>
          </w:tcPr>
          <w:p>
            <w:pPr>
              <w:jc w:val="right"/>
              <w:spacing w:after="0"/>
              <w:rPr>
                <w:sz w:val="20"/>
                <w:szCs w:val="20"/>
                <w:color w:val="auto"/>
              </w:rPr>
            </w:pPr>
            <w:r>
              <w:rPr>
                <w:rFonts w:ascii="Arial" w:cs="Arial" w:eastAsia="Arial" w:hAnsi="Arial"/>
                <w:sz w:val="16"/>
                <w:szCs w:val="16"/>
                <w:color w:val="41516E"/>
              </w:rPr>
              <w:t>24.0%</w:t>
            </w:r>
          </w:p>
        </w:tc>
        <w:tc>
          <w:tcPr>
            <w:tcW w:w="0" w:type="dxa"/>
            <w:vAlign w:val="bottom"/>
          </w:tcPr>
          <w:p>
            <w:pPr>
              <w:spacing w:after="0"/>
              <w:rPr>
                <w:sz w:val="1"/>
                <w:szCs w:val="1"/>
                <w:color w:val="auto"/>
              </w:rPr>
            </w:pPr>
          </w:p>
        </w:tc>
      </w:tr>
      <w:tr>
        <w:trPr>
          <w:trHeight w:val="189"/>
        </w:trPr>
        <w:tc>
          <w:tcPr>
            <w:tcW w:w="8800" w:type="dxa"/>
            <w:vAlign w:val="bottom"/>
            <w:shd w:val="clear" w:color="auto" w:fill="EFF0F1"/>
          </w:tcPr>
          <w:p>
            <w:pPr>
              <w:ind w:left="60"/>
              <w:spacing w:after="0"/>
              <w:rPr>
                <w:sz w:val="20"/>
                <w:szCs w:val="20"/>
                <w:color w:val="auto"/>
              </w:rPr>
            </w:pPr>
            <w:r>
              <w:rPr>
                <w:rFonts w:ascii="Arial" w:cs="Arial" w:eastAsia="Arial" w:hAnsi="Arial"/>
                <w:sz w:val="16"/>
                <w:szCs w:val="16"/>
                <w:b w:val="1"/>
                <w:bCs w:val="1"/>
                <w:color w:val="41516E"/>
              </w:rPr>
              <w:t>Owners of 5% or More of the Company’s Outstanding Shares:</w:t>
            </w:r>
          </w:p>
        </w:tc>
        <w:tc>
          <w:tcPr>
            <w:tcW w:w="1400" w:type="dxa"/>
            <w:vAlign w:val="bottom"/>
            <w:shd w:val="clear" w:color="auto" w:fill="EFF0F1"/>
          </w:tcPr>
          <w:p>
            <w:pPr>
              <w:spacing w:after="0"/>
              <w:rPr>
                <w:sz w:val="16"/>
                <w:szCs w:val="16"/>
                <w:color w:val="auto"/>
              </w:rPr>
            </w:pPr>
          </w:p>
        </w:tc>
        <w:tc>
          <w:tcPr>
            <w:tcW w:w="1040" w:type="dxa"/>
            <w:vAlign w:val="bottom"/>
            <w:shd w:val="clear" w:color="auto" w:fill="EFF0F1"/>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800" w:type="dxa"/>
            <w:vAlign w:val="bottom"/>
          </w:tcPr>
          <w:p>
            <w:pPr>
              <w:ind w:left="60"/>
              <w:spacing w:after="0" w:line="216" w:lineRule="exact"/>
              <w:rPr>
                <w:sz w:val="20"/>
                <w:szCs w:val="20"/>
                <w:color w:val="auto"/>
              </w:rPr>
            </w:pPr>
            <w:r>
              <w:rPr>
                <w:rFonts w:ascii="Arial" w:cs="Arial" w:eastAsia="Arial" w:hAnsi="Arial"/>
                <w:sz w:val="15"/>
                <w:szCs w:val="15"/>
                <w:b w:val="1"/>
                <w:bCs w:val="1"/>
                <w:color w:val="41516E"/>
              </w:rPr>
              <w:t>FMR LLC</w:t>
            </w:r>
            <w:r>
              <w:rPr>
                <w:rFonts w:ascii="Arial" w:cs="Arial" w:eastAsia="Arial" w:hAnsi="Arial"/>
                <w:sz w:val="24"/>
                <w:szCs w:val="24"/>
                <w:b w:val="1"/>
                <w:bCs w:val="1"/>
                <w:color w:val="41516E"/>
                <w:vertAlign w:val="superscript"/>
              </w:rPr>
              <w:t>(15)</w:t>
            </w:r>
          </w:p>
        </w:tc>
        <w:tc>
          <w:tcPr>
            <w:tcW w:w="1400" w:type="dxa"/>
            <w:vAlign w:val="bottom"/>
          </w:tcPr>
          <w:p>
            <w:pPr>
              <w:jc w:val="right"/>
              <w:ind w:right="319"/>
              <w:spacing w:after="0"/>
              <w:rPr>
                <w:sz w:val="20"/>
                <w:szCs w:val="20"/>
                <w:color w:val="auto"/>
              </w:rPr>
            </w:pPr>
            <w:r>
              <w:rPr>
                <w:rFonts w:ascii="Arial" w:cs="Arial" w:eastAsia="Arial" w:hAnsi="Arial"/>
                <w:sz w:val="16"/>
                <w:szCs w:val="16"/>
                <w:color w:val="41516E"/>
              </w:rPr>
              <w:t>993,034</w:t>
            </w:r>
          </w:p>
        </w:tc>
        <w:tc>
          <w:tcPr>
            <w:tcW w:w="1040" w:type="dxa"/>
            <w:vAlign w:val="bottom"/>
          </w:tcPr>
          <w:p>
            <w:pPr>
              <w:jc w:val="right"/>
              <w:spacing w:after="0"/>
              <w:rPr>
                <w:sz w:val="20"/>
                <w:szCs w:val="20"/>
                <w:color w:val="auto"/>
              </w:rPr>
            </w:pPr>
            <w:r>
              <w:rPr>
                <w:rFonts w:ascii="Arial" w:cs="Arial" w:eastAsia="Arial" w:hAnsi="Arial"/>
                <w:sz w:val="16"/>
                <w:szCs w:val="16"/>
                <w:color w:val="41516E"/>
              </w:rPr>
              <w:t>9.8%</w:t>
            </w:r>
          </w:p>
        </w:tc>
        <w:tc>
          <w:tcPr>
            <w:tcW w:w="0" w:type="dxa"/>
            <w:vAlign w:val="bottom"/>
          </w:tcPr>
          <w:p>
            <w:pPr>
              <w:spacing w:after="0"/>
              <w:rPr>
                <w:sz w:val="1"/>
                <w:szCs w:val="1"/>
                <w:color w:val="auto"/>
              </w:rPr>
            </w:pPr>
          </w:p>
        </w:tc>
      </w:tr>
      <w:tr>
        <w:trPr>
          <w:trHeight w:val="189"/>
        </w:trPr>
        <w:tc>
          <w:tcPr>
            <w:tcW w:w="8800" w:type="dxa"/>
            <w:vAlign w:val="bottom"/>
          </w:tcPr>
          <w:p>
            <w:pPr>
              <w:ind w:left="60"/>
              <w:spacing w:after="0"/>
              <w:rPr>
                <w:sz w:val="20"/>
                <w:szCs w:val="20"/>
                <w:color w:val="auto"/>
              </w:rPr>
            </w:pPr>
            <w:r>
              <w:rPr>
                <w:rFonts w:ascii="Arial" w:cs="Arial" w:eastAsia="Arial" w:hAnsi="Arial"/>
                <w:sz w:val="16"/>
                <w:szCs w:val="16"/>
                <w:color w:val="41516E"/>
              </w:rPr>
              <w:t>245 Summer Street</w:t>
            </w: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60"/>
              <w:spacing w:after="0"/>
              <w:rPr>
                <w:sz w:val="20"/>
                <w:szCs w:val="20"/>
                <w:color w:val="auto"/>
              </w:rPr>
            </w:pPr>
            <w:r>
              <w:rPr>
                <w:rFonts w:ascii="Arial" w:cs="Arial" w:eastAsia="Arial" w:hAnsi="Arial"/>
                <w:sz w:val="16"/>
                <w:szCs w:val="16"/>
                <w:color w:val="41516E"/>
              </w:rPr>
              <w:t>Boston, MA 02210</w:t>
            </w: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EFF0F1"/>
          </w:tcPr>
          <w:p>
            <w:pPr>
              <w:ind w:left="60"/>
              <w:spacing w:after="0" w:line="230" w:lineRule="exact"/>
              <w:rPr>
                <w:sz w:val="20"/>
                <w:szCs w:val="20"/>
                <w:color w:val="auto"/>
              </w:rPr>
            </w:pPr>
            <w:r>
              <w:rPr>
                <w:rFonts w:ascii="Arial" w:cs="Arial" w:eastAsia="Arial" w:hAnsi="Arial"/>
                <w:sz w:val="16"/>
                <w:szCs w:val="16"/>
                <w:b w:val="1"/>
                <w:bCs w:val="1"/>
                <w:color w:val="41516E"/>
              </w:rPr>
              <w:t>T. Rowe Price Investment Management, Inc.</w:t>
            </w:r>
            <w:r>
              <w:rPr>
                <w:rFonts w:ascii="Arial" w:cs="Arial" w:eastAsia="Arial" w:hAnsi="Arial"/>
                <w:sz w:val="26"/>
                <w:szCs w:val="26"/>
                <w:b w:val="1"/>
                <w:bCs w:val="1"/>
                <w:color w:val="41516E"/>
                <w:vertAlign w:val="superscript"/>
              </w:rPr>
              <w:t>(16)</w:t>
            </w:r>
          </w:p>
        </w:tc>
        <w:tc>
          <w:tcPr>
            <w:tcW w:w="1400" w:type="dxa"/>
            <w:vAlign w:val="bottom"/>
            <w:shd w:val="clear" w:color="auto" w:fill="EFF0F1"/>
          </w:tcPr>
          <w:p>
            <w:pPr>
              <w:jc w:val="right"/>
              <w:ind w:right="319"/>
              <w:spacing w:after="0"/>
              <w:rPr>
                <w:sz w:val="20"/>
                <w:szCs w:val="20"/>
                <w:color w:val="auto"/>
              </w:rPr>
            </w:pPr>
            <w:r>
              <w:rPr>
                <w:rFonts w:ascii="Arial" w:cs="Arial" w:eastAsia="Arial" w:hAnsi="Arial"/>
                <w:sz w:val="16"/>
                <w:szCs w:val="16"/>
                <w:color w:val="41516E"/>
              </w:rPr>
              <w:t>931,099</w:t>
            </w:r>
          </w:p>
        </w:tc>
        <w:tc>
          <w:tcPr>
            <w:tcW w:w="104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9.2%</w:t>
            </w:r>
          </w:p>
        </w:tc>
        <w:tc>
          <w:tcPr>
            <w:tcW w:w="0" w:type="dxa"/>
            <w:vAlign w:val="bottom"/>
          </w:tcPr>
          <w:p>
            <w:pPr>
              <w:spacing w:after="0"/>
              <w:rPr>
                <w:sz w:val="1"/>
                <w:szCs w:val="1"/>
                <w:color w:val="auto"/>
              </w:rPr>
            </w:pPr>
          </w:p>
        </w:tc>
      </w:tr>
      <w:tr>
        <w:trPr>
          <w:trHeight w:val="189"/>
        </w:trPr>
        <w:tc>
          <w:tcPr>
            <w:tcW w:w="88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101 E. Pratt Street</w:t>
            </w:r>
          </w:p>
        </w:tc>
        <w:tc>
          <w:tcPr>
            <w:tcW w:w="1400" w:type="dxa"/>
            <w:vAlign w:val="bottom"/>
            <w:shd w:val="clear" w:color="auto" w:fill="EFF0F1"/>
          </w:tcPr>
          <w:p>
            <w:pPr>
              <w:spacing w:after="0"/>
              <w:rPr>
                <w:sz w:val="16"/>
                <w:szCs w:val="16"/>
                <w:color w:val="auto"/>
              </w:rPr>
            </w:pPr>
          </w:p>
        </w:tc>
        <w:tc>
          <w:tcPr>
            <w:tcW w:w="1040" w:type="dxa"/>
            <w:vAlign w:val="bottom"/>
            <w:shd w:val="clear" w:color="auto" w:fill="EFF0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Baltimore, MD 21201</w:t>
            </w:r>
          </w:p>
        </w:tc>
        <w:tc>
          <w:tcPr>
            <w:tcW w:w="1400" w:type="dxa"/>
            <w:vAlign w:val="bottom"/>
            <w:shd w:val="clear" w:color="auto" w:fill="EFF0F1"/>
          </w:tcPr>
          <w:p>
            <w:pPr>
              <w:spacing w:after="0"/>
              <w:rPr>
                <w:sz w:val="16"/>
                <w:szCs w:val="16"/>
                <w:color w:val="auto"/>
              </w:rPr>
            </w:pPr>
          </w:p>
        </w:tc>
        <w:tc>
          <w:tcPr>
            <w:tcW w:w="1040" w:type="dxa"/>
            <w:vAlign w:val="bottom"/>
            <w:shd w:val="clear" w:color="auto" w:fill="EFF0F1"/>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800" w:type="dxa"/>
            <w:vAlign w:val="bottom"/>
          </w:tcPr>
          <w:p>
            <w:pPr>
              <w:ind w:left="60"/>
              <w:spacing w:after="0" w:line="216" w:lineRule="exact"/>
              <w:rPr>
                <w:sz w:val="20"/>
                <w:szCs w:val="20"/>
                <w:color w:val="auto"/>
              </w:rPr>
            </w:pPr>
            <w:r>
              <w:rPr>
                <w:rFonts w:ascii="Arial" w:cs="Arial" w:eastAsia="Arial" w:hAnsi="Arial"/>
                <w:sz w:val="15"/>
                <w:szCs w:val="15"/>
                <w:b w:val="1"/>
                <w:bCs w:val="1"/>
                <w:color w:val="41516E"/>
              </w:rPr>
              <w:t>The Vanguard Group</w:t>
            </w:r>
            <w:r>
              <w:rPr>
                <w:rFonts w:ascii="Arial" w:cs="Arial" w:eastAsia="Arial" w:hAnsi="Arial"/>
                <w:sz w:val="24"/>
                <w:szCs w:val="24"/>
                <w:b w:val="1"/>
                <w:bCs w:val="1"/>
                <w:color w:val="41516E"/>
                <w:vertAlign w:val="superscript"/>
              </w:rPr>
              <w:t>(17)</w:t>
            </w:r>
          </w:p>
        </w:tc>
        <w:tc>
          <w:tcPr>
            <w:tcW w:w="1400" w:type="dxa"/>
            <w:vAlign w:val="bottom"/>
          </w:tcPr>
          <w:p>
            <w:pPr>
              <w:jc w:val="right"/>
              <w:ind w:right="319"/>
              <w:spacing w:after="0"/>
              <w:rPr>
                <w:sz w:val="20"/>
                <w:szCs w:val="20"/>
                <w:color w:val="auto"/>
              </w:rPr>
            </w:pPr>
            <w:r>
              <w:rPr>
                <w:rFonts w:ascii="Arial" w:cs="Arial" w:eastAsia="Arial" w:hAnsi="Arial"/>
                <w:sz w:val="16"/>
                <w:szCs w:val="16"/>
                <w:color w:val="41516E"/>
              </w:rPr>
              <w:t>918,497</w:t>
            </w:r>
          </w:p>
        </w:tc>
        <w:tc>
          <w:tcPr>
            <w:tcW w:w="1040" w:type="dxa"/>
            <w:vAlign w:val="bottom"/>
          </w:tcPr>
          <w:p>
            <w:pPr>
              <w:jc w:val="right"/>
              <w:spacing w:after="0"/>
              <w:rPr>
                <w:sz w:val="20"/>
                <w:szCs w:val="20"/>
                <w:color w:val="auto"/>
              </w:rPr>
            </w:pPr>
            <w:r>
              <w:rPr>
                <w:rFonts w:ascii="Arial" w:cs="Arial" w:eastAsia="Arial" w:hAnsi="Arial"/>
                <w:sz w:val="16"/>
                <w:szCs w:val="16"/>
                <w:color w:val="41516E"/>
              </w:rPr>
              <w:t>9.1%</w:t>
            </w:r>
          </w:p>
        </w:tc>
        <w:tc>
          <w:tcPr>
            <w:tcW w:w="0" w:type="dxa"/>
            <w:vAlign w:val="bottom"/>
          </w:tcPr>
          <w:p>
            <w:pPr>
              <w:spacing w:after="0"/>
              <w:rPr>
                <w:sz w:val="1"/>
                <w:szCs w:val="1"/>
                <w:color w:val="auto"/>
              </w:rPr>
            </w:pPr>
          </w:p>
        </w:tc>
      </w:tr>
      <w:tr>
        <w:trPr>
          <w:trHeight w:val="203"/>
        </w:trPr>
        <w:tc>
          <w:tcPr>
            <w:tcW w:w="8800" w:type="dxa"/>
            <w:vAlign w:val="bottom"/>
          </w:tcPr>
          <w:p>
            <w:pPr>
              <w:ind w:left="60"/>
              <w:spacing w:after="0"/>
              <w:rPr>
                <w:sz w:val="20"/>
                <w:szCs w:val="20"/>
                <w:color w:val="auto"/>
              </w:rPr>
            </w:pPr>
            <w:r>
              <w:rPr>
                <w:rFonts w:ascii="Arial" w:cs="Arial" w:eastAsia="Arial" w:hAnsi="Arial"/>
                <w:sz w:val="16"/>
                <w:szCs w:val="16"/>
                <w:color w:val="41516E"/>
              </w:rPr>
              <w:t>100 Vanguard Blvd., Malvern, PA 19355</w:t>
            </w: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EFF0F1"/>
          </w:tcPr>
          <w:p>
            <w:pPr>
              <w:ind w:left="60"/>
              <w:spacing w:after="0" w:line="230" w:lineRule="exact"/>
              <w:rPr>
                <w:sz w:val="20"/>
                <w:szCs w:val="20"/>
                <w:color w:val="auto"/>
              </w:rPr>
            </w:pPr>
            <w:r>
              <w:rPr>
                <w:rFonts w:ascii="Arial" w:cs="Arial" w:eastAsia="Arial" w:hAnsi="Arial"/>
                <w:sz w:val="16"/>
                <w:szCs w:val="16"/>
                <w:b w:val="1"/>
                <w:bCs w:val="1"/>
                <w:color w:val="41516E"/>
              </w:rPr>
              <w:t>BlackRock, Inc.</w:t>
            </w:r>
            <w:r>
              <w:rPr>
                <w:rFonts w:ascii="Arial" w:cs="Arial" w:eastAsia="Arial" w:hAnsi="Arial"/>
                <w:sz w:val="26"/>
                <w:szCs w:val="26"/>
                <w:b w:val="1"/>
                <w:bCs w:val="1"/>
                <w:color w:val="41516E"/>
                <w:vertAlign w:val="superscript"/>
              </w:rPr>
              <w:t>(18)</w:t>
            </w:r>
          </w:p>
        </w:tc>
        <w:tc>
          <w:tcPr>
            <w:tcW w:w="1400" w:type="dxa"/>
            <w:vAlign w:val="bottom"/>
            <w:shd w:val="clear" w:color="auto" w:fill="EFF0F1"/>
          </w:tcPr>
          <w:p>
            <w:pPr>
              <w:jc w:val="right"/>
              <w:ind w:right="319"/>
              <w:spacing w:after="0"/>
              <w:rPr>
                <w:sz w:val="20"/>
                <w:szCs w:val="20"/>
                <w:color w:val="auto"/>
              </w:rPr>
            </w:pPr>
            <w:r>
              <w:rPr>
                <w:rFonts w:ascii="Arial" w:cs="Arial" w:eastAsia="Arial" w:hAnsi="Arial"/>
                <w:sz w:val="16"/>
                <w:szCs w:val="16"/>
                <w:color w:val="41516E"/>
              </w:rPr>
              <w:t>827,289</w:t>
            </w:r>
          </w:p>
        </w:tc>
        <w:tc>
          <w:tcPr>
            <w:tcW w:w="104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8.2%</w:t>
            </w:r>
          </w:p>
        </w:tc>
        <w:tc>
          <w:tcPr>
            <w:tcW w:w="0" w:type="dxa"/>
            <w:vAlign w:val="bottom"/>
          </w:tcPr>
          <w:p>
            <w:pPr>
              <w:spacing w:after="0"/>
              <w:rPr>
                <w:sz w:val="1"/>
                <w:szCs w:val="1"/>
                <w:color w:val="auto"/>
              </w:rPr>
            </w:pPr>
          </w:p>
        </w:tc>
      </w:tr>
      <w:tr>
        <w:trPr>
          <w:trHeight w:val="189"/>
        </w:trPr>
        <w:tc>
          <w:tcPr>
            <w:tcW w:w="8800" w:type="dxa"/>
            <w:vAlign w:val="bottom"/>
            <w:shd w:val="clear" w:color="auto" w:fill="EFF0F1"/>
          </w:tcPr>
          <w:p>
            <w:pPr>
              <w:ind w:left="60"/>
              <w:spacing w:after="0"/>
              <w:rPr>
                <w:sz w:val="20"/>
                <w:szCs w:val="20"/>
                <w:color w:val="auto"/>
              </w:rPr>
            </w:pPr>
            <w:r>
              <w:rPr>
                <w:rFonts w:ascii="Arial" w:cs="Arial" w:eastAsia="Arial" w:hAnsi="Arial"/>
                <w:sz w:val="16"/>
                <w:szCs w:val="16"/>
                <w:color w:val="41516E"/>
              </w:rPr>
              <w:t>55 East 52nd Street</w:t>
            </w:r>
          </w:p>
        </w:tc>
        <w:tc>
          <w:tcPr>
            <w:tcW w:w="1400" w:type="dxa"/>
            <w:vAlign w:val="bottom"/>
            <w:shd w:val="clear" w:color="auto" w:fill="EFF0F1"/>
          </w:tcPr>
          <w:p>
            <w:pPr>
              <w:spacing w:after="0"/>
              <w:rPr>
                <w:sz w:val="16"/>
                <w:szCs w:val="16"/>
                <w:color w:val="auto"/>
              </w:rPr>
            </w:pPr>
          </w:p>
        </w:tc>
        <w:tc>
          <w:tcPr>
            <w:tcW w:w="1040" w:type="dxa"/>
            <w:vAlign w:val="bottom"/>
            <w:shd w:val="clear" w:color="auto" w:fill="EFF0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0" w:type="dxa"/>
            <w:vAlign w:val="bottom"/>
            <w:tcBorders>
              <w:bottom w:val="single" w:sz="8" w:color="41516E"/>
            </w:tcBorders>
            <w:shd w:val="clear" w:color="auto" w:fill="EFF0F1"/>
          </w:tcPr>
          <w:p>
            <w:pPr>
              <w:ind w:left="60"/>
              <w:spacing w:after="0"/>
              <w:rPr>
                <w:sz w:val="20"/>
                <w:szCs w:val="20"/>
                <w:color w:val="auto"/>
              </w:rPr>
            </w:pPr>
            <w:r>
              <w:rPr>
                <w:rFonts w:ascii="Arial" w:cs="Arial" w:eastAsia="Arial" w:hAnsi="Arial"/>
                <w:sz w:val="16"/>
                <w:szCs w:val="16"/>
                <w:color w:val="41516E"/>
              </w:rPr>
              <w:t>New York, NY 10055</w:t>
            </w:r>
          </w:p>
        </w:tc>
        <w:tc>
          <w:tcPr>
            <w:tcW w:w="1400" w:type="dxa"/>
            <w:vAlign w:val="bottom"/>
            <w:tcBorders>
              <w:bottom w:val="single" w:sz="8" w:color="41516E"/>
            </w:tcBorders>
            <w:shd w:val="clear" w:color="auto" w:fill="EFF0F1"/>
          </w:tcPr>
          <w:p>
            <w:pPr>
              <w:spacing w:after="0"/>
              <w:rPr>
                <w:sz w:val="16"/>
                <w:szCs w:val="16"/>
                <w:color w:val="auto"/>
              </w:rPr>
            </w:pPr>
          </w:p>
        </w:tc>
        <w:tc>
          <w:tcPr>
            <w:tcW w:w="1040" w:type="dxa"/>
            <w:vAlign w:val="bottom"/>
            <w:tcBorders>
              <w:bottom w:val="single" w:sz="8" w:color="41516E"/>
            </w:tcBorders>
            <w:shd w:val="clear" w:color="auto" w:fill="EFF0F1"/>
          </w:tcPr>
          <w:p>
            <w:pPr>
              <w:spacing w:after="0"/>
              <w:rPr>
                <w:sz w:val="16"/>
                <w:szCs w:val="1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i w:val="1"/>
          <w:iCs w:val="1"/>
          <w:color w:val="41516E"/>
        </w:rPr>
      </w:pPr>
      <w:r>
        <w:rPr>
          <w:rFonts w:ascii="Arial" w:cs="Arial" w:eastAsia="Arial" w:hAnsi="Arial"/>
          <w:sz w:val="14"/>
          <w:szCs w:val="14"/>
          <w:i w:val="1"/>
          <w:iCs w:val="1"/>
          <w:color w:val="41516E"/>
        </w:rPr>
        <w:t>Represents holdings of less than one percent (1%).</w:t>
      </w:r>
    </w:p>
    <w:p>
      <w:pPr>
        <w:spacing w:after="0" w:line="163"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9" w:lineRule="exact"/>
        <w:rPr>
          <w:sz w:val="20"/>
          <w:szCs w:val="20"/>
          <w:color w:val="auto"/>
        </w:rPr>
      </w:pPr>
    </w:p>
    <w:p>
      <w:pPr>
        <w:jc w:val="both"/>
        <w:ind w:left="340" w:hanging="332"/>
        <w:spacing w:after="0" w:line="249" w:lineRule="auto"/>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Mr. Koch’s shares include 12,227 directly-held Class A Shares; 2,068,000 directly-held Class B Shares, constituting all of the outstanding shares of Class B Common Stock; options to acquire 4,056 Class A Shares, exercisable currently or within sixty (60) days; 23,486 Class A Shares held for the benefit of his children; 122,923 Class A Shares held by as the sole member of a family foundation; and 5,000 Class A Shares held as trustee in a trust of which he is the sole beneficiary. His shares also include 35,780 Class A Shares reported as beneficially owned by his wife Ms. Fisher, consisting of 2,532 Class A Shares held as trustee of irrevocable trusts for the benefit of their children, and 33,248 Class A Shares held in a collection of generation skipping trusts, as to which Ms. Fisher has sole voting and investment power and as to which Mr. Koch disclaims beneficial ownership.</w:t>
      </w:r>
    </w:p>
    <w:p>
      <w:pPr>
        <w:spacing w:after="0" w:line="23" w:lineRule="exact"/>
        <w:rPr>
          <w:rFonts w:ascii="Arial" w:cs="Arial" w:eastAsia="Arial" w:hAnsi="Arial"/>
          <w:sz w:val="14"/>
          <w:szCs w:val="14"/>
          <w:i w:val="1"/>
          <w:iCs w:val="1"/>
          <w:color w:val="41516E"/>
        </w:rPr>
      </w:pPr>
    </w:p>
    <w:p>
      <w:pPr>
        <w:jc w:val="both"/>
        <w:ind w:left="340" w:hanging="332"/>
        <w:spacing w:after="0" w:line="261" w:lineRule="auto"/>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Mr. Calagione’s shares include 14,040 directly held Class A Shares; 27,165 Class A Shares held in a trust for the benefit of his son; 27,165 Class A Shares held in trust for the benefit of his daughter; 99,430 Class A Shares held in a dynasty trust for the benefit of his wife and children; 102,284 Class A Shares held in a family trust for the benefit of his wife and children; and 67,951 Class A Shares held in a limited partnership for which Mr. Calagione is a partner.</w:t>
      </w:r>
    </w:p>
    <w:p>
      <w:pPr>
        <w:spacing w:after="0" w:line="14" w:lineRule="exact"/>
        <w:rPr>
          <w:rFonts w:ascii="Arial" w:cs="Arial" w:eastAsia="Arial" w:hAnsi="Arial"/>
          <w:sz w:val="14"/>
          <w:szCs w:val="14"/>
          <w:i w:val="1"/>
          <w:iCs w:val="1"/>
          <w:color w:val="41516E"/>
        </w:rPr>
      </w:pPr>
    </w:p>
    <w:p>
      <w:pPr>
        <w:jc w:val="both"/>
        <w:ind w:left="340" w:hanging="332"/>
        <w:spacing w:after="0" w:line="249" w:lineRule="auto"/>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Ms. Fisher’s shares include 1,763 directly held Class A Shares; options to acquire 8,287 Class A Shares exercisable currently or within sixty (60) days; and 204 unvested shares of restricted stock. Her shares also include 2,532 Class A Shares held as trustee of irrevocable trusts for the benefit of her children; 33,248 Class A Shares held by as trustee of a collection of generation-skipping trusts; and 20,537 Class A Shares held in trust by a limited liability company of which she is the manager and to which she disclaims beneficial ownership. Her shares also include 23,486 Class A Shares reported as beneficially owned by her husband, Mr. Koch, for the benefit of their children, for which Mr. Koch has sole voting and investment power and as to which Ms. Fisher disclaims beneficial ownership. Her shares also include 122,923 Class A Shares reported as beneficially owned by Mr. Koch as sole member of a family foundation, as to which Ms. Fisher disclaims beneficial ownership.</w:t>
      </w:r>
    </w:p>
    <w:p>
      <w:pPr>
        <w:spacing w:after="0" w:line="23" w:lineRule="exact"/>
        <w:rPr>
          <w:rFonts w:ascii="Arial" w:cs="Arial" w:eastAsia="Arial" w:hAnsi="Arial"/>
          <w:sz w:val="14"/>
          <w:szCs w:val="14"/>
          <w:i w:val="1"/>
          <w:iCs w:val="1"/>
          <w:color w:val="41516E"/>
        </w:rPr>
      </w:pPr>
    </w:p>
    <w:p>
      <w:pPr>
        <w:jc w:val="both"/>
        <w:ind w:left="340" w:hanging="332"/>
        <w:spacing w:after="0" w:line="261" w:lineRule="auto"/>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Mr. Burwick’s shares include 34,522 directly held Class A Shares, options to acquire 35,351 Class A Shares exercisable currently or within sixty (60) days, 11,374 unvested shares of restricted stock, and 10,457 Class A Shares held in a Spousal Lifetime Access Trust for the benefit of his spouse, as to which Mr. Burwick disclaims beneficial ownership and has no voting or investment power.</w:t>
      </w:r>
    </w:p>
    <w:p>
      <w:pPr>
        <w:spacing w:after="0" w:line="14" w:lineRule="exact"/>
        <w:rPr>
          <w:rFonts w:ascii="Arial" w:cs="Arial" w:eastAsia="Arial" w:hAnsi="Arial"/>
          <w:sz w:val="14"/>
          <w:szCs w:val="14"/>
          <w:i w:val="1"/>
          <w:iCs w:val="1"/>
          <w:color w:val="41516E"/>
        </w:rPr>
      </w:pPr>
    </w:p>
    <w:p>
      <w:pPr>
        <w:ind w:left="340" w:hanging="332"/>
        <w:spacing w:after="0"/>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Mr. Geist’s shares include options to acquire 16,621 Class A Shares exercisable currently or within sixty (60) days and 4,302 unvested shares of restricted stock.</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Mr. Hodges’ shares include options to acquire 3,319 Class A Shares exercisable currently or within sixty (60) days and 13,610 unvested shares of restricted stock.</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Mr. Valette’s shares include options to acquire 4,612 Class A Shares exercisable currently or within sixty (60) days.</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Ms. Lysyj’s shares include options to acquire 7,944 Class A Shares exercisable currently or within sixty (60) days and 6,470 unvested shares of restricted stock.</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Mr. Reynoso’s shares include options to acquire 2,429 Class A Shares exercisable currently or within sixty (60) days and 5,972 unvested shares of restricted stock.</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Mr. Spillane’s shares consist of options to acquire 3,116 Class A Shares exercisable currently or within sixty (60) days and 204 unvested shares of restricted stock.</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Mr. Murphy’s shares include options to acquire 4,102 Class A Shares exercisable currently or within sixty (60) days and 3,883 unvested shares of restricted stock.</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Ms. Joyce’s shares consist of options to acquire 3,917 Class A Shares exercisable currently or within sixty (60) days and 204 unvested shares of restricted stock.</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Mr. Nemeth’s shares consist of options to acquire 2,847 Class A Shares exercisable currently or within sixty (60) days and 204 unvested shares of restricted stock.</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Ms. Swanson’s shares consist of options to acquire 856 Class A Shares exercisable currently or within sixty (60) days and 422 unvested shares of restricted stock.</w:t>
      </w:r>
    </w:p>
    <w:p>
      <w:pPr>
        <w:spacing w:after="0" w:line="55"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Information is based on a Schedule 13G/A filed with the SEC on January 10, 2024 by FRM LLC., which reported sole voting power with respect to 988,772 shares and sole dispositive power with respect to 993,034 shares.</w:t>
      </w:r>
    </w:p>
    <w:p>
      <w:pPr>
        <w:spacing w:after="0" w:line="1"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Information is based on a Schedule 13G/A filed with the SEC on February 14, 2024 by T. Rowe Price Investment Management, Inc., which reported sole voting power with respect to 336,427 shares and sole dispositive power with respect to 931,099 shares.</w:t>
      </w:r>
    </w:p>
    <w:p>
      <w:pPr>
        <w:spacing w:after="0" w:line="1" w:lineRule="exact"/>
        <w:rPr>
          <w:rFonts w:ascii="Arial" w:cs="Arial" w:eastAsia="Arial" w:hAnsi="Arial"/>
          <w:sz w:val="14"/>
          <w:szCs w:val="14"/>
          <w:i w:val="1"/>
          <w:iCs w:val="1"/>
          <w:color w:val="41516E"/>
        </w:rPr>
      </w:pPr>
    </w:p>
    <w:p>
      <w:pPr>
        <w:ind w:left="340" w:right="20" w:hanging="332"/>
        <w:spacing w:after="0" w:line="281" w:lineRule="auto"/>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Information is based on a Schedule 13G/A filed with the SEC on February 13, 2024 by The Vanguard Group, which reported sole voting power with respect to 0 shares, shared voting power with respect to 4,213 shares, sole dispositive power with respect to 905,184 shares and shared dispositive power with respect to 13,313 shares.</w:t>
      </w:r>
    </w:p>
    <w:p>
      <w:pPr>
        <w:spacing w:after="0" w:line="1" w:lineRule="exact"/>
        <w:rPr>
          <w:rFonts w:ascii="Arial" w:cs="Arial" w:eastAsia="Arial" w:hAnsi="Arial"/>
          <w:sz w:val="14"/>
          <w:szCs w:val="14"/>
          <w:i w:val="1"/>
          <w:iCs w:val="1"/>
          <w:color w:val="41516E"/>
        </w:rPr>
      </w:pPr>
    </w:p>
    <w:p>
      <w:pPr>
        <w:ind w:left="340" w:hanging="332"/>
        <w:spacing w:after="0" w:line="282" w:lineRule="auto"/>
        <w:tabs>
          <w:tab w:leader="none" w:pos="340" w:val="left"/>
        </w:tabs>
        <w:numPr>
          <w:ilvl w:val="0"/>
          <w:numId w:val="34"/>
        </w:numPr>
        <w:rPr>
          <w:rFonts w:ascii="Arial" w:cs="Arial" w:eastAsia="Arial" w:hAnsi="Arial"/>
          <w:sz w:val="14"/>
          <w:szCs w:val="14"/>
          <w:i w:val="1"/>
          <w:iCs w:val="1"/>
          <w:color w:val="41516E"/>
        </w:rPr>
      </w:pPr>
      <w:r>
        <w:rPr>
          <w:rFonts w:ascii="Arial" w:cs="Arial" w:eastAsia="Arial" w:hAnsi="Arial"/>
          <w:sz w:val="14"/>
          <w:szCs w:val="14"/>
          <w:i w:val="1"/>
          <w:iCs w:val="1"/>
          <w:color w:val="41516E"/>
        </w:rPr>
        <w:t>Information is based on a Schedule 13G/A filed with the SEC on January 25, 2024 by BlackRock, Inc., which reported sole voting power with respect to 808,448 shares and sole dispositive power with respect to 827,289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90170</wp:posOffset>
            </wp:positionV>
            <wp:extent cx="8572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55</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Environmental, Social, </w:t>
      </w:r>
      <w:r>
        <w:rPr>
          <w:rFonts w:ascii="Arial" w:cs="Arial" w:eastAsia="Arial" w:hAnsi="Arial"/>
          <w:sz w:val="47"/>
          <w:szCs w:val="47"/>
          <w:b w:val="1"/>
          <w:bCs w:val="1"/>
          <w:color w:val="798297"/>
        </w:rPr>
        <w:t>and Governance</w:t>
      </w: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We are committed to strong corporate governance, corporate responsibility, and the accountability of our Board and our Executive Leadership Team to our stockholders. This section provides a summary of the Board’s and management’s oversight of our strategies regarding our Environmental, Social, and Governance (“ESG”) initiatives and selected highlights of the previous year’s accomplishments.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While we began reporting on our ESG initiatives in our 2019 Proxy Statement, our ESG journey began in earnest in 2021, and has continued to expand over time. We published our inaugural ESG Report in November 2022, then followed that up by publishing our 2022 ESG Report in August 2023. Among our key ESG achievements in 2023, we identified our ESG “Cornerstones of Priority” to determine which ESG topics we will concentrate most on over time.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41516E"/>
        </w:rPr>
        <w:t xml:space="preserve">While we’re still in the early days of our ESG journey, we’ve long believed that it’s important to provide accurate and transparent reporting on the impact that our Company has on our people, our planet, and our communities. For additional information on our impact and ESG initiatives, the Company’s historical ESG reports are available in the sustainability section on our company website at </w:t>
      </w:r>
      <w:r>
        <w:rPr>
          <w:rFonts w:ascii="Arial" w:cs="Arial" w:eastAsia="Arial" w:hAnsi="Arial"/>
          <w:sz w:val="16"/>
          <w:szCs w:val="16"/>
          <w:u w:val="single" w:color="auto"/>
          <w:color w:val="41516E"/>
        </w:rPr>
        <w:t>www.bostonbeer.com/ourimpact/sustainability</w:t>
      </w:r>
      <w:r>
        <w:rPr>
          <w:rFonts w:ascii="Arial" w:cs="Arial" w:eastAsia="Arial" w:hAnsi="Arial"/>
          <w:sz w:val="16"/>
          <w:szCs w:val="16"/>
          <w:color w:val="41516E"/>
        </w:rPr>
        <w:t xml:space="preserve"> . We anticipate that we will publish our 2023 ESG Report in the summer of 2024. In advance of the publication of that report, here is an early look at some of our ESG highlights from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2023 ESG Highlights</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Our ESG Cornerstones of Priority</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As mentioned above, in 2023 we identified our ESG Cornerstones of Priority in 2023, which was one of the major outcomes of a materiality assessment that we conducted in 2022 looking into which ESG topics are most important to our business and our stakeholders. In 2024 and beyond, our Cornerstones of Priority will shape our strategy and how we will direct resources in the areas that are most relevant and impactful for Boston Beer. The below chart reflects those cornerstones: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00" w:type="dxa"/>
            <w:vAlign w:val="bottom"/>
            <w:tcBorders>
              <w:bottom w:val="single" w:sz="8" w:color="41516E"/>
            </w:tcBorders>
          </w:tcPr>
          <w:p>
            <w:pPr>
              <w:jc w:val="center"/>
              <w:ind w:left="39"/>
              <w:spacing w:after="0"/>
              <w:rPr>
                <w:sz w:val="20"/>
                <w:szCs w:val="20"/>
                <w:color w:val="auto"/>
              </w:rPr>
            </w:pPr>
            <w:r>
              <w:rPr>
                <w:rFonts w:ascii="Arial" w:cs="Arial" w:eastAsia="Arial" w:hAnsi="Arial"/>
                <w:sz w:val="16"/>
                <w:szCs w:val="16"/>
                <w:b w:val="1"/>
                <w:bCs w:val="1"/>
                <w:color w:val="41516E"/>
              </w:rPr>
              <w:t>Environmental</w:t>
            </w:r>
          </w:p>
        </w:tc>
        <w:tc>
          <w:tcPr>
            <w:tcW w:w="3860" w:type="dxa"/>
            <w:vAlign w:val="bottom"/>
            <w:tcBorders>
              <w:bottom w:val="single" w:sz="8" w:color="41516E"/>
            </w:tcBorders>
          </w:tcPr>
          <w:p>
            <w:pPr>
              <w:jc w:val="center"/>
              <w:ind w:left="19"/>
              <w:spacing w:after="0"/>
              <w:rPr>
                <w:sz w:val="20"/>
                <w:szCs w:val="20"/>
                <w:color w:val="auto"/>
              </w:rPr>
            </w:pPr>
            <w:r>
              <w:rPr>
                <w:rFonts w:ascii="Arial" w:cs="Arial" w:eastAsia="Arial" w:hAnsi="Arial"/>
                <w:sz w:val="16"/>
                <w:szCs w:val="16"/>
                <w:b w:val="1"/>
                <w:bCs w:val="1"/>
                <w:color w:val="41516E"/>
              </w:rPr>
              <w:t>Social</w:t>
            </w:r>
          </w:p>
        </w:tc>
        <w:tc>
          <w:tcPr>
            <w:tcW w:w="3780" w:type="dxa"/>
            <w:vAlign w:val="bottom"/>
            <w:tcBorders>
              <w:bottom w:val="single" w:sz="8" w:color="41516E"/>
            </w:tcBorders>
          </w:tcPr>
          <w:p>
            <w:pPr>
              <w:jc w:val="center"/>
              <w:spacing w:after="0"/>
              <w:rPr>
                <w:sz w:val="20"/>
                <w:szCs w:val="20"/>
                <w:color w:val="auto"/>
              </w:rPr>
            </w:pPr>
            <w:r>
              <w:rPr>
                <w:rFonts w:ascii="Arial" w:cs="Arial" w:eastAsia="Arial" w:hAnsi="Arial"/>
                <w:sz w:val="16"/>
                <w:szCs w:val="16"/>
                <w:b w:val="1"/>
                <w:bCs w:val="1"/>
                <w:color w:val="41516E"/>
              </w:rPr>
              <w:t>Economic</w:t>
            </w:r>
          </w:p>
        </w:tc>
      </w:tr>
      <w:tr>
        <w:trPr>
          <w:trHeight w:val="232"/>
        </w:trPr>
        <w:tc>
          <w:tcPr>
            <w:tcW w:w="3600" w:type="dxa"/>
            <w:vAlign w:val="bottom"/>
          </w:tcPr>
          <w:p>
            <w:pPr>
              <w:jc w:val="center"/>
              <w:ind w:left="59"/>
              <w:spacing w:after="0"/>
              <w:rPr>
                <w:sz w:val="20"/>
                <w:szCs w:val="20"/>
                <w:color w:val="auto"/>
              </w:rPr>
            </w:pPr>
            <w:r>
              <w:rPr>
                <w:rFonts w:ascii="Arial" w:cs="Arial" w:eastAsia="Arial" w:hAnsi="Arial"/>
                <w:sz w:val="16"/>
                <w:szCs w:val="16"/>
                <w:color w:val="41516E"/>
                <w:w w:val="98"/>
              </w:rPr>
              <w:t>Water</w:t>
            </w:r>
          </w:p>
        </w:tc>
        <w:tc>
          <w:tcPr>
            <w:tcW w:w="3860" w:type="dxa"/>
            <w:vAlign w:val="bottom"/>
          </w:tcPr>
          <w:p>
            <w:pPr>
              <w:jc w:val="center"/>
              <w:ind w:left="19"/>
              <w:spacing w:after="0"/>
              <w:rPr>
                <w:sz w:val="20"/>
                <w:szCs w:val="20"/>
                <w:color w:val="auto"/>
              </w:rPr>
            </w:pPr>
            <w:r>
              <w:rPr>
                <w:rFonts w:ascii="Arial" w:cs="Arial" w:eastAsia="Arial" w:hAnsi="Arial"/>
                <w:sz w:val="16"/>
                <w:szCs w:val="16"/>
                <w:color w:val="41516E"/>
              </w:rPr>
              <w:t>Our Culture</w:t>
            </w:r>
          </w:p>
        </w:tc>
        <w:tc>
          <w:tcPr>
            <w:tcW w:w="3780" w:type="dxa"/>
            <w:vAlign w:val="bottom"/>
          </w:tcPr>
          <w:p>
            <w:pPr>
              <w:jc w:val="center"/>
              <w:spacing w:after="0"/>
              <w:rPr>
                <w:sz w:val="20"/>
                <w:szCs w:val="20"/>
                <w:color w:val="auto"/>
              </w:rPr>
            </w:pPr>
            <w:r>
              <w:rPr>
                <w:rFonts w:ascii="Arial" w:cs="Arial" w:eastAsia="Arial" w:hAnsi="Arial"/>
                <w:sz w:val="16"/>
                <w:szCs w:val="16"/>
                <w:color w:val="41516E"/>
              </w:rPr>
              <w:t>Leadership Development</w:t>
            </w:r>
          </w:p>
        </w:tc>
      </w:tr>
      <w:tr>
        <w:trPr>
          <w:trHeight w:val="251"/>
        </w:trPr>
        <w:tc>
          <w:tcPr>
            <w:tcW w:w="3600" w:type="dxa"/>
            <w:vAlign w:val="bottom"/>
            <w:shd w:val="clear" w:color="auto" w:fill="EFF0F1"/>
          </w:tcPr>
          <w:p>
            <w:pPr>
              <w:jc w:val="center"/>
              <w:ind w:left="39"/>
              <w:spacing w:after="0"/>
              <w:rPr>
                <w:sz w:val="20"/>
                <w:szCs w:val="20"/>
                <w:color w:val="auto"/>
              </w:rPr>
            </w:pPr>
            <w:r>
              <w:rPr>
                <w:rFonts w:ascii="Arial" w:cs="Arial" w:eastAsia="Arial" w:hAnsi="Arial"/>
                <w:sz w:val="16"/>
                <w:szCs w:val="16"/>
                <w:color w:val="41516E"/>
              </w:rPr>
              <w:t>Energy</w:t>
            </w:r>
          </w:p>
        </w:tc>
        <w:tc>
          <w:tcPr>
            <w:tcW w:w="3860" w:type="dxa"/>
            <w:vAlign w:val="bottom"/>
            <w:shd w:val="clear" w:color="auto" w:fill="EFF0F1"/>
          </w:tcPr>
          <w:p>
            <w:pPr>
              <w:jc w:val="center"/>
              <w:spacing w:after="0"/>
              <w:rPr>
                <w:sz w:val="20"/>
                <w:szCs w:val="20"/>
                <w:color w:val="auto"/>
              </w:rPr>
            </w:pPr>
            <w:r>
              <w:rPr>
                <w:rFonts w:ascii="Arial" w:cs="Arial" w:eastAsia="Arial" w:hAnsi="Arial"/>
                <w:sz w:val="16"/>
                <w:szCs w:val="16"/>
                <w:color w:val="41516E"/>
              </w:rPr>
              <w:t>Learning &amp; Development</w:t>
            </w:r>
          </w:p>
        </w:tc>
        <w:tc>
          <w:tcPr>
            <w:tcW w:w="3780" w:type="dxa"/>
            <w:vAlign w:val="bottom"/>
            <w:shd w:val="clear" w:color="auto" w:fill="EFF0F1"/>
          </w:tcPr>
          <w:p>
            <w:pPr>
              <w:jc w:val="center"/>
              <w:spacing w:after="0"/>
              <w:rPr>
                <w:sz w:val="20"/>
                <w:szCs w:val="20"/>
                <w:color w:val="auto"/>
              </w:rPr>
            </w:pPr>
            <w:r>
              <w:rPr>
                <w:rFonts w:ascii="Arial" w:cs="Arial" w:eastAsia="Arial" w:hAnsi="Arial"/>
                <w:sz w:val="16"/>
                <w:szCs w:val="16"/>
                <w:color w:val="41516E"/>
              </w:rPr>
              <w:t>ESG Governance</w:t>
            </w:r>
          </w:p>
        </w:tc>
      </w:tr>
      <w:tr>
        <w:trPr>
          <w:trHeight w:val="235"/>
        </w:trPr>
        <w:tc>
          <w:tcPr>
            <w:tcW w:w="3600" w:type="dxa"/>
            <w:vAlign w:val="bottom"/>
          </w:tcPr>
          <w:p>
            <w:pPr>
              <w:jc w:val="center"/>
              <w:ind w:left="39"/>
              <w:spacing w:after="0"/>
              <w:rPr>
                <w:sz w:val="20"/>
                <w:szCs w:val="20"/>
                <w:color w:val="auto"/>
              </w:rPr>
            </w:pPr>
            <w:r>
              <w:rPr>
                <w:rFonts w:ascii="Arial" w:cs="Arial" w:eastAsia="Arial" w:hAnsi="Arial"/>
                <w:sz w:val="16"/>
                <w:szCs w:val="16"/>
                <w:color w:val="41516E"/>
              </w:rPr>
              <w:t>Climate</w:t>
            </w:r>
          </w:p>
        </w:tc>
        <w:tc>
          <w:tcPr>
            <w:tcW w:w="3860" w:type="dxa"/>
            <w:vAlign w:val="bottom"/>
          </w:tcPr>
          <w:p>
            <w:pPr>
              <w:jc w:val="center"/>
              <w:ind w:left="19"/>
              <w:spacing w:after="0"/>
              <w:rPr>
                <w:sz w:val="20"/>
                <w:szCs w:val="20"/>
                <w:color w:val="auto"/>
              </w:rPr>
            </w:pPr>
            <w:r>
              <w:rPr>
                <w:rFonts w:ascii="Arial" w:cs="Arial" w:eastAsia="Arial" w:hAnsi="Arial"/>
                <w:sz w:val="16"/>
                <w:szCs w:val="16"/>
                <w:color w:val="41516E"/>
              </w:rPr>
              <w:t>Health &amp; Safety</w:t>
            </w:r>
          </w:p>
        </w:tc>
        <w:tc>
          <w:tcPr>
            <w:tcW w:w="3780" w:type="dxa"/>
            <w:vAlign w:val="bottom"/>
          </w:tcPr>
          <w:p>
            <w:pPr>
              <w:jc w:val="center"/>
              <w:spacing w:after="0"/>
              <w:rPr>
                <w:sz w:val="20"/>
                <w:szCs w:val="20"/>
                <w:color w:val="auto"/>
              </w:rPr>
            </w:pPr>
            <w:r>
              <w:rPr>
                <w:rFonts w:ascii="Arial" w:cs="Arial" w:eastAsia="Arial" w:hAnsi="Arial"/>
                <w:sz w:val="16"/>
                <w:szCs w:val="16"/>
                <w:color w:val="41516E"/>
              </w:rPr>
              <w:t>Compliance</w:t>
            </w:r>
          </w:p>
        </w:tc>
      </w:tr>
      <w:tr>
        <w:trPr>
          <w:trHeight w:val="244"/>
        </w:trPr>
        <w:tc>
          <w:tcPr>
            <w:tcW w:w="3600" w:type="dxa"/>
            <w:vAlign w:val="bottom"/>
            <w:tcBorders>
              <w:bottom w:val="single" w:sz="8" w:color="41516E"/>
            </w:tcBorders>
            <w:shd w:val="clear" w:color="auto" w:fill="EFF0F1"/>
          </w:tcPr>
          <w:p>
            <w:pPr>
              <w:jc w:val="center"/>
              <w:ind w:left="59"/>
              <w:spacing w:after="0"/>
              <w:rPr>
                <w:sz w:val="20"/>
                <w:szCs w:val="20"/>
                <w:color w:val="auto"/>
              </w:rPr>
            </w:pPr>
            <w:r>
              <w:rPr>
                <w:rFonts w:ascii="Arial" w:cs="Arial" w:eastAsia="Arial" w:hAnsi="Arial"/>
                <w:sz w:val="16"/>
                <w:szCs w:val="16"/>
                <w:color w:val="41516E"/>
              </w:rPr>
              <w:t>Sustainable Inputs</w:t>
            </w:r>
          </w:p>
        </w:tc>
        <w:tc>
          <w:tcPr>
            <w:tcW w:w="3860" w:type="dxa"/>
            <w:vAlign w:val="bottom"/>
            <w:tcBorders>
              <w:bottom w:val="single" w:sz="8" w:color="41516E"/>
            </w:tcBorders>
            <w:shd w:val="clear" w:color="auto" w:fill="EFF0F1"/>
          </w:tcPr>
          <w:p>
            <w:pPr>
              <w:spacing w:after="0"/>
              <w:rPr>
                <w:sz w:val="21"/>
                <w:szCs w:val="21"/>
                <w:color w:val="auto"/>
              </w:rPr>
            </w:pPr>
          </w:p>
        </w:tc>
        <w:tc>
          <w:tcPr>
            <w:tcW w:w="3780" w:type="dxa"/>
            <w:vAlign w:val="bottom"/>
            <w:tcBorders>
              <w:bottom w:val="single" w:sz="8" w:color="41516E"/>
            </w:tcBorders>
            <w:shd w:val="clear" w:color="auto" w:fill="EFF0F1"/>
          </w:tcPr>
          <w:p>
            <w:pPr>
              <w:jc w:val="center"/>
              <w:spacing w:after="0"/>
              <w:rPr>
                <w:sz w:val="20"/>
                <w:szCs w:val="20"/>
                <w:color w:val="auto"/>
              </w:rPr>
            </w:pPr>
            <w:r>
              <w:rPr>
                <w:rFonts w:ascii="Arial" w:cs="Arial" w:eastAsia="Arial" w:hAnsi="Arial"/>
                <w:sz w:val="16"/>
                <w:szCs w:val="16"/>
                <w:color w:val="41516E"/>
              </w:rPr>
              <w:t>Risk</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Environmental Highlights</w:t>
      </w:r>
    </w:p>
    <w:p>
      <w:pPr>
        <w:spacing w:after="0" w:line="209" w:lineRule="exact"/>
        <w:rPr>
          <w:sz w:val="20"/>
          <w:szCs w:val="20"/>
          <w:color w:val="auto"/>
        </w:rPr>
      </w:pPr>
    </w:p>
    <w:p>
      <w:pPr>
        <w:jc w:val="both"/>
        <w:ind w:left="180" w:hanging="172"/>
        <w:spacing w:after="0" w:line="266" w:lineRule="auto"/>
        <w:tabs>
          <w:tab w:leader="none" w:pos="180" w:val="left"/>
        </w:tabs>
        <w:numPr>
          <w:ilvl w:val="0"/>
          <w:numId w:val="35"/>
        </w:numPr>
        <w:rPr>
          <w:rFonts w:ascii="Arial" w:cs="Arial" w:eastAsia="Arial" w:hAnsi="Arial"/>
          <w:sz w:val="16"/>
          <w:szCs w:val="16"/>
          <w:color w:val="41516E"/>
        </w:rPr>
      </w:pPr>
      <w:r>
        <w:rPr>
          <w:rFonts w:ascii="Arial" w:cs="Arial" w:eastAsia="Arial" w:hAnsi="Arial"/>
          <w:sz w:val="16"/>
          <w:szCs w:val="16"/>
          <w:color w:val="41516E"/>
        </w:rPr>
        <w:t>We completed our first greenhouse gas emissions inventory in 2023 by calculating Scopes 1 and Scope 2 Emissions baseline data. The scope of our 2022 environmental disclosures covers our three largest production breweries: Samuel Adams Pennsylvania Brewery, Samuel Adams Cincinnati Brewery, and Dogfish Head Milton Brewery. These breweries account for approximately 99% of our internal production.</w:t>
      </w:r>
    </w:p>
    <w:p>
      <w:pPr>
        <w:spacing w:after="0" w:line="36"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35"/>
        </w:numPr>
        <w:rPr>
          <w:rFonts w:ascii="Arial" w:cs="Arial" w:eastAsia="Arial" w:hAnsi="Arial"/>
          <w:sz w:val="16"/>
          <w:szCs w:val="16"/>
          <w:color w:val="41516E"/>
        </w:rPr>
      </w:pPr>
      <w:r>
        <w:rPr>
          <w:rFonts w:ascii="Arial" w:cs="Arial" w:eastAsia="Arial" w:hAnsi="Arial"/>
          <w:sz w:val="16"/>
          <w:szCs w:val="16"/>
          <w:color w:val="41516E"/>
        </w:rPr>
        <w:t>We developed a Scope 3 Emissions playbook, which has allowed the Company to identify the five most material Scope 3 Emission categories throughout our supply chain. The playbook will inform strategic decisions related to sustainability, futureproofing our business, and supplier partnerships.</w:t>
      </w:r>
    </w:p>
    <w:p>
      <w:pPr>
        <w:spacing w:after="0" w:line="20"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35"/>
        </w:numPr>
        <w:rPr>
          <w:rFonts w:ascii="Arial" w:cs="Arial" w:eastAsia="Arial" w:hAnsi="Arial"/>
          <w:sz w:val="16"/>
          <w:szCs w:val="16"/>
          <w:color w:val="41516E"/>
        </w:rPr>
      </w:pPr>
      <w:r>
        <w:rPr>
          <w:rFonts w:ascii="Arial" w:cs="Arial" w:eastAsia="Arial" w:hAnsi="Arial"/>
          <w:sz w:val="16"/>
          <w:szCs w:val="16"/>
          <w:color w:val="41516E"/>
        </w:rPr>
        <w:t>We began the process of tracking tonnage of waste streams at our three largest production breweries, including spent yeast and grain, pallets and other recyclables, wastewater, and hazardous and non-hazardous wastes.</w:t>
      </w:r>
    </w:p>
    <w:p>
      <w:pPr>
        <w:spacing w:after="0" w:line="109"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Social Highlights</w:t>
      </w:r>
    </w:p>
    <w:p>
      <w:pPr>
        <w:spacing w:after="0" w:line="209" w:lineRule="exact"/>
        <w:rPr>
          <w:sz w:val="20"/>
          <w:szCs w:val="20"/>
          <w:color w:val="auto"/>
        </w:rPr>
      </w:pPr>
    </w:p>
    <w:p>
      <w:pPr>
        <w:ind w:left="180" w:right="20" w:hanging="172"/>
        <w:spacing w:after="0" w:line="286" w:lineRule="auto"/>
        <w:tabs>
          <w:tab w:leader="none" w:pos="180" w:val="left"/>
        </w:tabs>
        <w:numPr>
          <w:ilvl w:val="0"/>
          <w:numId w:val="36"/>
        </w:numPr>
        <w:rPr>
          <w:rFonts w:ascii="Arial" w:cs="Arial" w:eastAsia="Arial" w:hAnsi="Arial"/>
          <w:sz w:val="16"/>
          <w:szCs w:val="16"/>
          <w:color w:val="41516E"/>
        </w:rPr>
      </w:pPr>
      <w:r>
        <w:rPr>
          <w:rFonts w:ascii="Arial" w:cs="Arial" w:eastAsia="Arial" w:hAnsi="Arial"/>
          <w:sz w:val="16"/>
          <w:szCs w:val="16"/>
          <w:color w:val="41516E"/>
        </w:rPr>
        <w:t>As of the end of 2023, 94% of Company coworkers have taken Crucial Conversations “Mastering Dialogue” training, which provides tools and builds skills to have respectful conversations around important but difficult topics.</w:t>
      </w:r>
    </w:p>
    <w:p>
      <w:pPr>
        <w:spacing w:after="0" w:line="20" w:lineRule="exact"/>
        <w:rPr>
          <w:rFonts w:ascii="Arial" w:cs="Arial" w:eastAsia="Arial" w:hAnsi="Arial"/>
          <w:sz w:val="16"/>
          <w:szCs w:val="16"/>
          <w:color w:val="41516E"/>
        </w:rPr>
      </w:pPr>
    </w:p>
    <w:p>
      <w:pPr>
        <w:jc w:val="both"/>
        <w:ind w:left="180" w:hanging="172"/>
        <w:spacing w:after="0" w:line="259" w:lineRule="auto"/>
        <w:tabs>
          <w:tab w:leader="none" w:pos="180" w:val="left"/>
        </w:tabs>
        <w:numPr>
          <w:ilvl w:val="0"/>
          <w:numId w:val="36"/>
        </w:numPr>
        <w:rPr>
          <w:rFonts w:ascii="Arial" w:cs="Arial" w:eastAsia="Arial" w:hAnsi="Arial"/>
          <w:sz w:val="16"/>
          <w:szCs w:val="16"/>
          <w:color w:val="41516E"/>
        </w:rPr>
      </w:pPr>
      <w:r>
        <w:rPr>
          <w:rFonts w:ascii="Arial" w:cs="Arial" w:eastAsia="Arial" w:hAnsi="Arial"/>
          <w:sz w:val="16"/>
          <w:szCs w:val="16"/>
          <w:color w:val="41516E"/>
        </w:rPr>
        <w:t>We continued to seek more diverse perspectives and equality. Some examples of steps we took in this area were prioritizing inclusion and belonging in company communications; holding six “fearless moments” discussions with our founders open to all company coworkers to facilitate a community of belonging; refreshing our external careers website, resulting in an increase in diverse candidate applications; and rolling out pay transparency ranges for all job requisitions.</w:t>
      </w:r>
    </w:p>
    <w:p>
      <w:pPr>
        <w:spacing w:after="0" w:line="42"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36"/>
        </w:numPr>
        <w:rPr>
          <w:rFonts w:ascii="Arial" w:cs="Arial" w:eastAsia="Arial" w:hAnsi="Arial"/>
          <w:sz w:val="16"/>
          <w:szCs w:val="16"/>
          <w:color w:val="41516E"/>
        </w:rPr>
      </w:pPr>
      <w:r>
        <w:rPr>
          <w:rFonts w:ascii="Arial" w:cs="Arial" w:eastAsia="Arial" w:hAnsi="Arial"/>
          <w:sz w:val="16"/>
          <w:szCs w:val="16"/>
          <w:color w:val="41516E"/>
        </w:rPr>
        <w:t>Core to our culture of giving back, Boston Beer coworkers participated in 47 separate Benevolence Days, collectively volunteering more than 1,800 hours in 2023, supporting 45 non-profit partners and their mission-driven work.</w:t>
      </w:r>
    </w:p>
    <w:p>
      <w:pPr>
        <w:spacing w:after="0" w:line="20" w:lineRule="exact"/>
        <w:rPr>
          <w:rFonts w:ascii="Arial" w:cs="Arial" w:eastAsia="Arial" w:hAnsi="Arial"/>
          <w:sz w:val="16"/>
          <w:szCs w:val="16"/>
          <w:color w:val="41516E"/>
        </w:rPr>
      </w:pPr>
    </w:p>
    <w:p>
      <w:pPr>
        <w:ind w:left="180" w:hanging="172"/>
        <w:spacing w:after="0"/>
        <w:tabs>
          <w:tab w:leader="none" w:pos="180" w:val="left"/>
        </w:tabs>
        <w:numPr>
          <w:ilvl w:val="0"/>
          <w:numId w:val="36"/>
        </w:numPr>
        <w:rPr>
          <w:rFonts w:ascii="Arial" w:cs="Arial" w:eastAsia="Arial" w:hAnsi="Arial"/>
          <w:sz w:val="16"/>
          <w:szCs w:val="16"/>
          <w:color w:val="41516E"/>
        </w:rPr>
      </w:pPr>
      <w:r>
        <w:rPr>
          <w:rFonts w:ascii="Arial" w:cs="Arial" w:eastAsia="Arial" w:hAnsi="Arial"/>
          <w:sz w:val="16"/>
          <w:szCs w:val="16"/>
          <w:color w:val="41516E"/>
        </w:rPr>
        <w:t>We established a relationship with the National Black Brewers Association, which we anticipate expanding in 2024 and beyond.</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41516E"/>
        </w:rPr>
        <w:t>Governance Highlights</w:t>
      </w:r>
    </w:p>
    <w:p>
      <w:pPr>
        <w:spacing w:after="0" w:line="209" w:lineRule="exact"/>
        <w:rPr>
          <w:sz w:val="20"/>
          <w:szCs w:val="20"/>
          <w:color w:val="auto"/>
        </w:rPr>
      </w:pPr>
    </w:p>
    <w:p>
      <w:pPr>
        <w:ind w:left="180" w:hanging="172"/>
        <w:spacing w:after="0" w:line="286" w:lineRule="auto"/>
        <w:tabs>
          <w:tab w:leader="none" w:pos="180" w:val="left"/>
        </w:tabs>
        <w:numPr>
          <w:ilvl w:val="0"/>
          <w:numId w:val="37"/>
        </w:numPr>
        <w:rPr>
          <w:rFonts w:ascii="Arial" w:cs="Arial" w:eastAsia="Arial" w:hAnsi="Arial"/>
          <w:sz w:val="16"/>
          <w:szCs w:val="16"/>
          <w:color w:val="41516E"/>
        </w:rPr>
      </w:pPr>
      <w:r>
        <w:rPr>
          <w:rFonts w:ascii="Arial" w:cs="Arial" w:eastAsia="Arial" w:hAnsi="Arial"/>
          <w:sz w:val="16"/>
          <w:szCs w:val="16"/>
          <w:color w:val="41516E"/>
        </w:rPr>
        <w:t>We memorialized Board engagement on ESG by establishing an ESG Cadence Calendar, which outlines a variety of touchpoints where the Board and its committees will engage on ESG initiatives over the course of the year.</w:t>
      </w:r>
    </w:p>
    <w:p>
      <w:pPr>
        <w:spacing w:after="0" w:line="20"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37"/>
        </w:numPr>
        <w:rPr>
          <w:rFonts w:ascii="Arial" w:cs="Arial" w:eastAsia="Arial" w:hAnsi="Arial"/>
          <w:sz w:val="16"/>
          <w:szCs w:val="16"/>
          <w:color w:val="41516E"/>
        </w:rPr>
      </w:pPr>
      <w:r>
        <w:rPr>
          <w:rFonts w:ascii="Arial" w:cs="Arial" w:eastAsia="Arial" w:hAnsi="Arial"/>
          <w:sz w:val="16"/>
          <w:szCs w:val="16"/>
          <w:color w:val="41516E"/>
        </w:rPr>
        <w:t>We formalized a universal Coworker Handbook that defines our key employment-related policies, reinforces our values, and holds all coworkers to a consistent set of standards. While a bulk of the work to implement this project took place in 2023, the Coworker Handbook was officially published to coworkers in January 2024. Prior to that, the Company was operating with different handbooks across our different locations.</w:t>
      </w:r>
    </w:p>
    <w:p>
      <w:pPr>
        <w:spacing w:after="0" w:line="36"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37"/>
        </w:numPr>
        <w:rPr>
          <w:rFonts w:ascii="Arial" w:cs="Arial" w:eastAsia="Arial" w:hAnsi="Arial"/>
          <w:sz w:val="16"/>
          <w:szCs w:val="16"/>
          <w:color w:val="41516E"/>
        </w:rPr>
      </w:pPr>
      <w:r>
        <w:rPr>
          <w:rFonts w:ascii="Arial" w:cs="Arial" w:eastAsia="Arial" w:hAnsi="Arial"/>
          <w:sz w:val="16"/>
          <w:szCs w:val="16"/>
          <w:color w:val="41516E"/>
        </w:rPr>
        <w:t>We continued to ensure that our important company policies align with best practices, legal requirements, and the evolving needs of our business. Over the course of 2023, we amended our Clawback Policy, Corporate Governance Guidelines (including the overboarding policy), Insider Trading Policy, Contract Signing Authority Policy, and our Board committee charters.</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ESG Governance</w:t>
      </w:r>
    </w:p>
    <w:p>
      <w:pPr>
        <w:spacing w:after="0" w:line="269"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We believe that governance, responsibility, and accountability are vital to ensure that ESG is actively managed throughout the Company. To ensure that ESG is appropriately managed throughout the organization, we have designed the following governance structures:</w:t>
      </w:r>
    </w:p>
    <w:p>
      <w:pPr>
        <w:spacing w:after="0" w:line="129"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6"/>
          <w:szCs w:val="16"/>
          <w:color w:val="41516E"/>
        </w:rPr>
      </w:pPr>
      <w:r>
        <w:rPr>
          <w:rFonts w:ascii="Arial" w:cs="Arial" w:eastAsia="Arial" w:hAnsi="Arial"/>
          <w:sz w:val="16"/>
          <w:szCs w:val="16"/>
          <w:color w:val="41516E"/>
        </w:rPr>
        <w:t>Our Executive Leadership Team is responsible for the adoption of our ESG strategies and the overall execution of our corresponding ESG initiatives.</w:t>
      </w:r>
    </w:p>
    <w:p>
      <w:pPr>
        <w:spacing w:after="0" w:line="86"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38"/>
        </w:numPr>
        <w:rPr>
          <w:rFonts w:ascii="Arial" w:cs="Arial" w:eastAsia="Arial" w:hAnsi="Arial"/>
          <w:sz w:val="16"/>
          <w:szCs w:val="16"/>
          <w:color w:val="41516E"/>
        </w:rPr>
      </w:pPr>
      <w:r>
        <w:rPr>
          <w:rFonts w:ascii="Arial" w:cs="Arial" w:eastAsia="Arial" w:hAnsi="Arial"/>
          <w:sz w:val="16"/>
          <w:szCs w:val="16"/>
          <w:color w:val="41516E"/>
        </w:rPr>
        <w:t>The full Board is responsible for overseeing management’s overall approach and execution of its ESG initiatives. The full Board is also responsible for overseeing succession planning and talent management.</w:t>
      </w:r>
    </w:p>
    <w:p>
      <w:pPr>
        <w:spacing w:after="0" w:line="20" w:lineRule="exact"/>
        <w:rPr>
          <w:rFonts w:ascii="Arial" w:cs="Arial" w:eastAsia="Arial" w:hAnsi="Arial"/>
          <w:sz w:val="16"/>
          <w:szCs w:val="16"/>
          <w:color w:val="41516E"/>
        </w:rPr>
      </w:pPr>
    </w:p>
    <w:p>
      <w:pPr>
        <w:ind w:left="180" w:hanging="172"/>
        <w:spacing w:after="0" w:line="286" w:lineRule="auto"/>
        <w:tabs>
          <w:tab w:leader="none" w:pos="180" w:val="left"/>
        </w:tabs>
        <w:numPr>
          <w:ilvl w:val="0"/>
          <w:numId w:val="38"/>
        </w:numPr>
        <w:rPr>
          <w:rFonts w:ascii="Arial" w:cs="Arial" w:eastAsia="Arial" w:hAnsi="Arial"/>
          <w:sz w:val="16"/>
          <w:szCs w:val="16"/>
          <w:color w:val="41516E"/>
        </w:rPr>
      </w:pPr>
      <w:r>
        <w:rPr>
          <w:rFonts w:ascii="Arial" w:cs="Arial" w:eastAsia="Arial" w:hAnsi="Arial"/>
          <w:sz w:val="16"/>
          <w:szCs w:val="16"/>
          <w:color w:val="41516E"/>
        </w:rPr>
        <w:t>The Nominating/Governance Committee oversees and provides guidance on environmental sustainability and social responsibility initiatives and helps to ensure that the full Board is properly addressing ESG topics as needed.</w:t>
      </w:r>
    </w:p>
    <w:p>
      <w:pPr>
        <w:spacing w:after="0" w:line="20" w:lineRule="exact"/>
        <w:rPr>
          <w:rFonts w:ascii="Arial" w:cs="Arial" w:eastAsia="Arial" w:hAnsi="Arial"/>
          <w:sz w:val="16"/>
          <w:szCs w:val="16"/>
          <w:color w:val="41516E"/>
        </w:rPr>
      </w:pPr>
    </w:p>
    <w:p>
      <w:pPr>
        <w:ind w:left="180" w:right="20" w:hanging="172"/>
        <w:spacing w:after="0" w:line="286" w:lineRule="auto"/>
        <w:tabs>
          <w:tab w:leader="none" w:pos="180" w:val="left"/>
        </w:tabs>
        <w:numPr>
          <w:ilvl w:val="0"/>
          <w:numId w:val="38"/>
        </w:numPr>
        <w:rPr>
          <w:rFonts w:ascii="Arial" w:cs="Arial" w:eastAsia="Arial" w:hAnsi="Arial"/>
          <w:sz w:val="16"/>
          <w:szCs w:val="16"/>
          <w:color w:val="41516E"/>
        </w:rPr>
      </w:pPr>
      <w:r>
        <w:rPr>
          <w:rFonts w:ascii="Arial" w:cs="Arial" w:eastAsia="Arial" w:hAnsi="Arial"/>
          <w:sz w:val="16"/>
          <w:szCs w:val="16"/>
          <w:color w:val="41516E"/>
        </w:rPr>
        <w:t>The Compensation Committee provides recommendations to the Board and the ELT on the Company’s culture and people initiatives, including diversity, equity, and inclusion.</w:t>
      </w:r>
    </w:p>
    <w:p>
      <w:pPr>
        <w:spacing w:after="0" w:line="20" w:lineRule="exact"/>
        <w:rPr>
          <w:rFonts w:ascii="Arial" w:cs="Arial" w:eastAsia="Arial" w:hAnsi="Arial"/>
          <w:sz w:val="16"/>
          <w:szCs w:val="16"/>
          <w:color w:val="41516E"/>
        </w:rPr>
      </w:pPr>
    </w:p>
    <w:p>
      <w:pPr>
        <w:jc w:val="both"/>
        <w:ind w:left="180" w:hanging="172"/>
        <w:spacing w:after="0" w:line="266" w:lineRule="auto"/>
        <w:tabs>
          <w:tab w:leader="none" w:pos="180" w:val="left"/>
        </w:tabs>
        <w:numPr>
          <w:ilvl w:val="0"/>
          <w:numId w:val="38"/>
        </w:numPr>
        <w:rPr>
          <w:rFonts w:ascii="Arial" w:cs="Arial" w:eastAsia="Arial" w:hAnsi="Arial"/>
          <w:sz w:val="16"/>
          <w:szCs w:val="16"/>
          <w:color w:val="41516E"/>
        </w:rPr>
      </w:pPr>
      <w:r>
        <w:rPr>
          <w:rFonts w:ascii="Arial" w:cs="Arial" w:eastAsia="Arial" w:hAnsi="Arial"/>
          <w:sz w:val="16"/>
          <w:szCs w:val="16"/>
          <w:color w:val="41516E"/>
        </w:rPr>
        <w:t>In 2021, we formed an Executive Sustainability Committee, or “ESC”, comprised of a cross-functional group of members of Company leadership. The ESC meets at least quarterly, leads sustainability strategies across the Company, and provides routine oversight of our ESG initiatives to ensure a cohesive overall approach.</w:t>
      </w:r>
    </w:p>
    <w:p>
      <w:pPr>
        <w:spacing w:after="0" w:line="36" w:lineRule="exact"/>
        <w:rPr>
          <w:rFonts w:ascii="Arial" w:cs="Arial" w:eastAsia="Arial" w:hAnsi="Arial"/>
          <w:sz w:val="16"/>
          <w:szCs w:val="16"/>
          <w:color w:val="41516E"/>
        </w:rPr>
      </w:pPr>
    </w:p>
    <w:p>
      <w:pPr>
        <w:ind w:left="180" w:right="20" w:hanging="172"/>
        <w:spacing w:after="0" w:line="286" w:lineRule="auto"/>
        <w:tabs>
          <w:tab w:leader="none" w:pos="180" w:val="left"/>
        </w:tabs>
        <w:numPr>
          <w:ilvl w:val="0"/>
          <w:numId w:val="38"/>
        </w:numPr>
        <w:rPr>
          <w:rFonts w:ascii="Arial" w:cs="Arial" w:eastAsia="Arial" w:hAnsi="Arial"/>
          <w:sz w:val="16"/>
          <w:szCs w:val="16"/>
          <w:color w:val="41516E"/>
        </w:rPr>
      </w:pPr>
      <w:r>
        <w:rPr>
          <w:rFonts w:ascii="Arial" w:cs="Arial" w:eastAsia="Arial" w:hAnsi="Arial"/>
          <w:sz w:val="16"/>
          <w:szCs w:val="16"/>
          <w:color w:val="41516E"/>
        </w:rPr>
        <w:t>Our Sustainability Network Group, comprised of over 200 passionate coworkers, meets monthly to drive grassroots participation in our ESG initiatives via innovative programming and opportunities for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90805</wp:posOffset>
            </wp:positionV>
            <wp:extent cx="85725"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57</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Audit </w:t>
      </w:r>
      <w:r>
        <w:rPr>
          <w:rFonts w:ascii="Arial" w:cs="Arial" w:eastAsia="Arial" w:hAnsi="Arial"/>
          <w:sz w:val="47"/>
          <w:szCs w:val="47"/>
          <w:b w:val="1"/>
          <w:bCs w:val="1"/>
          <w:color w:val="798297"/>
        </w:rPr>
        <w:t>Information</w:t>
      </w: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Deloitte served as our independent registered public accounting firm and audited our consolidated financial statements for Fiscal Year 2023 and Fiscal Year 2022.</w:t>
      </w:r>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Fees Paid to Independent Registered Public Accounting Firm</w:t>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The Audit Committee’s policy is to pre-approve all audit and permissible non-audit services provided by our independent registered public accounting firm. The Audit Committee pre-approved all such audit and non-audit services provided by Deloitte during 2023 and 2022. The aggregate fees billed to the Company by Deloitte for Fiscal Year 2023 and Fiscal Year 2022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Borders>
              <w:bottom w:val="single" w:sz="8" w:color="41516E"/>
            </w:tcBorders>
          </w:tcPr>
          <w:p>
            <w:pPr>
              <w:spacing w:after="0"/>
              <w:rPr>
                <w:sz w:val="17"/>
                <w:szCs w:val="17"/>
                <w:color w:val="auto"/>
              </w:rPr>
            </w:pPr>
          </w:p>
        </w:tc>
        <w:tc>
          <w:tcPr>
            <w:tcW w:w="3420" w:type="dxa"/>
            <w:vAlign w:val="bottom"/>
            <w:tcBorders>
              <w:bottom w:val="single" w:sz="8" w:color="41516E"/>
            </w:tcBorders>
          </w:tcPr>
          <w:p>
            <w:pPr>
              <w:spacing w:after="0"/>
              <w:rPr>
                <w:sz w:val="17"/>
                <w:szCs w:val="17"/>
                <w:color w:val="auto"/>
              </w:rPr>
            </w:pPr>
          </w:p>
        </w:tc>
        <w:tc>
          <w:tcPr>
            <w:tcW w:w="1360" w:type="dxa"/>
            <w:vAlign w:val="bottom"/>
            <w:tcBorders>
              <w:bottom w:val="single" w:sz="8" w:color="41516E"/>
            </w:tcBorders>
          </w:tcPr>
          <w:p>
            <w:pPr>
              <w:jc w:val="right"/>
              <w:ind w:right="379"/>
              <w:spacing w:after="0"/>
              <w:rPr>
                <w:sz w:val="20"/>
                <w:szCs w:val="20"/>
                <w:color w:val="auto"/>
              </w:rPr>
            </w:pPr>
            <w:r>
              <w:rPr>
                <w:rFonts w:ascii="Arial" w:cs="Arial" w:eastAsia="Arial" w:hAnsi="Arial"/>
                <w:sz w:val="16"/>
                <w:szCs w:val="16"/>
                <w:b w:val="1"/>
                <w:bCs w:val="1"/>
                <w:color w:val="41516E"/>
              </w:rPr>
              <w:t>2023</w:t>
            </w:r>
          </w:p>
        </w:tc>
        <w:tc>
          <w:tcPr>
            <w:tcW w:w="740" w:type="dxa"/>
            <w:vAlign w:val="bottom"/>
            <w:tcBorders>
              <w:bottom w:val="single" w:sz="8" w:color="41516E"/>
            </w:tcBorders>
          </w:tcPr>
          <w:p>
            <w:pPr>
              <w:spacing w:after="0"/>
              <w:rPr>
                <w:sz w:val="17"/>
                <w:szCs w:val="17"/>
                <w:color w:val="auto"/>
              </w:rPr>
            </w:pPr>
          </w:p>
        </w:tc>
        <w:tc>
          <w:tcPr>
            <w:tcW w:w="960" w:type="dxa"/>
            <w:vAlign w:val="bottom"/>
            <w:tcBorders>
              <w:bottom w:val="single" w:sz="8" w:color="41516E"/>
            </w:tcBorders>
          </w:tcPr>
          <w:p>
            <w:pPr>
              <w:jc w:val="right"/>
              <w:spacing w:after="0"/>
              <w:rPr>
                <w:sz w:val="20"/>
                <w:szCs w:val="20"/>
                <w:color w:val="auto"/>
              </w:rPr>
            </w:pPr>
            <w:r>
              <w:rPr>
                <w:rFonts w:ascii="Arial" w:cs="Arial" w:eastAsia="Arial" w:hAnsi="Arial"/>
                <w:sz w:val="16"/>
                <w:szCs w:val="16"/>
                <w:b w:val="1"/>
                <w:bCs w:val="1"/>
                <w:color w:val="41516E"/>
              </w:rPr>
              <w:t>2022</w:t>
            </w:r>
          </w:p>
        </w:tc>
      </w:tr>
      <w:tr>
        <w:trPr>
          <w:trHeight w:val="183"/>
        </w:trPr>
        <w:tc>
          <w:tcPr>
            <w:tcW w:w="4760" w:type="dxa"/>
            <w:vAlign w:val="bottom"/>
          </w:tcPr>
          <w:p>
            <w:pPr>
              <w:ind w:left="60"/>
              <w:spacing w:after="0" w:line="183" w:lineRule="exact"/>
              <w:rPr>
                <w:sz w:val="20"/>
                <w:szCs w:val="20"/>
                <w:color w:val="auto"/>
              </w:rPr>
            </w:pPr>
            <w:r>
              <w:rPr>
                <w:rFonts w:ascii="Arial" w:cs="Arial" w:eastAsia="Arial" w:hAnsi="Arial"/>
                <w:sz w:val="16"/>
                <w:szCs w:val="16"/>
                <w:color w:val="41516E"/>
              </w:rPr>
              <w:t>Audit Fees</w:t>
            </w:r>
          </w:p>
        </w:tc>
        <w:tc>
          <w:tcPr>
            <w:tcW w:w="3420" w:type="dxa"/>
            <w:vAlign w:val="bottom"/>
          </w:tcPr>
          <w:p>
            <w:pPr>
              <w:jc w:val="right"/>
              <w:ind w:right="99"/>
              <w:spacing w:after="0" w:line="183" w:lineRule="exact"/>
              <w:rPr>
                <w:sz w:val="20"/>
                <w:szCs w:val="20"/>
                <w:color w:val="auto"/>
              </w:rPr>
            </w:pPr>
            <w:r>
              <w:rPr>
                <w:rFonts w:ascii="Arial" w:cs="Arial" w:eastAsia="Arial" w:hAnsi="Arial"/>
                <w:sz w:val="16"/>
                <w:szCs w:val="16"/>
                <w:color w:val="41516E"/>
              </w:rPr>
              <w:t>$</w:t>
            </w:r>
          </w:p>
        </w:tc>
        <w:tc>
          <w:tcPr>
            <w:tcW w:w="1360" w:type="dxa"/>
            <w:vAlign w:val="bottom"/>
          </w:tcPr>
          <w:p>
            <w:pPr>
              <w:jc w:val="right"/>
              <w:ind w:right="379"/>
              <w:spacing w:after="0" w:line="183" w:lineRule="exact"/>
              <w:rPr>
                <w:sz w:val="20"/>
                <w:szCs w:val="20"/>
                <w:color w:val="auto"/>
              </w:rPr>
            </w:pPr>
            <w:r>
              <w:rPr>
                <w:rFonts w:ascii="Arial" w:cs="Arial" w:eastAsia="Arial" w:hAnsi="Arial"/>
                <w:sz w:val="16"/>
                <w:szCs w:val="16"/>
                <w:color w:val="41516E"/>
              </w:rPr>
              <w:t>1,335,000</w:t>
            </w:r>
          </w:p>
        </w:tc>
        <w:tc>
          <w:tcPr>
            <w:tcW w:w="740" w:type="dxa"/>
            <w:vAlign w:val="bottom"/>
          </w:tcPr>
          <w:p>
            <w:pPr>
              <w:jc w:val="right"/>
              <w:ind w:right="99"/>
              <w:spacing w:after="0" w:line="183" w:lineRule="exact"/>
              <w:rPr>
                <w:sz w:val="20"/>
                <w:szCs w:val="20"/>
                <w:color w:val="auto"/>
              </w:rPr>
            </w:pPr>
            <w:r>
              <w:rPr>
                <w:rFonts w:ascii="Arial" w:cs="Arial" w:eastAsia="Arial" w:hAnsi="Arial"/>
                <w:sz w:val="16"/>
                <w:szCs w:val="16"/>
                <w:color w:val="41516E"/>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41516E"/>
              </w:rPr>
              <w:t>1,130,000</w:t>
            </w:r>
          </w:p>
        </w:tc>
      </w:tr>
      <w:tr>
        <w:trPr>
          <w:trHeight w:val="229"/>
        </w:trPr>
        <w:tc>
          <w:tcPr>
            <w:tcW w:w="4760" w:type="dxa"/>
            <w:vAlign w:val="bottom"/>
            <w:shd w:val="clear" w:color="auto" w:fill="EFF0F1"/>
          </w:tcPr>
          <w:p>
            <w:pPr>
              <w:ind w:left="60"/>
              <w:spacing w:after="0" w:line="230" w:lineRule="exact"/>
              <w:rPr>
                <w:sz w:val="20"/>
                <w:szCs w:val="20"/>
                <w:color w:val="auto"/>
              </w:rPr>
            </w:pPr>
            <w:r>
              <w:rPr>
                <w:rFonts w:ascii="Arial" w:cs="Arial" w:eastAsia="Arial" w:hAnsi="Arial"/>
                <w:sz w:val="16"/>
                <w:szCs w:val="16"/>
                <w:color w:val="41516E"/>
              </w:rPr>
              <w:t>Audit-Related Fees</w:t>
            </w:r>
            <w:r>
              <w:rPr>
                <w:rFonts w:ascii="Arial" w:cs="Arial" w:eastAsia="Arial" w:hAnsi="Arial"/>
                <w:sz w:val="26"/>
                <w:szCs w:val="26"/>
                <w:color w:val="41516E"/>
                <w:vertAlign w:val="superscript"/>
              </w:rPr>
              <w:t>(1)</w:t>
            </w:r>
          </w:p>
        </w:tc>
        <w:tc>
          <w:tcPr>
            <w:tcW w:w="3420" w:type="dxa"/>
            <w:vAlign w:val="bottom"/>
            <w:shd w:val="clear" w:color="auto" w:fill="EFF0F1"/>
          </w:tcPr>
          <w:p>
            <w:pPr>
              <w:jc w:val="right"/>
              <w:ind w:right="99"/>
              <w:spacing w:after="0"/>
              <w:rPr>
                <w:sz w:val="20"/>
                <w:szCs w:val="20"/>
                <w:color w:val="auto"/>
              </w:rPr>
            </w:pPr>
            <w:r>
              <w:rPr>
                <w:rFonts w:ascii="Arial" w:cs="Arial" w:eastAsia="Arial" w:hAnsi="Arial"/>
                <w:sz w:val="16"/>
                <w:szCs w:val="16"/>
                <w:color w:val="41516E"/>
              </w:rPr>
              <w:t>$</w:t>
            </w:r>
          </w:p>
        </w:tc>
        <w:tc>
          <w:tcPr>
            <w:tcW w:w="1360" w:type="dxa"/>
            <w:vAlign w:val="bottom"/>
            <w:shd w:val="clear" w:color="auto" w:fill="EFF0F1"/>
          </w:tcPr>
          <w:p>
            <w:pPr>
              <w:jc w:val="right"/>
              <w:ind w:right="379"/>
              <w:spacing w:after="0"/>
              <w:rPr>
                <w:sz w:val="20"/>
                <w:szCs w:val="20"/>
                <w:color w:val="auto"/>
              </w:rPr>
            </w:pPr>
            <w:r>
              <w:rPr>
                <w:rFonts w:ascii="Arial" w:cs="Arial" w:eastAsia="Arial" w:hAnsi="Arial"/>
                <w:sz w:val="16"/>
                <w:szCs w:val="16"/>
                <w:color w:val="41516E"/>
              </w:rPr>
              <w:t>65,000</w:t>
            </w:r>
          </w:p>
        </w:tc>
        <w:tc>
          <w:tcPr>
            <w:tcW w:w="740" w:type="dxa"/>
            <w:vAlign w:val="bottom"/>
            <w:shd w:val="clear" w:color="auto" w:fill="EFF0F1"/>
          </w:tcPr>
          <w:p>
            <w:pPr>
              <w:jc w:val="right"/>
              <w:ind w:right="99"/>
              <w:spacing w:after="0"/>
              <w:rPr>
                <w:sz w:val="20"/>
                <w:szCs w:val="20"/>
                <w:color w:val="auto"/>
              </w:rPr>
            </w:pPr>
            <w:r>
              <w:rPr>
                <w:rFonts w:ascii="Arial" w:cs="Arial" w:eastAsia="Arial" w:hAnsi="Arial"/>
                <w:sz w:val="16"/>
                <w:szCs w:val="16"/>
                <w:color w:val="41516E"/>
              </w:rPr>
              <w:t>$</w:t>
            </w:r>
          </w:p>
        </w:tc>
        <w:tc>
          <w:tcPr>
            <w:tcW w:w="960" w:type="dxa"/>
            <w:vAlign w:val="bottom"/>
            <w:shd w:val="clear" w:color="auto" w:fill="EFF0F1"/>
          </w:tcPr>
          <w:p>
            <w:pPr>
              <w:jc w:val="right"/>
              <w:spacing w:after="0"/>
              <w:rPr>
                <w:sz w:val="20"/>
                <w:szCs w:val="20"/>
                <w:color w:val="auto"/>
              </w:rPr>
            </w:pPr>
            <w:r>
              <w:rPr>
                <w:rFonts w:ascii="Arial" w:cs="Arial" w:eastAsia="Arial" w:hAnsi="Arial"/>
                <w:sz w:val="16"/>
                <w:szCs w:val="16"/>
                <w:color w:val="41516E"/>
              </w:rPr>
              <w:t>57,000</w:t>
            </w:r>
          </w:p>
        </w:tc>
      </w:tr>
      <w:tr>
        <w:trPr>
          <w:trHeight w:val="230"/>
        </w:trPr>
        <w:tc>
          <w:tcPr>
            <w:tcW w:w="4760" w:type="dxa"/>
            <w:vAlign w:val="bottom"/>
            <w:tcBorders>
              <w:bottom w:val="single" w:sz="8" w:color="41516E"/>
            </w:tcBorders>
          </w:tcPr>
          <w:p>
            <w:pPr>
              <w:ind w:left="60"/>
              <w:spacing w:after="0" w:line="230" w:lineRule="exact"/>
              <w:rPr>
                <w:sz w:val="20"/>
                <w:szCs w:val="20"/>
                <w:color w:val="auto"/>
              </w:rPr>
            </w:pPr>
            <w:r>
              <w:rPr>
                <w:rFonts w:ascii="Arial" w:cs="Arial" w:eastAsia="Arial" w:hAnsi="Arial"/>
                <w:sz w:val="16"/>
                <w:szCs w:val="16"/>
                <w:color w:val="41516E"/>
              </w:rPr>
              <w:t>Tax Fees</w:t>
            </w:r>
            <w:r>
              <w:rPr>
                <w:rFonts w:ascii="Arial" w:cs="Arial" w:eastAsia="Arial" w:hAnsi="Arial"/>
                <w:sz w:val="26"/>
                <w:szCs w:val="26"/>
                <w:color w:val="41516E"/>
                <w:vertAlign w:val="superscript"/>
              </w:rPr>
              <w:t>(2)</w:t>
            </w:r>
          </w:p>
        </w:tc>
        <w:tc>
          <w:tcPr>
            <w:tcW w:w="3420" w:type="dxa"/>
            <w:vAlign w:val="bottom"/>
            <w:tcBorders>
              <w:bottom w:val="single" w:sz="8" w:color="41516E"/>
            </w:tcBorders>
          </w:tcPr>
          <w:p>
            <w:pPr>
              <w:jc w:val="right"/>
              <w:ind w:right="99"/>
              <w:spacing w:after="0"/>
              <w:rPr>
                <w:sz w:val="20"/>
                <w:szCs w:val="20"/>
                <w:color w:val="auto"/>
              </w:rPr>
            </w:pPr>
            <w:r>
              <w:rPr>
                <w:rFonts w:ascii="Arial" w:cs="Arial" w:eastAsia="Arial" w:hAnsi="Arial"/>
                <w:sz w:val="16"/>
                <w:szCs w:val="16"/>
                <w:color w:val="41516E"/>
              </w:rPr>
              <w:t>$</w:t>
            </w:r>
          </w:p>
        </w:tc>
        <w:tc>
          <w:tcPr>
            <w:tcW w:w="1360" w:type="dxa"/>
            <w:vAlign w:val="bottom"/>
            <w:tcBorders>
              <w:bottom w:val="single" w:sz="8" w:color="41516E"/>
            </w:tcBorders>
          </w:tcPr>
          <w:p>
            <w:pPr>
              <w:jc w:val="right"/>
              <w:ind w:right="379"/>
              <w:spacing w:after="0"/>
              <w:rPr>
                <w:sz w:val="20"/>
                <w:szCs w:val="20"/>
                <w:color w:val="auto"/>
              </w:rPr>
            </w:pPr>
            <w:r>
              <w:rPr>
                <w:rFonts w:ascii="Arial" w:cs="Arial" w:eastAsia="Arial" w:hAnsi="Arial"/>
                <w:sz w:val="16"/>
                <w:szCs w:val="16"/>
                <w:color w:val="41516E"/>
              </w:rPr>
              <w:t>100,000</w:t>
            </w:r>
          </w:p>
        </w:tc>
        <w:tc>
          <w:tcPr>
            <w:tcW w:w="740" w:type="dxa"/>
            <w:vAlign w:val="bottom"/>
            <w:tcBorders>
              <w:bottom w:val="single" w:sz="8" w:color="41516E"/>
            </w:tcBorders>
          </w:tcPr>
          <w:p>
            <w:pPr>
              <w:jc w:val="right"/>
              <w:ind w:right="99"/>
              <w:spacing w:after="0"/>
              <w:rPr>
                <w:sz w:val="20"/>
                <w:szCs w:val="20"/>
                <w:color w:val="auto"/>
              </w:rPr>
            </w:pPr>
            <w:r>
              <w:rPr>
                <w:rFonts w:ascii="Arial" w:cs="Arial" w:eastAsia="Arial" w:hAnsi="Arial"/>
                <w:sz w:val="16"/>
                <w:szCs w:val="16"/>
                <w:color w:val="41516E"/>
              </w:rPr>
              <w:t>$</w:t>
            </w:r>
          </w:p>
        </w:tc>
        <w:tc>
          <w:tcPr>
            <w:tcW w:w="960" w:type="dxa"/>
            <w:vAlign w:val="bottom"/>
            <w:tcBorders>
              <w:bottom w:val="single" w:sz="8" w:color="41516E"/>
            </w:tcBorders>
          </w:tcPr>
          <w:p>
            <w:pPr>
              <w:jc w:val="right"/>
              <w:spacing w:after="0"/>
              <w:rPr>
                <w:sz w:val="20"/>
                <w:szCs w:val="20"/>
                <w:color w:val="auto"/>
              </w:rPr>
            </w:pPr>
            <w:r>
              <w:rPr>
                <w:rFonts w:ascii="Arial" w:cs="Arial" w:eastAsia="Arial" w:hAnsi="Arial"/>
                <w:sz w:val="16"/>
                <w:szCs w:val="16"/>
                <w:color w:val="41516E"/>
              </w:rPr>
              <w:t>75,000</w:t>
            </w:r>
          </w:p>
        </w:tc>
      </w:tr>
      <w:tr>
        <w:trPr>
          <w:trHeight w:val="183"/>
        </w:trPr>
        <w:tc>
          <w:tcPr>
            <w:tcW w:w="4760" w:type="dxa"/>
            <w:vAlign w:val="bottom"/>
            <w:tcBorders>
              <w:bottom w:val="single" w:sz="8" w:color="41516E"/>
            </w:tcBorders>
            <w:shd w:val="clear" w:color="auto" w:fill="EFF0F1"/>
          </w:tcPr>
          <w:p>
            <w:pPr>
              <w:ind w:left="60"/>
              <w:spacing w:after="0" w:line="183" w:lineRule="exact"/>
              <w:rPr>
                <w:sz w:val="20"/>
                <w:szCs w:val="20"/>
                <w:color w:val="auto"/>
              </w:rPr>
            </w:pPr>
            <w:r>
              <w:rPr>
                <w:rFonts w:ascii="Arial" w:cs="Arial" w:eastAsia="Arial" w:hAnsi="Arial"/>
                <w:sz w:val="16"/>
                <w:szCs w:val="16"/>
                <w:b w:val="1"/>
                <w:bCs w:val="1"/>
                <w:color w:val="41516E"/>
              </w:rPr>
              <w:t>TOTAL</w:t>
            </w:r>
          </w:p>
        </w:tc>
        <w:tc>
          <w:tcPr>
            <w:tcW w:w="3420" w:type="dxa"/>
            <w:vAlign w:val="bottom"/>
            <w:tcBorders>
              <w:bottom w:val="single" w:sz="8" w:color="41516E"/>
            </w:tcBorders>
            <w:shd w:val="clear" w:color="auto" w:fill="EFF0F1"/>
          </w:tcPr>
          <w:p>
            <w:pPr>
              <w:jc w:val="right"/>
              <w:ind w:right="99"/>
              <w:spacing w:after="0" w:line="183" w:lineRule="exact"/>
              <w:rPr>
                <w:sz w:val="20"/>
                <w:szCs w:val="20"/>
                <w:color w:val="auto"/>
              </w:rPr>
            </w:pPr>
            <w:r>
              <w:rPr>
                <w:rFonts w:ascii="Arial" w:cs="Arial" w:eastAsia="Arial" w:hAnsi="Arial"/>
                <w:sz w:val="16"/>
                <w:szCs w:val="16"/>
                <w:b w:val="1"/>
                <w:bCs w:val="1"/>
                <w:color w:val="41516E"/>
              </w:rPr>
              <w:t>$</w:t>
            </w:r>
          </w:p>
        </w:tc>
        <w:tc>
          <w:tcPr>
            <w:tcW w:w="1360" w:type="dxa"/>
            <w:vAlign w:val="bottom"/>
            <w:tcBorders>
              <w:bottom w:val="single" w:sz="8" w:color="41516E"/>
            </w:tcBorders>
            <w:shd w:val="clear" w:color="auto" w:fill="EFF0F1"/>
          </w:tcPr>
          <w:p>
            <w:pPr>
              <w:jc w:val="right"/>
              <w:ind w:right="379"/>
              <w:spacing w:after="0" w:line="183" w:lineRule="exact"/>
              <w:rPr>
                <w:sz w:val="20"/>
                <w:szCs w:val="20"/>
                <w:color w:val="auto"/>
              </w:rPr>
            </w:pPr>
            <w:r>
              <w:rPr>
                <w:rFonts w:ascii="Arial" w:cs="Arial" w:eastAsia="Arial" w:hAnsi="Arial"/>
                <w:sz w:val="16"/>
                <w:szCs w:val="16"/>
                <w:b w:val="1"/>
                <w:bCs w:val="1"/>
                <w:color w:val="41516E"/>
              </w:rPr>
              <w:t>1,495,000</w:t>
            </w:r>
          </w:p>
        </w:tc>
        <w:tc>
          <w:tcPr>
            <w:tcW w:w="740" w:type="dxa"/>
            <w:vAlign w:val="bottom"/>
            <w:tcBorders>
              <w:bottom w:val="single" w:sz="8" w:color="41516E"/>
            </w:tcBorders>
            <w:shd w:val="clear" w:color="auto" w:fill="EFF0F1"/>
          </w:tcPr>
          <w:p>
            <w:pPr>
              <w:jc w:val="right"/>
              <w:ind w:right="99"/>
              <w:spacing w:after="0" w:line="183" w:lineRule="exact"/>
              <w:rPr>
                <w:sz w:val="20"/>
                <w:szCs w:val="20"/>
                <w:color w:val="auto"/>
              </w:rPr>
            </w:pPr>
            <w:r>
              <w:rPr>
                <w:rFonts w:ascii="Arial" w:cs="Arial" w:eastAsia="Arial" w:hAnsi="Arial"/>
                <w:sz w:val="16"/>
                <w:szCs w:val="16"/>
                <w:b w:val="1"/>
                <w:bCs w:val="1"/>
                <w:color w:val="41516E"/>
              </w:rPr>
              <w:t>$</w:t>
            </w:r>
          </w:p>
        </w:tc>
        <w:tc>
          <w:tcPr>
            <w:tcW w:w="960" w:type="dxa"/>
            <w:vAlign w:val="bottom"/>
            <w:tcBorders>
              <w:bottom w:val="single" w:sz="8" w:color="41516E"/>
            </w:tcBorders>
            <w:shd w:val="clear" w:color="auto" w:fill="EFF0F1"/>
          </w:tcPr>
          <w:p>
            <w:pPr>
              <w:jc w:val="right"/>
              <w:spacing w:after="0" w:line="183" w:lineRule="exact"/>
              <w:rPr>
                <w:sz w:val="20"/>
                <w:szCs w:val="20"/>
                <w:color w:val="auto"/>
              </w:rPr>
            </w:pPr>
            <w:r>
              <w:rPr>
                <w:rFonts w:ascii="Arial" w:cs="Arial" w:eastAsia="Arial" w:hAnsi="Arial"/>
                <w:sz w:val="16"/>
                <w:szCs w:val="16"/>
                <w:b w:val="1"/>
                <w:bCs w:val="1"/>
                <w:color w:val="41516E"/>
              </w:rPr>
              <w:t>1,262,000</w:t>
            </w:r>
          </w:p>
        </w:tc>
      </w:tr>
    </w:tbl>
    <w:p>
      <w:pPr>
        <w:spacing w:after="0" w:line="4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i w:val="1"/>
          <w:iCs w:val="1"/>
          <w:color w:val="41516E"/>
        </w:rPr>
      </w:pPr>
      <w:r>
        <w:rPr>
          <w:rFonts w:ascii="Arial" w:cs="Arial" w:eastAsia="Arial" w:hAnsi="Arial"/>
          <w:sz w:val="14"/>
          <w:szCs w:val="14"/>
          <w:i w:val="1"/>
          <w:iCs w:val="1"/>
          <w:color w:val="41516E"/>
        </w:rPr>
        <w:t>Audit-related fees in 2023 and 2022 include fees paid to Deloitte for work related to the Company’s 401(k) and pension plans.</w:t>
      </w:r>
    </w:p>
    <w:p>
      <w:pPr>
        <w:spacing w:after="0" w:line="55" w:lineRule="exact"/>
        <w:rPr>
          <w:rFonts w:ascii="Arial" w:cs="Arial" w:eastAsia="Arial" w:hAnsi="Arial"/>
          <w:sz w:val="14"/>
          <w:szCs w:val="14"/>
          <w:i w:val="1"/>
          <w:iCs w:val="1"/>
          <w:color w:val="41516E"/>
        </w:rPr>
      </w:pPr>
    </w:p>
    <w:p>
      <w:pPr>
        <w:ind w:left="340" w:hanging="332"/>
        <w:spacing w:after="0"/>
        <w:tabs>
          <w:tab w:leader="none" w:pos="340" w:val="left"/>
        </w:tabs>
        <w:numPr>
          <w:ilvl w:val="0"/>
          <w:numId w:val="39"/>
        </w:numPr>
        <w:rPr>
          <w:rFonts w:ascii="Arial" w:cs="Arial" w:eastAsia="Arial" w:hAnsi="Arial"/>
          <w:sz w:val="14"/>
          <w:szCs w:val="14"/>
          <w:i w:val="1"/>
          <w:iCs w:val="1"/>
          <w:color w:val="41516E"/>
        </w:rPr>
      </w:pPr>
      <w:r>
        <w:rPr>
          <w:rFonts w:ascii="Arial" w:cs="Arial" w:eastAsia="Arial" w:hAnsi="Arial"/>
          <w:sz w:val="14"/>
          <w:szCs w:val="14"/>
          <w:i w:val="1"/>
          <w:iCs w:val="1"/>
          <w:color w:val="41516E"/>
        </w:rPr>
        <w:t>Tax fees in 2023 and 2022 represent fees paid to Deloitte for federal and state tax return compliance assistance.</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Representatives of Deloitte are expected to be present at the 2024 Annual Meeting, will have the opportunity to make a statement if they desire to do so, and are expected to be available to respond to questions.</w:t>
      </w:r>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Audit Committee Report</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41516E"/>
        </w:rPr>
        <w:t>The material in this report is not “soliciting material,”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41516E"/>
        </w:rPr>
        <w:t>The Audit Committee, which is comprised of three independent Directors, oversees Boston Beer’s financial reporting process on behalf of the Board. In that regard, the Audit Committee has reviewed and discussed our audited consolidated financial statements with management and Deloitte. The Audit Committee has also discussed with Deloitte the matters required to be discussed pursuant to applicable standards of the Public Company Accounting Oversight Board (“PCAOB”). The Audit Committee has received and reviewed the written disclosures and the letter from Deloitte required by the applicable requirements of the PCAOB regarding Deloitte’s communications with the Audit Committee concerning independence and has discussed with Deloitte their independence.</w:t>
      </w:r>
    </w:p>
    <w:p>
      <w:pPr>
        <w:spacing w:after="0" w:line="34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In addition, the Audit Committee met with senior management periodically during 2023 and reviewed key initiatives and programs aimed at strengthening the effectiveness of our internal controls. The full scope of the Committee’s responsibilities is outlined under the heading “Audit Committee” above. As part of its processes, the Audit Committee has continued to monitor the scope and steps taken to implement recommended improvements in internal procedures and controls. The Audit Committee regularly meets privately with representatives of Deloitte, our Director of Risk Management &amp; Internal Audit, and other members of our management, each of whom has unrestricted access to the Audit Committee.</w:t>
      </w:r>
    </w:p>
    <w:p>
      <w:pPr>
        <w:spacing w:after="0" w:line="15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41516E"/>
        </w:rPr>
        <w:t>Based on the review and discussions referred to above, the Audit Committee recommended to the Board that the audited financial statements should be included in our Annual Report on Form 10-K for Fiscal Year 2023 filed with the SEC.</w:t>
      </w:r>
    </w:p>
    <w:p>
      <w:pPr>
        <w:spacing w:after="0" w:line="129" w:lineRule="exact"/>
        <w:rPr>
          <w:sz w:val="20"/>
          <w:szCs w:val="20"/>
          <w:color w:val="auto"/>
        </w:rPr>
      </w:pPr>
    </w:p>
    <w:p>
      <w:pPr>
        <w:ind w:left="9280"/>
        <w:spacing w:after="0"/>
        <w:rPr>
          <w:sz w:val="20"/>
          <w:szCs w:val="20"/>
          <w:color w:val="auto"/>
        </w:rPr>
      </w:pPr>
      <w:r>
        <w:rPr>
          <w:rFonts w:ascii="Arial" w:cs="Arial" w:eastAsia="Arial" w:hAnsi="Arial"/>
          <w:sz w:val="16"/>
          <w:szCs w:val="16"/>
          <w:color w:val="41516E"/>
        </w:rPr>
        <w:t>Jean-Michel Valette (Chair)</w:t>
      </w:r>
    </w:p>
    <w:p>
      <w:pPr>
        <w:spacing w:after="0" w:line="21" w:lineRule="exact"/>
        <w:rPr>
          <w:sz w:val="20"/>
          <w:szCs w:val="20"/>
          <w:color w:val="auto"/>
        </w:rPr>
      </w:pPr>
    </w:p>
    <w:p>
      <w:pPr>
        <w:ind w:left="9280"/>
        <w:spacing w:after="0"/>
        <w:rPr>
          <w:sz w:val="20"/>
          <w:szCs w:val="20"/>
          <w:color w:val="auto"/>
        </w:rPr>
      </w:pPr>
      <w:r>
        <w:rPr>
          <w:rFonts w:ascii="Arial" w:cs="Arial" w:eastAsia="Arial" w:hAnsi="Arial"/>
          <w:sz w:val="16"/>
          <w:szCs w:val="16"/>
          <w:color w:val="41516E"/>
        </w:rPr>
        <w:t>Meghan V. Joyce</w:t>
      </w:r>
    </w:p>
    <w:p>
      <w:pPr>
        <w:spacing w:after="0" w:line="5" w:lineRule="exact"/>
        <w:rPr>
          <w:sz w:val="20"/>
          <w:szCs w:val="20"/>
          <w:color w:val="auto"/>
        </w:rPr>
      </w:pPr>
    </w:p>
    <w:p>
      <w:pPr>
        <w:ind w:left="9280"/>
        <w:spacing w:after="0"/>
        <w:rPr>
          <w:sz w:val="20"/>
          <w:szCs w:val="20"/>
          <w:color w:val="auto"/>
        </w:rPr>
      </w:pPr>
      <w:r>
        <w:rPr>
          <w:rFonts w:ascii="Arial" w:cs="Arial" w:eastAsia="Arial" w:hAnsi="Arial"/>
          <w:sz w:val="16"/>
          <w:szCs w:val="16"/>
          <w:color w:val="41516E"/>
        </w:rPr>
        <w:t>Cynthia L. Swanson</w:t>
      </w:r>
    </w:p>
    <w:p>
      <w:pPr>
        <w:spacing w:after="0" w:line="158"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Voting </w:t>
      </w:r>
      <w:r>
        <w:rPr>
          <w:rFonts w:ascii="Arial" w:cs="Arial" w:eastAsia="Arial" w:hAnsi="Arial"/>
          <w:sz w:val="47"/>
          <w:szCs w:val="47"/>
          <w:b w:val="1"/>
          <w:bCs w:val="1"/>
          <w:color w:val="798297"/>
        </w:rPr>
        <w:t>Matters for 2024 Annual Meeting</w:t>
      </w:r>
    </w:p>
    <w:p>
      <w:pPr>
        <w:spacing w:after="0" w:line="200" w:lineRule="exact"/>
        <w:rPr>
          <w:sz w:val="20"/>
          <w:szCs w:val="20"/>
          <w:color w:val="auto"/>
        </w:rPr>
      </w:pPr>
    </w:p>
    <w:p>
      <w:pPr>
        <w:spacing w:after="0" w:line="227" w:lineRule="exact"/>
        <w:rPr>
          <w:sz w:val="20"/>
          <w:szCs w:val="20"/>
          <w:color w:val="auto"/>
        </w:rPr>
      </w:pPr>
    </w:p>
    <w:p>
      <w:pPr>
        <w:spacing w:after="0"/>
        <w:tabs>
          <w:tab w:leader="none" w:pos="1400" w:val="left"/>
        </w:tabs>
        <w:rPr>
          <w:sz w:val="20"/>
          <w:szCs w:val="20"/>
          <w:color w:val="auto"/>
        </w:rPr>
      </w:pPr>
      <w:r>
        <w:rPr>
          <w:rFonts w:ascii="Arial" w:cs="Arial" w:eastAsia="Arial" w:hAnsi="Arial"/>
          <w:sz w:val="32"/>
          <w:szCs w:val="32"/>
          <w:b w:val="1"/>
          <w:bCs w:val="1"/>
          <w:color w:val="41516E"/>
        </w:rPr>
        <w:t>Item 1:</w:t>
      </w:r>
      <w:r>
        <w:rPr>
          <w:rFonts w:ascii="Arial" w:cs="Arial" w:eastAsia="Arial" w:hAnsi="Arial"/>
          <w:sz w:val="32"/>
          <w:szCs w:val="32"/>
          <w:b w:val="1"/>
          <w:bCs w:val="1"/>
          <w:color w:val="798297"/>
        </w:rPr>
        <w:tab/>
        <w:t>Election of Class A Directors by Class A Stockholders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The Board of Directors, upon the recommendation of the Nominating/Governance Committee, has nominated Meghan V. Joyce, Cynthia L Swanson, and Jean-Michel Valette for election to the Board as Class A Directors for a one-year term. Provided a quorum is present and it is an uncontested election, these Directors are elected by a plurality of votes cast by the Class A Stockholders at the Annual Meeting.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The Board of Directors recommends that the Class A Stockholders vote “FOR” all nominees for Class A Director.</w:t>
      </w:r>
    </w:p>
    <w:p>
      <w:pPr>
        <w:spacing w:after="0" w:line="200" w:lineRule="exact"/>
        <w:rPr>
          <w:sz w:val="20"/>
          <w:szCs w:val="20"/>
          <w:color w:val="auto"/>
        </w:rPr>
      </w:pPr>
    </w:p>
    <w:p>
      <w:pPr>
        <w:spacing w:after="0" w:line="207" w:lineRule="exact"/>
        <w:rPr>
          <w:sz w:val="20"/>
          <w:szCs w:val="20"/>
          <w:color w:val="auto"/>
        </w:rPr>
      </w:pPr>
    </w:p>
    <w:p>
      <w:pPr>
        <w:ind w:left="1360" w:right="1500" w:hanging="1349"/>
        <w:spacing w:after="0" w:line="298" w:lineRule="auto"/>
        <w:tabs>
          <w:tab w:leader="none" w:pos="1340" w:val="left"/>
        </w:tabs>
        <w:rPr>
          <w:sz w:val="20"/>
          <w:szCs w:val="20"/>
          <w:color w:val="auto"/>
        </w:rPr>
      </w:pPr>
      <w:r>
        <w:rPr>
          <w:rFonts w:ascii="Arial" w:cs="Arial" w:eastAsia="Arial" w:hAnsi="Arial"/>
          <w:sz w:val="32"/>
          <w:szCs w:val="32"/>
          <w:b w:val="1"/>
          <w:bCs w:val="1"/>
          <w:color w:val="41516E"/>
        </w:rPr>
        <w:t>Item 2:</w:t>
      </w:r>
      <w:r>
        <w:rPr>
          <w:rFonts w:ascii="Arial" w:cs="Arial" w:eastAsia="Arial" w:hAnsi="Arial"/>
          <w:sz w:val="32"/>
          <w:szCs w:val="32"/>
          <w:b w:val="1"/>
          <w:bCs w:val="1"/>
          <w:color w:val="798297"/>
        </w:rPr>
        <w:tab/>
        <w:t>Advisory Vote on Executive Compensation by Class A Stockholders</w:t>
      </w:r>
    </w:p>
    <w:p>
      <w:pPr>
        <w:spacing w:after="0" w:line="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At Boston Beer’s 2023 Annual Meeting of Stockholders, a non-binding advisory vote was taken on the frequency of future advisory votes regarding Named Executive Officer compensation. Consistent with the recommendation of the Board of Directors, a majority of Class A Shares cast on the matter were in favor of holding such an advisory vote on an annual basis. After consideration of the 2023 voting results, and based upon its prior recommendation, the Board determined that we would conduct future advisory votes regarding compensation awarded to its Named Executive Officers on an annual basis. While the Class A Stockholders have only limited voting rights, consistent with the intent of the Dodd-Frank Act and SEC rules, the Board is providing Class A Stockholders with the opportunity to cast a non-binding advisory vote to approve the compensation of Boston Beer’s Named Executive Officers, as disclosed in this Proxy Statement pursuant to the compensation disclosure rules of the SEC.</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41516E"/>
        </w:rPr>
        <w:t>The compensation of our NEOs is disclosed in the CD&amp;A, the compensation tables, and the related disclosures contained in this Proxy Statement. As described in the CD&amp;A, Boston Beer has adopted an executive compensation philosophy designed to deliver competitive total compensation upon the achievement of financial and/or strategic performance objectives that will attract, motivate, and retain leaders who will drive the creation of stockholder value. In order to implement that philosophy, the Compensation Committee has established a disciplined process for the adoption of executive compensation programs and individual Executive Officer pay actions. Boston Beer believes that its compensation policies focus on pay-for-performance principles, align with the long-term interests of our stockholders, and provide an appropriate balance between risks and incentives. Stockholders are urged to read the CD&amp;A, which discusses in greater detail how Boston Beer implements its executive compensation philosophy. The Board of Directors asks stockholders to indicate their support for the NEO compensation program, as described in this Proxy Statement, by approval of the following resolution:</w:t>
      </w:r>
    </w:p>
    <w:p>
      <w:pPr>
        <w:spacing w:after="0" w:line="156" w:lineRule="exact"/>
        <w:rPr>
          <w:sz w:val="20"/>
          <w:szCs w:val="20"/>
          <w:color w:val="auto"/>
        </w:rPr>
      </w:pPr>
    </w:p>
    <w:p>
      <w:pPr>
        <w:jc w:val="both"/>
        <w:ind w:left="360"/>
        <w:spacing w:after="0" w:line="259" w:lineRule="auto"/>
        <w:rPr>
          <w:sz w:val="20"/>
          <w:szCs w:val="20"/>
          <w:color w:val="auto"/>
        </w:rPr>
      </w:pPr>
      <w:r>
        <w:rPr>
          <w:rFonts w:ascii="Arial" w:cs="Arial" w:eastAsia="Arial" w:hAnsi="Arial"/>
          <w:sz w:val="16"/>
          <w:szCs w:val="16"/>
          <w:color w:val="41516E"/>
        </w:rPr>
        <w:t>“RESOLVED, that the compensation policies and procedures followed by Boston Beer and the Compensation Committee of Boston Beer’s Board of Directors and the level and mix of compensation paid to the Company’s Named Executive Officers, as disclosed pursuant to the compensation disclosure rules of the SEC, including the CD&amp;A, compensation tables, and narrative discussion resulting from such policies and procedures, are hereby determined to be appropriate for Boston Beer and are accordingly approved on an advisory basis.”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The vote on this Item 2 is advisory, and therefore not binding on the Company, the Compensation Committee, or the Board. The vote will not be construed to create or imply any change to the fiduciary duties of the Company or the Board, or to create or imply any additional fiduciary duties for the Company or the Board. However, the Board and the Compensation Committee value input from stockholders and will consider the outcome of the vote when making future executive compensation decisions.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The affirmative vote of a majority of the shares present or represented and entitled to vote either in person or by proxy is required to approve this Item 2 on an advisory basis.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41516E"/>
        </w:rPr>
        <w:t>The Board of Directors recommends a vote “FOR” the adoption of the foregoing resolution approving Boston Beer’s executive compensation policies and procedures and the compensation paid to its Named Executive Officers for Fiscal Year 2023, as disclosed in the CD&amp;A, the compensation tables, and related narratives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93345</wp:posOffset>
            </wp:positionV>
            <wp:extent cx="85725"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59</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spacing w:after="0"/>
        <w:tabs>
          <w:tab w:leader="none" w:pos="1400" w:val="left"/>
        </w:tabs>
        <w:rPr>
          <w:sz w:val="20"/>
          <w:szCs w:val="20"/>
          <w:color w:val="auto"/>
        </w:rPr>
      </w:pPr>
      <w:r>
        <w:rPr>
          <w:rFonts w:ascii="Arial" w:cs="Arial" w:eastAsia="Arial" w:hAnsi="Arial"/>
          <w:sz w:val="32"/>
          <w:szCs w:val="32"/>
          <w:b w:val="1"/>
          <w:bCs w:val="1"/>
          <w:color w:val="41516E"/>
        </w:rPr>
        <w:t>Item 3:</w:t>
      </w:r>
      <w:r>
        <w:rPr>
          <w:rFonts w:ascii="Arial" w:cs="Arial" w:eastAsia="Arial" w:hAnsi="Arial"/>
          <w:sz w:val="32"/>
          <w:szCs w:val="32"/>
          <w:b w:val="1"/>
          <w:bCs w:val="1"/>
          <w:color w:val="798297"/>
        </w:rPr>
        <w:tab/>
        <w:t>Election of Class B Directors by the Class B Stockholder</w:t>
      </w:r>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41516E"/>
        </w:rPr>
        <w:t>The Nominating/Governance Committee recommends that Samuel A. Calagione, III, Cynthia A. Fisher, C. James Koch, Julio N. Nemeth, and Michael Spillane be elected at the Annual Meeting as Class B Directors for a one-year term.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The Board of Directors recommends that the Class B Stockholder vote “FOR” all such nominees for Class B Director.</w:t>
      </w:r>
    </w:p>
    <w:p>
      <w:pPr>
        <w:spacing w:after="0" w:line="200" w:lineRule="exact"/>
        <w:rPr>
          <w:sz w:val="20"/>
          <w:szCs w:val="20"/>
          <w:color w:val="auto"/>
        </w:rPr>
      </w:pPr>
    </w:p>
    <w:p>
      <w:pPr>
        <w:spacing w:after="0" w:line="207" w:lineRule="exact"/>
        <w:rPr>
          <w:sz w:val="20"/>
          <w:szCs w:val="20"/>
          <w:color w:val="auto"/>
        </w:rPr>
      </w:pPr>
    </w:p>
    <w:p>
      <w:pPr>
        <w:ind w:left="1360" w:right="340" w:hanging="1349"/>
        <w:spacing w:after="0" w:line="298" w:lineRule="auto"/>
        <w:tabs>
          <w:tab w:leader="none" w:pos="1340" w:val="left"/>
        </w:tabs>
        <w:rPr>
          <w:sz w:val="20"/>
          <w:szCs w:val="20"/>
          <w:color w:val="auto"/>
        </w:rPr>
      </w:pPr>
      <w:r>
        <w:rPr>
          <w:rFonts w:ascii="Arial" w:cs="Arial" w:eastAsia="Arial" w:hAnsi="Arial"/>
          <w:sz w:val="32"/>
          <w:szCs w:val="32"/>
          <w:b w:val="1"/>
          <w:bCs w:val="1"/>
          <w:color w:val="41516E"/>
        </w:rPr>
        <w:t>Item 4:</w:t>
      </w:r>
      <w:r>
        <w:rPr>
          <w:rFonts w:ascii="Arial" w:cs="Arial" w:eastAsia="Arial" w:hAnsi="Arial"/>
          <w:sz w:val="32"/>
          <w:szCs w:val="32"/>
          <w:b w:val="1"/>
          <w:bCs w:val="1"/>
          <w:color w:val="798297"/>
        </w:rPr>
        <w:tab/>
        <w:t>Ratification of Appointment of Independent Registered Public Accounting Firm by the Class B Stockholder</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41516E"/>
        </w:rPr>
        <w:t>Deloitte has been selected by the Audit Committee to serve as our independent registered public accounting firm for Fiscal Year 2024.</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Although our By-Laws do not require stockholder ratification or other approval of the retention of our independent registered public accounting firm, as a matter of good corporate governance, the Board is requesting that the Class B Stockholder ratify the selection of Deloitte as our independent registered accounting firm for Fiscal Year 2024.</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41516E"/>
        </w:rPr>
        <w:t>Under Boston Beer’s By-Laws, voting rights regarding matters other than a limited number of specific issues solely rest with the Class B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41516E"/>
        </w:rPr>
        <w:t>Accordingly, an affirmative vote of the sole Class B Stockholder is required to approve this Item 4.</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41516E"/>
        </w:rPr>
        <w:t>The Board of Directors recommends that the Class B Stockholder vote “FOR” the ratification of the appointment by the Audit Committee of Deloitte as our independent registered public accounting firm for Fiscal Year 2024.</w:t>
      </w:r>
    </w:p>
    <w:p>
      <w:pPr>
        <w:spacing w:after="0" w:line="93"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8034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180340"/>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Frequently </w:t>
      </w:r>
      <w:r>
        <w:rPr>
          <w:rFonts w:ascii="Arial" w:cs="Arial" w:eastAsia="Arial" w:hAnsi="Arial"/>
          <w:sz w:val="47"/>
          <w:szCs w:val="47"/>
          <w:b w:val="1"/>
          <w:bCs w:val="1"/>
          <w:color w:val="798297"/>
        </w:rPr>
        <w:t>Asked Questions</w:t>
      </w:r>
    </w:p>
    <w:p>
      <w:pPr>
        <w:spacing w:after="0" w:line="200" w:lineRule="exact"/>
        <w:rPr>
          <w:sz w:val="20"/>
          <w:szCs w:val="20"/>
          <w:color w:val="auto"/>
        </w:rPr>
      </w:pP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6"/>
          <w:szCs w:val="16"/>
          <w:color w:val="41516E"/>
        </w:rPr>
        <w:t>This Proxy Statement is provided in connection with the solicitation of proxies by the Board of Directors of Boston Beer for use at the 2024 Annual Meeting of Stockholders and any adjournments thereof.</w:t>
      </w:r>
    </w:p>
    <w:p>
      <w:pPr>
        <w:spacing w:after="0" w:line="253"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25"/>
          <w:szCs w:val="25"/>
          <w:b w:val="1"/>
          <w:bCs w:val="1"/>
          <w:color w:val="41516E"/>
        </w:rPr>
      </w:pPr>
      <w:r>
        <w:rPr>
          <w:rFonts w:ascii="Arial" w:cs="Arial" w:eastAsia="Arial" w:hAnsi="Arial"/>
          <w:sz w:val="25"/>
          <w:szCs w:val="25"/>
          <w:b w:val="1"/>
          <w:bCs w:val="1"/>
          <w:color w:val="41516E"/>
        </w:rPr>
        <w:t>When and where is the Annual Meeting and who may attend?</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41516E"/>
        </w:rPr>
        <w:t>The Annual Meeting will be held on Tuesday, May 7, 2024, at 3:00 p.m. ET at the Samuel Adams Boston Taproom, located at 60 State Street in Boston, Massachusetts. Check-in prior to the formal portion of the meeting will take place in the lobby area of the Taproom, which will be open at approximately 2:00 p.m. ET. Stockholders who are entitled to vote are permitted to attend the meeting. Use of public transportation is strongly encouraged due to parking limitations. The closest subway stops are Government Center and State. For the commuter rail, the Taproom is also approximately a half-mile walk through downtown Boston from both South Station and North Station. While we anticipate being able to accommodate all attendees based on historical attendance statistics, we also encourage you to arrive early due to capacity restrictions at the Taproom.</w:t>
      </w:r>
    </w:p>
    <w:p>
      <w:pPr>
        <w:spacing w:after="0" w:line="27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25"/>
          <w:szCs w:val="25"/>
          <w:b w:val="1"/>
          <w:bCs w:val="1"/>
          <w:color w:val="41516E"/>
        </w:rPr>
      </w:pPr>
      <w:r>
        <w:rPr>
          <w:rFonts w:ascii="Arial" w:cs="Arial" w:eastAsia="Arial" w:hAnsi="Arial"/>
          <w:sz w:val="25"/>
          <w:szCs w:val="25"/>
          <w:b w:val="1"/>
          <w:bCs w:val="1"/>
          <w:color w:val="41516E"/>
        </w:rPr>
        <w:t>Who is eligible to vote?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You are eligible to vote if you held shares of Class A or Class B Common Stock as of the close of business on the Record Date, March 13, 2024. Each outstanding Class A Share and Class B Share entitles the stockholder to one (1) vote on each matter properly brought before the respective Class. On the Record Date, we had outstanding and entitled to vote 9,941,687 Class A Shares and 2,068,000 Class B Shares.</w:t>
      </w:r>
    </w:p>
    <w:p>
      <w:pPr>
        <w:spacing w:after="0" w:line="255" w:lineRule="exact"/>
        <w:rPr>
          <w:sz w:val="20"/>
          <w:szCs w:val="20"/>
          <w:color w:val="auto"/>
        </w:rPr>
      </w:pPr>
    </w:p>
    <w:p>
      <w:pPr>
        <w:ind w:left="1080" w:right="980" w:hanging="532"/>
        <w:spacing w:after="0" w:line="298" w:lineRule="auto"/>
        <w:tabs>
          <w:tab w:leader="none" w:pos="1080" w:val="left"/>
        </w:tabs>
        <w:numPr>
          <w:ilvl w:val="0"/>
          <w:numId w:val="42"/>
        </w:numPr>
        <w:rPr>
          <w:rFonts w:ascii="Arial" w:cs="Arial" w:eastAsia="Arial" w:hAnsi="Arial"/>
          <w:sz w:val="25"/>
          <w:szCs w:val="25"/>
          <w:b w:val="1"/>
          <w:bCs w:val="1"/>
          <w:color w:val="41516E"/>
        </w:rPr>
      </w:pPr>
      <w:r>
        <w:rPr>
          <w:rFonts w:ascii="Arial" w:cs="Arial" w:eastAsia="Arial" w:hAnsi="Arial"/>
          <w:sz w:val="25"/>
          <w:szCs w:val="25"/>
          <w:b w:val="1"/>
          <w:bCs w:val="1"/>
          <w:color w:val="41516E"/>
        </w:rPr>
        <w:t>What is the difference between a “Registered Stockholder” and a “Beneficial Owner”?</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If your shares are registered in your name on the books and records of Computershare, our registrar and transfer agent, you are a “Registered Stockholder” (also sometimes referred to as a Stockholder of Record). If you are a Registered Stockholder, we sent the Notice directly to you. If your shares are held by your broker or bank on your behalf, you are considered a “Beneficial Owner.” If this is the case, the Notice and instructions on how to vote your shares have been sent to you by your broker, bank, or other holder of record.</w:t>
      </w:r>
    </w:p>
    <w:p>
      <w:pPr>
        <w:spacing w:after="0" w:line="154" w:lineRule="exact"/>
        <w:rPr>
          <w:sz w:val="20"/>
          <w:szCs w:val="20"/>
          <w:color w:val="auto"/>
        </w:rPr>
      </w:pPr>
    </w:p>
    <w:p>
      <w:pPr>
        <w:ind w:left="1080" w:right="40" w:hanging="532"/>
        <w:spacing w:after="0" w:line="298" w:lineRule="auto"/>
        <w:tabs>
          <w:tab w:leader="none" w:pos="1080" w:val="left"/>
        </w:tabs>
        <w:numPr>
          <w:ilvl w:val="0"/>
          <w:numId w:val="43"/>
        </w:numPr>
        <w:rPr>
          <w:rFonts w:ascii="Arial" w:cs="Arial" w:eastAsia="Arial" w:hAnsi="Arial"/>
          <w:sz w:val="25"/>
          <w:szCs w:val="25"/>
          <w:b w:val="1"/>
          <w:bCs w:val="1"/>
          <w:color w:val="41516E"/>
        </w:rPr>
      </w:pPr>
      <w:r>
        <w:rPr>
          <w:rFonts w:ascii="Arial" w:cs="Arial" w:eastAsia="Arial" w:hAnsi="Arial"/>
          <w:sz w:val="25"/>
          <w:szCs w:val="25"/>
          <w:b w:val="1"/>
          <w:bCs w:val="1"/>
          <w:color w:val="41516E"/>
        </w:rPr>
        <w:t>I am eligible to vote and want to attend the Annual Meeting. What do I need to bring? Do I need to contact Boston Beer in advance of the Annual Meeting?</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 xml:space="preserve">If you are a Stockholder of Record, please bring your Admission Ticket, the Notice, or other evidence of ownership, if you voted by mail, or the Notice and photo identification, if you voted by phone or internet. If you are a Beneficial Owner, you must present proof of ownership of Boston Beer shares as of March 13, 2024, such as the Notice you received from your broker or a brokerage account statement, and photo identification. In either case, you do </w:t>
      </w:r>
      <w:r>
        <w:rPr>
          <w:rFonts w:ascii="Arial" w:cs="Arial" w:eastAsia="Arial" w:hAnsi="Arial"/>
          <w:sz w:val="16"/>
          <w:szCs w:val="16"/>
          <w:u w:val="single" w:color="auto"/>
          <w:color w:val="41516E"/>
        </w:rPr>
        <w:t>not</w:t>
      </w:r>
      <w:r>
        <w:rPr>
          <w:rFonts w:ascii="Arial" w:cs="Arial" w:eastAsia="Arial" w:hAnsi="Arial"/>
          <w:sz w:val="16"/>
          <w:szCs w:val="16"/>
          <w:color w:val="41516E"/>
        </w:rPr>
        <w:t xml:space="preserve"> need to contact us in advance to inform us that you will be attending.</w:t>
      </w:r>
    </w:p>
    <w:p>
      <w:pPr>
        <w:spacing w:after="0" w:line="275"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25"/>
          <w:szCs w:val="25"/>
          <w:b w:val="1"/>
          <w:bCs w:val="1"/>
          <w:color w:val="41516E"/>
        </w:rPr>
      </w:pPr>
      <w:r>
        <w:rPr>
          <w:rFonts w:ascii="Arial" w:cs="Arial" w:eastAsia="Arial" w:hAnsi="Arial"/>
          <w:sz w:val="25"/>
          <w:szCs w:val="25"/>
          <w:b w:val="1"/>
          <w:bCs w:val="1"/>
          <w:color w:val="41516E"/>
        </w:rPr>
        <w:t>I am a Registered Stockholder. How do I cast my vote?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41516E"/>
        </w:rPr>
        <w:t xml:space="preserve">By Internet or Telephone Prior to the Meeting: </w:t>
      </w:r>
      <w:r>
        <w:rPr>
          <w:rFonts w:ascii="Arial" w:cs="Arial" w:eastAsia="Arial" w:hAnsi="Arial"/>
          <w:sz w:val="16"/>
          <w:szCs w:val="16"/>
          <w:color w:val="41516E"/>
        </w:rPr>
        <w:t>You may vote your shares via the internet or by telephone by following the instructions provided in the Notice.</w:t>
      </w:r>
      <w:r>
        <w:rPr>
          <w:rFonts w:ascii="Arial" w:cs="Arial" w:eastAsia="Arial" w:hAnsi="Arial"/>
          <w:sz w:val="16"/>
          <w:szCs w:val="16"/>
          <w:i w:val="1"/>
          <w:iCs w:val="1"/>
          <w:color w:val="41516E"/>
        </w:rPr>
        <w:t xml:space="preserve"> </w:t>
      </w:r>
      <w:r>
        <w:rPr>
          <w:rFonts w:ascii="Arial" w:cs="Arial" w:eastAsia="Arial" w:hAnsi="Arial"/>
          <w:sz w:val="16"/>
          <w:szCs w:val="16"/>
          <w:color w:val="41516E"/>
        </w:rPr>
        <w:t xml:space="preserve">To vote by the internet, go to </w:t>
      </w:r>
      <w:r>
        <w:rPr>
          <w:rFonts w:ascii="Arial" w:cs="Arial" w:eastAsia="Arial" w:hAnsi="Arial"/>
          <w:sz w:val="16"/>
          <w:szCs w:val="16"/>
          <w:u w:val="single" w:color="auto"/>
          <w:color w:val="41516E"/>
        </w:rPr>
        <w:t>www.envisionreports/sam</w:t>
      </w:r>
      <w:r>
        <w:rPr>
          <w:rFonts w:ascii="Arial" w:cs="Arial" w:eastAsia="Arial" w:hAnsi="Arial"/>
          <w:sz w:val="16"/>
          <w:szCs w:val="16"/>
          <w:color w:val="41516E"/>
        </w:rPr>
        <w:t xml:space="preserve"> and follow the steps outlined on the secured website. To vote by telephone, call toll free at 1-800-652-8683. Internet and telephone voting for Stockholders of Record will be available 24 hours a day and will close at 11:59 p.m. ET on May 6, 2024.</w:t>
      </w:r>
    </w:p>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41516E"/>
        </w:rPr>
        <w:t xml:space="preserve">By Mail Prior to the Meeting: </w:t>
      </w:r>
      <w:r>
        <w:rPr>
          <w:rFonts w:ascii="Arial" w:cs="Arial" w:eastAsia="Arial" w:hAnsi="Arial"/>
          <w:sz w:val="16"/>
          <w:szCs w:val="16"/>
          <w:color w:val="41516E"/>
        </w:rPr>
        <w:t>If you received printed copies of the Proxy Materials, you may vote by completing, signing, and dating the Proxy Card and</w:t>
      </w:r>
      <w:r>
        <w:rPr>
          <w:rFonts w:ascii="Arial" w:cs="Arial" w:eastAsia="Arial" w:hAnsi="Arial"/>
          <w:sz w:val="16"/>
          <w:szCs w:val="16"/>
          <w:i w:val="1"/>
          <w:iCs w:val="1"/>
          <w:color w:val="41516E"/>
        </w:rPr>
        <w:t xml:space="preserve"> </w:t>
      </w:r>
      <w:r>
        <w:rPr>
          <w:rFonts w:ascii="Arial" w:cs="Arial" w:eastAsia="Arial" w:hAnsi="Arial"/>
          <w:sz w:val="16"/>
          <w:szCs w:val="16"/>
          <w:color w:val="41516E"/>
        </w:rPr>
        <w:t>returning it in the prepaid envelope.</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41516E"/>
        </w:rPr>
        <w:t xml:space="preserve">In Person at the Annual Meeting: </w:t>
      </w:r>
      <w:r>
        <w:rPr>
          <w:rFonts w:ascii="Arial" w:cs="Arial" w:eastAsia="Arial" w:hAnsi="Arial"/>
          <w:sz w:val="16"/>
          <w:szCs w:val="16"/>
          <w:color w:val="41516E"/>
        </w:rPr>
        <w:t>You may vote in person at the Annual Meeting. If you voted via proxy before the meeting, you must revoke it in order to</w:t>
      </w:r>
      <w:r>
        <w:rPr>
          <w:rFonts w:ascii="Arial" w:cs="Arial" w:eastAsia="Arial" w:hAnsi="Arial"/>
          <w:sz w:val="16"/>
          <w:szCs w:val="16"/>
          <w:i w:val="1"/>
          <w:iCs w:val="1"/>
          <w:color w:val="41516E"/>
        </w:rPr>
        <w:t xml:space="preserve"> </w:t>
      </w:r>
      <w:r>
        <w:rPr>
          <w:rFonts w:ascii="Arial" w:cs="Arial" w:eastAsia="Arial" w:hAnsi="Arial"/>
          <w:sz w:val="16"/>
          <w:szCs w:val="16"/>
          <w:color w:val="41516E"/>
        </w:rPr>
        <w:t>vote in person. If you need to revoke your proxy, please consult with a Boston Beer representative upon admission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90805</wp:posOffset>
            </wp:positionV>
            <wp:extent cx="8572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61</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5"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25"/>
          <w:szCs w:val="25"/>
          <w:b w:val="1"/>
          <w:bCs w:val="1"/>
          <w:color w:val="41516E"/>
        </w:rPr>
      </w:pPr>
      <w:r>
        <w:rPr>
          <w:rFonts w:ascii="Arial" w:cs="Arial" w:eastAsia="Arial" w:hAnsi="Arial"/>
          <w:sz w:val="25"/>
          <w:szCs w:val="25"/>
          <w:b w:val="1"/>
          <w:bCs w:val="1"/>
          <w:color w:val="41516E"/>
        </w:rPr>
        <w:t>I am a Beneficial Owner. How do I cast my vote?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 xml:space="preserve">As the Beneficial Owner, you have the right to direct your broker, bank, or other holder of record on how to vote your shares by mail using the voting instruction card included in the mailing. You will receive instructions from your broker, bank, or other holder of record regarding how to provide direction on the voting of your shares. </w:t>
      </w:r>
      <w:r>
        <w:rPr>
          <w:rFonts w:ascii="Arial" w:cs="Arial" w:eastAsia="Arial" w:hAnsi="Arial"/>
          <w:sz w:val="16"/>
          <w:szCs w:val="16"/>
          <w:i w:val="1"/>
          <w:iCs w:val="1"/>
          <w:color w:val="41516E"/>
        </w:rPr>
        <w:t>If you are a Beneficial Owner and wish to vote your shares in person at the Annual Meeting, you must bring a Legal Proxy</w:t>
      </w:r>
      <w:r>
        <w:rPr>
          <w:rFonts w:ascii="Arial" w:cs="Arial" w:eastAsia="Arial" w:hAnsi="Arial"/>
          <w:sz w:val="16"/>
          <w:szCs w:val="16"/>
          <w:color w:val="41516E"/>
        </w:rPr>
        <w:t xml:space="preserve"> </w:t>
      </w:r>
      <w:r>
        <w:rPr>
          <w:rFonts w:ascii="Arial" w:cs="Arial" w:eastAsia="Arial" w:hAnsi="Arial"/>
          <w:sz w:val="16"/>
          <w:szCs w:val="16"/>
          <w:i w:val="1"/>
          <w:iCs w:val="1"/>
          <w:color w:val="41516E"/>
        </w:rPr>
        <w:t>provided by your bank, broker, or other holder of record</w:t>
      </w:r>
      <w:r>
        <w:rPr>
          <w:rFonts w:ascii="Arial" w:cs="Arial" w:eastAsia="Arial" w:hAnsi="Arial"/>
          <w:sz w:val="16"/>
          <w:szCs w:val="16"/>
          <w:color w:val="41516E"/>
        </w:rPr>
        <w:t>.</w:t>
      </w:r>
    </w:p>
    <w:p>
      <w:pPr>
        <w:spacing w:after="0" w:line="275" w:lineRule="exact"/>
        <w:rPr>
          <w:sz w:val="20"/>
          <w:szCs w:val="20"/>
          <w:color w:val="auto"/>
        </w:rPr>
      </w:pPr>
    </w:p>
    <w:p>
      <w:pPr>
        <w:ind w:left="1080" w:right="860" w:hanging="532"/>
        <w:spacing w:after="0" w:line="298" w:lineRule="auto"/>
        <w:tabs>
          <w:tab w:leader="none" w:pos="1080" w:val="left"/>
        </w:tabs>
        <w:numPr>
          <w:ilvl w:val="0"/>
          <w:numId w:val="46"/>
        </w:numPr>
        <w:rPr>
          <w:rFonts w:ascii="Arial" w:cs="Arial" w:eastAsia="Arial" w:hAnsi="Arial"/>
          <w:sz w:val="25"/>
          <w:szCs w:val="25"/>
          <w:b w:val="1"/>
          <w:bCs w:val="1"/>
          <w:color w:val="41516E"/>
        </w:rPr>
      </w:pPr>
      <w:r>
        <w:rPr>
          <w:rFonts w:ascii="Arial" w:cs="Arial" w:eastAsia="Arial" w:hAnsi="Arial"/>
          <w:sz w:val="25"/>
          <w:szCs w:val="25"/>
          <w:b w:val="1"/>
          <w:bCs w:val="1"/>
          <w:color w:val="41516E"/>
        </w:rPr>
        <w:t xml:space="preserve">Why did I receive a </w:t>
      </w:r>
      <w:r>
        <w:rPr>
          <w:rFonts w:ascii="Arial" w:cs="Arial" w:eastAsia="Arial" w:hAnsi="Arial"/>
          <w:sz w:val="25"/>
          <w:szCs w:val="25"/>
          <w:b w:val="1"/>
          <w:bCs w:val="1"/>
          <w:i w:val="1"/>
          <w:iCs w:val="1"/>
          <w:color w:val="41516E"/>
        </w:rPr>
        <w:t>Notice of Internet Availability of Proxy Materials</w:t>
      </w:r>
      <w:r>
        <w:rPr>
          <w:rFonts w:ascii="Arial" w:cs="Arial" w:eastAsia="Arial" w:hAnsi="Arial"/>
          <w:sz w:val="25"/>
          <w:szCs w:val="25"/>
          <w:b w:val="1"/>
          <w:bCs w:val="1"/>
          <w:color w:val="41516E"/>
        </w:rPr>
        <w:t xml:space="preserve"> instead of printed Proxy Materials?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As permitted by the rules of the SEC and as a way to reduce our printing and mailing costs, we make the Proxy Materials available to our stockholders on the internet. Unless you previously asked to receive a paper copy of the Proxy Materials, we mailed you a Notice containing instructions on how to access the Proxy Materials online, as well as how you may submit your proxy over the internet or by telephone. If you would like a paper copy of our Proxy Materials, please follow the instructions contained in the Notice.</w:t>
      </w:r>
    </w:p>
    <w:p>
      <w:pPr>
        <w:spacing w:after="0" w:line="262"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25"/>
          <w:szCs w:val="25"/>
          <w:b w:val="1"/>
          <w:bCs w:val="1"/>
          <w:color w:val="41516E"/>
        </w:rPr>
      </w:pPr>
      <w:r>
        <w:rPr>
          <w:rFonts w:ascii="Arial" w:cs="Arial" w:eastAsia="Arial" w:hAnsi="Arial"/>
          <w:sz w:val="25"/>
          <w:szCs w:val="25"/>
          <w:b w:val="1"/>
          <w:bCs w:val="1"/>
          <w:color w:val="41516E"/>
        </w:rPr>
        <w:t>What is a “proxy” and what is a “proxy statement”?</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A “proxy” is the legal designation of another person to vote the shares you own. That other person is called your proxy. If you designate someone as your proxy in a written document, that document is also called a proxy or a proxy card. A “proxy statement” is a document that SEC regulations require us to give you when we ask you to designate individuals to vote on your behalf.</w:t>
      </w:r>
    </w:p>
    <w:p>
      <w:pPr>
        <w:spacing w:after="0" w:line="269" w:lineRule="exact"/>
        <w:rPr>
          <w:sz w:val="20"/>
          <w:szCs w:val="20"/>
          <w:color w:val="auto"/>
        </w:rPr>
      </w:pPr>
    </w:p>
    <w:p>
      <w:pPr>
        <w:ind w:left="1080" w:right="300" w:hanging="532"/>
        <w:spacing w:after="0" w:line="298" w:lineRule="auto"/>
        <w:tabs>
          <w:tab w:leader="none" w:pos="1080" w:val="left"/>
        </w:tabs>
        <w:numPr>
          <w:ilvl w:val="0"/>
          <w:numId w:val="48"/>
        </w:numPr>
        <w:rPr>
          <w:rFonts w:ascii="Arial" w:cs="Arial" w:eastAsia="Arial" w:hAnsi="Arial"/>
          <w:sz w:val="25"/>
          <w:szCs w:val="25"/>
          <w:b w:val="1"/>
          <w:bCs w:val="1"/>
          <w:color w:val="41516E"/>
        </w:rPr>
      </w:pPr>
      <w:r>
        <w:rPr>
          <w:rFonts w:ascii="Arial" w:cs="Arial" w:eastAsia="Arial" w:hAnsi="Arial"/>
          <w:sz w:val="25"/>
          <w:szCs w:val="25"/>
          <w:b w:val="1"/>
          <w:bCs w:val="1"/>
          <w:color w:val="41516E"/>
        </w:rPr>
        <w:t>As a Class A Stockholder, what are my voting choices for each of the proposals to be voted on at the Annual Meeting?</w:t>
      </w:r>
    </w:p>
    <w:p>
      <w:pPr>
        <w:sectPr>
          <w:pgSz w:w="11900" w:h="16838" w:orient="portrait"/>
          <w:cols w:equalWidth="0" w:num="1">
            <w:col w:w="11240"/>
          </w:cols>
          <w:pgMar w:left="320" w:top="238" w:right="339" w:bottom="1440" w:gutter="0" w:footer="0" w:header="0"/>
        </w:sectPr>
      </w:pPr>
    </w:p>
    <w:p>
      <w:pPr>
        <w:spacing w:after="0" w:line="81" w:lineRule="exact"/>
        <w:rPr>
          <w:sz w:val="20"/>
          <w:szCs w:val="20"/>
          <w:color w:val="auto"/>
        </w:rPr>
      </w:pPr>
    </w:p>
    <w:p>
      <w:pPr>
        <w:ind w:right="1740"/>
        <w:spacing w:after="0" w:line="359" w:lineRule="auto"/>
        <w:rPr>
          <w:sz w:val="20"/>
          <w:szCs w:val="20"/>
          <w:color w:val="auto"/>
        </w:rPr>
      </w:pPr>
      <w:r>
        <w:rPr>
          <w:rFonts w:ascii="Arial" w:cs="Arial" w:eastAsia="Arial" w:hAnsi="Arial"/>
          <w:sz w:val="16"/>
          <w:szCs w:val="16"/>
          <w:i w:val="1"/>
          <w:iCs w:val="1"/>
          <w:color w:val="41516E"/>
        </w:rPr>
        <w:t xml:space="preserve">Item 1: Election of Three Class A Director Nominees </w:t>
      </w:r>
      <w:r>
        <w:rPr>
          <w:rFonts w:ascii="Arial" w:cs="Arial" w:eastAsia="Arial" w:hAnsi="Arial"/>
          <w:sz w:val="16"/>
          <w:szCs w:val="16"/>
          <w:color w:val="41516E"/>
        </w:rPr>
        <w:t>Voting Choices</w:t>
      </w:r>
    </w:p>
    <w:p>
      <w:pPr>
        <w:spacing w:after="0" w:line="1" w:lineRule="exact"/>
        <w:rPr>
          <w:sz w:val="20"/>
          <w:szCs w:val="20"/>
          <w:color w:val="auto"/>
        </w:rPr>
      </w:pPr>
    </w:p>
    <w:p>
      <w:pPr>
        <w:ind w:left="340" w:hanging="152"/>
        <w:spacing w:after="0"/>
        <w:tabs>
          <w:tab w:leader="none" w:pos="340" w:val="left"/>
        </w:tabs>
        <w:numPr>
          <w:ilvl w:val="0"/>
          <w:numId w:val="49"/>
        </w:numPr>
        <w:rPr>
          <w:rFonts w:ascii="Arial" w:cs="Arial" w:eastAsia="Arial" w:hAnsi="Arial"/>
          <w:sz w:val="16"/>
          <w:szCs w:val="16"/>
          <w:color w:val="41516E"/>
        </w:rPr>
      </w:pPr>
      <w:r>
        <w:rPr>
          <w:rFonts w:ascii="Arial" w:cs="Arial" w:eastAsia="Arial" w:hAnsi="Arial"/>
          <w:sz w:val="16"/>
          <w:szCs w:val="16"/>
          <w:color w:val="41516E"/>
        </w:rPr>
        <w:t>Vote in favor of all nominees;</w:t>
      </w:r>
    </w:p>
    <w:p>
      <w:pPr>
        <w:spacing w:after="0" w:line="99" w:lineRule="exact"/>
        <w:rPr>
          <w:rFonts w:ascii="Arial" w:cs="Arial" w:eastAsia="Arial" w:hAnsi="Arial"/>
          <w:sz w:val="16"/>
          <w:szCs w:val="16"/>
          <w:color w:val="41516E"/>
        </w:rPr>
      </w:pPr>
    </w:p>
    <w:p>
      <w:pPr>
        <w:ind w:left="360" w:hanging="172"/>
        <w:spacing w:after="0" w:line="286" w:lineRule="auto"/>
        <w:tabs>
          <w:tab w:leader="none" w:pos="372" w:val="left"/>
        </w:tabs>
        <w:numPr>
          <w:ilvl w:val="0"/>
          <w:numId w:val="49"/>
        </w:numPr>
        <w:rPr>
          <w:rFonts w:ascii="Arial" w:cs="Arial" w:eastAsia="Arial" w:hAnsi="Arial"/>
          <w:sz w:val="16"/>
          <w:szCs w:val="16"/>
          <w:color w:val="41516E"/>
        </w:rPr>
      </w:pPr>
      <w:r>
        <w:rPr>
          <w:rFonts w:ascii="Arial" w:cs="Arial" w:eastAsia="Arial" w:hAnsi="Arial"/>
          <w:sz w:val="16"/>
          <w:szCs w:val="16"/>
          <w:color w:val="41516E"/>
        </w:rPr>
        <w:t>Vote for specific nominees and withhold a favorable vote for specific nominees; or</w:t>
      </w:r>
    </w:p>
    <w:p>
      <w:pPr>
        <w:spacing w:after="0" w:line="34" w:lineRule="exact"/>
        <w:rPr>
          <w:rFonts w:ascii="Arial" w:cs="Arial" w:eastAsia="Arial" w:hAnsi="Arial"/>
          <w:sz w:val="16"/>
          <w:szCs w:val="16"/>
          <w:color w:val="41516E"/>
        </w:rPr>
      </w:pPr>
    </w:p>
    <w:p>
      <w:pPr>
        <w:ind w:left="340" w:hanging="152"/>
        <w:spacing w:after="0"/>
        <w:tabs>
          <w:tab w:leader="none" w:pos="340" w:val="left"/>
        </w:tabs>
        <w:numPr>
          <w:ilvl w:val="0"/>
          <w:numId w:val="49"/>
        </w:numPr>
        <w:rPr>
          <w:rFonts w:ascii="Arial" w:cs="Arial" w:eastAsia="Arial" w:hAnsi="Arial"/>
          <w:sz w:val="16"/>
          <w:szCs w:val="16"/>
          <w:color w:val="41516E"/>
        </w:rPr>
      </w:pPr>
      <w:r>
        <w:rPr>
          <w:rFonts w:ascii="Arial" w:cs="Arial" w:eastAsia="Arial" w:hAnsi="Arial"/>
          <w:sz w:val="16"/>
          <w:szCs w:val="16"/>
          <w:color w:val="41516E"/>
        </w:rPr>
        <w:t>Withhold a favorable vote for all nominees.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The Board recommends a favorable vote </w:t>
      </w:r>
      <w:r>
        <w:rPr>
          <w:rFonts w:ascii="Arial" w:cs="Arial" w:eastAsia="Arial" w:hAnsi="Arial"/>
          <w:sz w:val="16"/>
          <w:szCs w:val="16"/>
          <w:b w:val="1"/>
          <w:bCs w:val="1"/>
          <w:u w:val="single" w:color="auto"/>
          <w:color w:val="41516E"/>
        </w:rPr>
        <w:t>FOR ALL nominees.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i w:val="1"/>
          <w:iCs w:val="1"/>
          <w:color w:val="41516E"/>
        </w:rPr>
        <w:t>Item 2: Non-binding advisory Say-on-Pay vote to approve Boston Beer’s NEO Compensation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41516E"/>
        </w:rPr>
        <w:t>Voting Choices</w:t>
      </w:r>
    </w:p>
    <w:p>
      <w:pPr>
        <w:spacing w:after="0" w:line="86" w:lineRule="exact"/>
        <w:rPr>
          <w:sz w:val="20"/>
          <w:szCs w:val="20"/>
          <w:color w:val="auto"/>
        </w:rPr>
      </w:pPr>
    </w:p>
    <w:p>
      <w:pPr>
        <w:ind w:left="340" w:hanging="155"/>
        <w:spacing w:after="0"/>
        <w:tabs>
          <w:tab w:leader="none" w:pos="340" w:val="left"/>
        </w:tabs>
        <w:numPr>
          <w:ilvl w:val="0"/>
          <w:numId w:val="50"/>
        </w:numPr>
        <w:rPr>
          <w:rFonts w:ascii="Arial" w:cs="Arial" w:eastAsia="Arial" w:hAnsi="Arial"/>
          <w:sz w:val="16"/>
          <w:szCs w:val="16"/>
          <w:color w:val="41516E"/>
        </w:rPr>
      </w:pPr>
      <w:r>
        <w:rPr>
          <w:rFonts w:ascii="Arial" w:cs="Arial" w:eastAsia="Arial" w:hAnsi="Arial"/>
          <w:sz w:val="16"/>
          <w:szCs w:val="16"/>
          <w:color w:val="41516E"/>
        </w:rPr>
        <w:t>Vote for the proposal;</w:t>
      </w:r>
    </w:p>
    <w:p>
      <w:pPr>
        <w:spacing w:after="0" w:line="99" w:lineRule="exact"/>
        <w:rPr>
          <w:rFonts w:ascii="Arial" w:cs="Arial" w:eastAsia="Arial" w:hAnsi="Arial"/>
          <w:sz w:val="16"/>
          <w:szCs w:val="16"/>
          <w:color w:val="41516E"/>
        </w:rPr>
      </w:pPr>
    </w:p>
    <w:p>
      <w:pPr>
        <w:ind w:left="340" w:hanging="155"/>
        <w:spacing w:after="0"/>
        <w:tabs>
          <w:tab w:leader="none" w:pos="340" w:val="left"/>
        </w:tabs>
        <w:numPr>
          <w:ilvl w:val="0"/>
          <w:numId w:val="50"/>
        </w:numPr>
        <w:rPr>
          <w:rFonts w:ascii="Arial" w:cs="Arial" w:eastAsia="Arial" w:hAnsi="Arial"/>
          <w:sz w:val="16"/>
          <w:szCs w:val="16"/>
          <w:color w:val="41516E"/>
        </w:rPr>
      </w:pPr>
      <w:r>
        <w:rPr>
          <w:rFonts w:ascii="Arial" w:cs="Arial" w:eastAsia="Arial" w:hAnsi="Arial"/>
          <w:sz w:val="16"/>
          <w:szCs w:val="16"/>
          <w:color w:val="41516E"/>
        </w:rPr>
        <w:t>Vote against the proposal; or</w:t>
      </w:r>
    </w:p>
    <w:p>
      <w:pPr>
        <w:spacing w:after="0" w:line="99" w:lineRule="exact"/>
        <w:rPr>
          <w:rFonts w:ascii="Arial" w:cs="Arial" w:eastAsia="Arial" w:hAnsi="Arial"/>
          <w:sz w:val="16"/>
          <w:szCs w:val="16"/>
          <w:color w:val="41516E"/>
        </w:rPr>
      </w:pPr>
    </w:p>
    <w:p>
      <w:pPr>
        <w:ind w:left="320" w:hanging="135"/>
        <w:spacing w:after="0"/>
        <w:tabs>
          <w:tab w:leader="none" w:pos="320" w:val="left"/>
        </w:tabs>
        <w:numPr>
          <w:ilvl w:val="0"/>
          <w:numId w:val="50"/>
        </w:numPr>
        <w:rPr>
          <w:rFonts w:ascii="Arial" w:cs="Arial" w:eastAsia="Arial" w:hAnsi="Arial"/>
          <w:sz w:val="16"/>
          <w:szCs w:val="16"/>
          <w:color w:val="41516E"/>
        </w:rPr>
      </w:pPr>
      <w:r>
        <w:rPr>
          <w:rFonts w:ascii="Arial" w:cs="Arial" w:eastAsia="Arial" w:hAnsi="Arial"/>
          <w:sz w:val="16"/>
          <w:szCs w:val="16"/>
          <w:color w:val="41516E"/>
        </w:rPr>
        <w:t>Abstain from voting for the proposal.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41516E"/>
        </w:rPr>
        <w:t xml:space="preserve">The Board recommends a vote </w:t>
      </w:r>
      <w:r>
        <w:rPr>
          <w:rFonts w:ascii="Arial" w:cs="Arial" w:eastAsia="Arial" w:hAnsi="Arial"/>
          <w:sz w:val="16"/>
          <w:szCs w:val="16"/>
          <w:b w:val="1"/>
          <w:bCs w:val="1"/>
          <w:u w:val="single" w:color="auto"/>
          <w:color w:val="41516E"/>
        </w:rPr>
        <w:t>FOR the proposal.</w:t>
      </w:r>
    </w:p>
    <w:p>
      <w:pPr>
        <w:spacing w:after="0" w:line="174" w:lineRule="exact"/>
        <w:rPr>
          <w:sz w:val="20"/>
          <w:szCs w:val="20"/>
          <w:color w:val="auto"/>
        </w:rPr>
      </w:pPr>
    </w:p>
    <w:p>
      <w:pPr>
        <w:sectPr>
          <w:pgSz w:w="11900" w:h="16838" w:orient="portrait"/>
          <w:cols w:equalWidth="0" w:num="2">
            <w:col w:w="5500" w:space="240"/>
            <w:col w:w="5500"/>
          </w:cols>
          <w:pgMar w:left="320" w:top="238" w:right="339" w:bottom="1440" w:gutter="0" w:footer="0" w:header="0"/>
          <w:type w:val="continuous"/>
        </w:sect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7970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179705"/>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5" w:lineRule="exact"/>
        <w:rPr>
          <w:sz w:val="20"/>
          <w:szCs w:val="20"/>
          <w:color w:val="auto"/>
        </w:rPr>
      </w:pPr>
    </w:p>
    <w:p>
      <w:pPr>
        <w:ind w:left="1080" w:right="940" w:hanging="532"/>
        <w:spacing w:after="0" w:line="298" w:lineRule="auto"/>
        <w:tabs>
          <w:tab w:leader="none" w:pos="1080" w:val="left"/>
        </w:tabs>
        <w:numPr>
          <w:ilvl w:val="0"/>
          <w:numId w:val="51"/>
        </w:numPr>
        <w:rPr>
          <w:rFonts w:ascii="Arial" w:cs="Arial" w:eastAsia="Arial" w:hAnsi="Arial"/>
          <w:sz w:val="25"/>
          <w:szCs w:val="25"/>
          <w:b w:val="1"/>
          <w:bCs w:val="1"/>
          <w:color w:val="41516E"/>
        </w:rPr>
      </w:pPr>
      <w:r>
        <w:rPr>
          <w:rFonts w:ascii="Arial" w:cs="Arial" w:eastAsia="Arial" w:hAnsi="Arial"/>
          <w:sz w:val="25"/>
          <w:szCs w:val="25"/>
          <w:b w:val="1"/>
          <w:bCs w:val="1"/>
          <w:color w:val="41516E"/>
        </w:rPr>
        <w:t>How many shares must be present, in person or by proxy, to hold the Annual Meeting?</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41516E"/>
        </w:rPr>
        <w:t>The holders of a majority of the issued and outstanding shares of each class of Common Stock are required to be present in person or to be represented by proxy at the Annual Meeting in order to constitute a “quorum” to vote on the matters coming before their respective Class.</w:t>
      </w:r>
    </w:p>
    <w:p>
      <w:pPr>
        <w:spacing w:after="0" w:line="253" w:lineRule="exact"/>
        <w:rPr>
          <w:sz w:val="20"/>
          <w:szCs w:val="20"/>
          <w:color w:val="auto"/>
        </w:rPr>
      </w:pPr>
    </w:p>
    <w:p>
      <w:pPr>
        <w:ind w:left="1080" w:right="980" w:hanging="532"/>
        <w:spacing w:after="0" w:line="298" w:lineRule="auto"/>
        <w:tabs>
          <w:tab w:leader="none" w:pos="1080" w:val="left"/>
        </w:tabs>
        <w:numPr>
          <w:ilvl w:val="0"/>
          <w:numId w:val="52"/>
        </w:numPr>
        <w:rPr>
          <w:rFonts w:ascii="Arial" w:cs="Arial" w:eastAsia="Arial" w:hAnsi="Arial"/>
          <w:sz w:val="25"/>
          <w:szCs w:val="25"/>
          <w:b w:val="1"/>
          <w:bCs w:val="1"/>
          <w:color w:val="41516E"/>
        </w:rPr>
      </w:pPr>
      <w:r>
        <w:rPr>
          <w:rFonts w:ascii="Arial" w:cs="Arial" w:eastAsia="Arial" w:hAnsi="Arial"/>
          <w:sz w:val="25"/>
          <w:szCs w:val="25"/>
          <w:b w:val="1"/>
          <w:bCs w:val="1"/>
          <w:color w:val="41516E"/>
        </w:rPr>
        <w:t>How will “withhold” votes, abstentions, and broker non-votes be counted for matters to be voted on by the Class A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41516E"/>
        </w:rPr>
        <w:t>Abstentions, “withhold” votes, and broker non-votes will be counted as present in determining whether the quorum requirement is satisfied.</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41516E"/>
        </w:rPr>
        <w:t>If you are a beneficial owner of shares held in street name and do not provide the organization that holds your shares with specific voting instructions, under the rules of various national and regional securities exchanges, the organization that holds your shares may generally vote on “routine” matters but cannot vote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generally referred to as a “broker non-vote.”</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As our Class A Director nominees are running unopposed this year and are elected by a plurality of votes cast by the Class A Stockholders, each nominee technically only needs one vote to be elected. However, our Class A Stockholders have the option to express dissatisfaction with one or more candidates by indicating that they wish to “withhold” favorable votes with respect to certain or all Class A Director nominees. A substantial number of “withhold” votes will not prevent a nominee from getting elected but could potentially influence decisions by the Board concerning future nominations. The election of directors is a matter considered non-routine under applicable rules. A broker or other nominee cannot vote without instructions on non-routine matters, and therefore there may be broker non-votes on this proposal. Votes that are withheld and broker non-votes will have no effect on the outcome of the election for directors because directors will be elected by a plurality of votes cast.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The advisory vote on executive compensation is a matter considered non-routine under applicable rules. A broker or other nominee cannot vote without instructions on non-routine matters, and therefore there may be broker non-votes on this proposal. Abstentions on the advisory vote of Class A Stockholders regarding the compensation of our Named Executive Officers will have the same effect as negative votes. Broker non-votes will not have an effect on the outcome of the vote regarding the advisory vote on compensation of our Named Executive Officers.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The ratification of the appointment of Deloitte &amp; Touche LLP as our independent registered public accounting firm for the fiscal year ending December 31, 2024, is a matter considered routine under applicable rules. A broker or other nominee may generally vote on routine matters, and therefore no broker non-votes are expected to exist in connection with this proposal. Abstentions will have the effect of a vote against the ratification of Deloitte &amp; Touche LLP.</w:t>
      </w:r>
    </w:p>
    <w:p>
      <w:pPr>
        <w:spacing w:after="0" w:line="255" w:lineRule="exact"/>
        <w:rPr>
          <w:sz w:val="20"/>
          <w:szCs w:val="20"/>
          <w:color w:val="auto"/>
        </w:rPr>
      </w:pPr>
    </w:p>
    <w:p>
      <w:pPr>
        <w:ind w:left="1080" w:right="780" w:hanging="532"/>
        <w:spacing w:after="0" w:line="298" w:lineRule="auto"/>
        <w:tabs>
          <w:tab w:leader="none" w:pos="1080" w:val="left"/>
        </w:tabs>
        <w:numPr>
          <w:ilvl w:val="0"/>
          <w:numId w:val="53"/>
        </w:numPr>
        <w:rPr>
          <w:rFonts w:ascii="Arial" w:cs="Arial" w:eastAsia="Arial" w:hAnsi="Arial"/>
          <w:sz w:val="25"/>
          <w:szCs w:val="25"/>
          <w:b w:val="1"/>
          <w:bCs w:val="1"/>
          <w:color w:val="41516E"/>
        </w:rPr>
      </w:pPr>
      <w:r>
        <w:rPr>
          <w:rFonts w:ascii="Arial" w:cs="Arial" w:eastAsia="Arial" w:hAnsi="Arial"/>
          <w:sz w:val="25"/>
          <w:szCs w:val="25"/>
          <w:b w:val="1"/>
          <w:bCs w:val="1"/>
          <w:color w:val="41516E"/>
        </w:rPr>
        <w:t>I am a Class A Stockholder. What if I do not specify a choice for a matter when returning a proxy card?</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1516E"/>
        </w:rPr>
        <w:t>If you are a Stockholder of Record and you sign and return the proxy card without indicating your instructions, your shares will be voted as recommended by the Board on each of the agenda items for which you are entitled to vote and have not clearly indicated your vote. For example, your shares will be voted in favor of each of the Class A Director nominees and in favor of the proposal to approve, on an advisory basis, the Company’s 2023 NEO compensation. In addition, if other matters come before the meeting, your proxy will have discretion to vote on these matters in accordance with their best judgment. If you are a Beneficial Owner and do not provide voting instructions on the form provided by your bank, broker, or other nominee holding your shares of Class A Common Stock, your shares may not be voted with respect to “non-routine” matters such as the election of directors, the proposal to approve, on an advisory basis, the Company’s 2023 NEO compensation.</w:t>
      </w:r>
    </w:p>
    <w:p>
      <w:pPr>
        <w:spacing w:after="0" w:line="265"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41516E"/>
        </w:rPr>
        <w:t>13.  What does it mean if I receive more than one Notice?</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If you receive multiple Notices, it means that you hold your shares in different ways (for example, some shares held by you directly, some beneficially or in a trust, in custodial accounts, or by joint tenancy) or in multiple accounts. Each Notice you receive should be voted separately by internet, telephone, or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90805</wp:posOffset>
            </wp:positionV>
            <wp:extent cx="85725"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63</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41516E"/>
        </w:rPr>
        <w:t>14.  May stockholders ask questions at the Annual Meeting?</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Yes. There will be a question-and-answer period after the formal portion of the meeting has concluded. In order to provide an opportunity for everyone who wishes to ask a question, stockholders may be limited in the number of questions they may ask. Stockholders should direct questions to the Chairman and confine questions to matters that relate to Company business.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41516E"/>
        </w:rPr>
        <w:t>15.  When will Boston Beer announce the voting results?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41516E"/>
        </w:rPr>
        <w:t>We will announce the preliminary voting results at the Annual Meeting. We will report the final results in a Form 8-K filed with the SEC within four business days after the meeting.</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41516E"/>
        </w:rPr>
        <w:t>16.  I lost my Notice or Proxy Materials. How am I able to vote?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You will need the control number found on the bottom of your Notice to be able to vote your shares. If you are a Stockholder of Record and you have not received your Notice or Proxy Materials by April 20, 2024 or have lost or misplaced your Notice or Proxy Materials, please contact Computershare at 888-877-2890 or www.computershare.com to get your control number. If you are a Beneficial Owner, please contact your bank, broker, or other holder of record.</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41516E"/>
        </w:rPr>
        <w:t>17.  Can I revoke or change my proxy?</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You may revoke or change your proxy at any time before it is exercised by: (1) delivering a signed proxy card to Boston Beer with a date later than your previously delivered proxy; (2) voting in person at the Annual Meeting after revoking your proxy; (3) granting a subsequent proxy through the internet or telephone; or (4) sending a written revocation to The Boston Beer Company, c/o Corporate Secretary, Michael G. Andrews, One Design Center Pl., Suite 850, Boston, MA 02210. Your most current proxy is the one that will be counted.</w:t>
      </w:r>
    </w:p>
    <w:p>
      <w:pPr>
        <w:spacing w:after="0" w:line="262"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41516E"/>
        </w:rPr>
        <w:t>18.  Who incurs the expenses of the proxy solicitation?</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41516E"/>
        </w:rPr>
        <w:t>All proxy soliciting expenses incurred in connection with the Company’s solicitation of proxies for the Annual Meeting will be borne by the Company. Our officers and employees may solicit proxies by mail, telephone, fax, or personal contact, without being additionally compensated. In addition, Boston Beer has retained Morrow Sodali, a professional proxy solicitation firm, to assist in the solicitation of proxies for a fee of $8,000, plus reimbursement of reasonable expenses.</w:t>
      </w:r>
    </w:p>
    <w:p>
      <w:pPr>
        <w:spacing w:after="0" w:line="262"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41516E"/>
        </w:rPr>
        <w:t>19.  How can I contact Boston Beer?</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Our mailing address is: The Boston Beer Company, Attn: Investor Relations, One Design Center Place, Suite 850, Boston, Massachusetts 02210. Our main telephone number is (617) 368-5000. Our investor relations website is investors.bostonbeer.com. Investor relations questions may be directed to (617) 368-5152.</w:t>
      </w:r>
    </w:p>
    <w:p>
      <w:pPr>
        <w:spacing w:after="0" w:line="124" w:lineRule="exact"/>
        <w:rPr>
          <w:sz w:val="20"/>
          <w:szCs w:val="20"/>
          <w:color w:val="auto"/>
        </w:rPr>
      </w:pPr>
    </w:p>
    <w:p>
      <w:pPr>
        <w:spacing w:after="0"/>
        <w:tabs>
          <w:tab w:leader="none" w:pos="3760" w:val="left"/>
          <w:tab w:leader="none" w:pos="11040" w:val="left"/>
        </w:tabs>
        <w:rPr>
          <w:sz w:val="20"/>
          <w:szCs w:val="20"/>
          <w:color w:val="auto"/>
        </w:rPr>
      </w:pPr>
      <w:r>
        <w:rPr>
          <w:rFonts w:ascii="Arial" w:cs="Arial" w:eastAsia="Arial" w:hAnsi="Arial"/>
          <w:sz w:val="16"/>
          <w:szCs w:val="16"/>
          <w:b w:val="1"/>
          <w:bCs w:val="1"/>
          <w:color w:val="41516E"/>
        </w:rPr>
        <w:t>www.bostonbeer.com</w:t>
      </w:r>
      <w:r>
        <w:rPr>
          <w:sz w:val="20"/>
          <w:szCs w:val="20"/>
          <w:color w:val="auto"/>
        </w:rPr>
        <w:tab/>
      </w:r>
      <w:r>
        <w:rPr>
          <w:rFonts w:ascii="Arial" w:cs="Arial" w:eastAsia="Arial" w:hAnsi="Arial"/>
          <w:sz w:val="16"/>
          <w:szCs w:val="16"/>
          <w:b w:val="1"/>
          <w:bCs w:val="1"/>
          <w:color w:val="41516E"/>
        </w:rPr>
        <w:t xml:space="preserve">THE BOSTON BEER COMPANY, INC. </w:t>
      </w:r>
      <w:r>
        <w:rPr>
          <w:sz w:val="1"/>
          <w:szCs w:val="1"/>
          <w:color w:val="auto"/>
        </w:rPr>
        <w:drawing>
          <wp:inline distT="0" distB="0" distL="0" distR="0">
            <wp:extent cx="76835" cy="18034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180340"/>
                    </a:xfrm>
                    <a:prstGeom prst="rect">
                      <a:avLst/>
                    </a:prstGeom>
                    <a:noFill/>
                    <a:ln>
                      <a:noFill/>
                    </a:ln>
                  </pic:spPr>
                </pic:pic>
              </a:graphicData>
            </a:graphic>
          </wp:inline>
        </w:drawing>
      </w:r>
      <w:r>
        <w:rPr>
          <w:rFonts w:ascii="Arial" w:cs="Arial" w:eastAsia="Arial" w:hAnsi="Arial"/>
          <w:sz w:val="16"/>
          <w:szCs w:val="16"/>
          <w:b w:val="1"/>
          <w:bCs w:val="1"/>
          <w:color w:val="41516E"/>
        </w:rPr>
        <w:t xml:space="preserve"> 2024 </w:t>
      </w:r>
      <w:r>
        <w:rPr>
          <w:rFonts w:ascii="Arial" w:cs="Arial" w:eastAsia="Arial" w:hAnsi="Arial"/>
          <w:sz w:val="16"/>
          <w:szCs w:val="16"/>
          <w:color w:val="41516E"/>
        </w:rPr>
        <w:t>Proxy Statement</w:t>
      </w:r>
      <w:r>
        <w:rPr>
          <w:sz w:val="20"/>
          <w:szCs w:val="20"/>
          <w:color w:val="auto"/>
        </w:rPr>
        <w:tab/>
      </w:r>
      <w:r>
        <w:rPr>
          <w:rFonts w:ascii="Arial" w:cs="Arial" w:eastAsia="Arial" w:hAnsi="Arial"/>
          <w:sz w:val="16"/>
          <w:szCs w:val="16"/>
          <w:b w:val="1"/>
          <w:bCs w:val="1"/>
          <w:color w:val="41516E"/>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-76200</wp:posOffset>
            </wp:positionV>
            <wp:extent cx="12084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-76200</wp:posOffset>
            </wp:positionV>
            <wp:extent cx="14147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spacing w:after="0"/>
        <w:rPr>
          <w:sz w:val="20"/>
          <w:szCs w:val="20"/>
          <w:color w:val="auto"/>
        </w:rPr>
      </w:pPr>
      <w:r>
        <w:rPr>
          <w:rFonts w:ascii="Arial" w:cs="Arial" w:eastAsia="Arial" w:hAnsi="Arial"/>
          <w:sz w:val="47"/>
          <w:szCs w:val="47"/>
          <w:b w:val="1"/>
          <w:bCs w:val="1"/>
          <w:color w:val="41516E"/>
        </w:rPr>
        <w:t xml:space="preserve">Other </w:t>
      </w:r>
      <w:r>
        <w:rPr>
          <w:rFonts w:ascii="Arial" w:cs="Arial" w:eastAsia="Arial" w:hAnsi="Arial"/>
          <w:sz w:val="47"/>
          <w:szCs w:val="47"/>
          <w:b w:val="1"/>
          <w:bCs w:val="1"/>
          <w:color w:val="798297"/>
        </w:rPr>
        <w:t>Information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2023 Annual Report</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A copy of the 2023 Annual Report on Form 10-K as required to be filed with the SEC, excluding exhibits, is incorporated by reference, and will be mailed to stockholders without charge upon written request to: Investor Relations, The Boston Beer Company, Inc., One Design Center Place, Suite 850, Boston, Massachusetts 02210.</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Stockholder Proposals for 2025 Annual Meeting</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41516E"/>
        </w:rPr>
        <w:t>Stockholders interested in submitting a proposal intended for inclusion in the Proxy Materials for the Annual Meeting of Stockholders to be held in 2025 may do so by following the procedures set forth in Rule 14a-8 of the Securities Exchange Act of 1934, as amended. To be eligible for inclusion, stockholder proposals must be received at the Company’s principal executive offices in Boston, Massachusetts on or before December 6, 2024.</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41516E"/>
        </w:rPr>
        <w:t>If a stockholder wishes to present a proposal at the 2025 Annual Meeting of Stockholders but not have it included in the Company’s Proxy Materials for that meeting, the proposal must be received by the Company no later than March 1, 2025, and it must relate to subject matter which could not be excluded from a proxy statement under any rule promulgated by the SEC. If a stockholder does not meet this deadline or does not satisfy the requirements of Rule 14a-4 of the Exchange Act, the persons named as proxies will be allowed to use their discretionary voting authority when and if the matter is raised at the Annual Meeting.</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32"/>
          <w:szCs w:val="32"/>
          <w:b w:val="1"/>
          <w:bCs w:val="1"/>
          <w:color w:val="41516E"/>
        </w:rPr>
        <w:t>Householding of Proxy Materials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41516E"/>
        </w:rPr>
        <w:t>The Company and some brokers “household” the Annual Report and proxy materials, delivering a single copy of each to multiple stockholders sharing an address unless contrary instructions have been received from the affected stockholders.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and would prefer to receive a separate copy of the proxy materials, including the Annual Report, or if you are receiving multiple copies of the proxy materials and wish to receive only one, please notify your broker, if your shares are held in a brokerage account, or the Company, if you hold registered shares, at which time we will promptly deliver separate copies of the materials to each of the affected stockholders or discontinue the practice, according to your wishes. You can notify us by sending a written request to Investor Relations, The Boston Beer Company, Inc., One Design Center Place, Suite 850, Boston, Massachusetts 02210 or by telephone at (617) 368-5152.</w:t>
      </w:r>
    </w:p>
    <w:p>
      <w:pPr>
        <w:spacing w:after="0" w:line="156" w:lineRule="exact"/>
        <w:rPr>
          <w:sz w:val="20"/>
          <w:szCs w:val="20"/>
          <w:color w:val="auto"/>
        </w:rPr>
      </w:pPr>
    </w:p>
    <w:p>
      <w:pPr>
        <w:ind w:left="8780"/>
        <w:spacing w:after="0"/>
        <w:rPr>
          <w:sz w:val="20"/>
          <w:szCs w:val="20"/>
          <w:color w:val="auto"/>
        </w:rPr>
      </w:pPr>
      <w:r>
        <w:rPr>
          <w:rFonts w:ascii="Arial" w:cs="Arial" w:eastAsia="Arial" w:hAnsi="Arial"/>
          <w:sz w:val="16"/>
          <w:szCs w:val="16"/>
          <w:color w:val="41516E"/>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132080</wp:posOffset>
            </wp:positionV>
            <wp:extent cx="1714500" cy="300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1516E"/>
        </w:rPr>
        <w:t>Michael G. Andrews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41516E"/>
        </w:rPr>
        <w:t>Associate General Counsel</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41516E"/>
        </w:rPr>
        <w:t>&amp;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121920</wp:posOffset>
            </wp:positionV>
            <wp:extent cx="85725"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660" w:type="dxa"/>
            <w:vAlign w:val="bottom"/>
            <w:tcBorders>
              <w:bottom w:val="single" w:sz="8" w:color="41516E"/>
            </w:tcBorders>
          </w:tcPr>
          <w:p>
            <w:pPr>
              <w:spacing w:after="0"/>
              <w:rPr>
                <w:sz w:val="10"/>
                <w:szCs w:val="10"/>
                <w:color w:val="auto"/>
              </w:rPr>
            </w:pPr>
          </w:p>
        </w:tc>
        <w:tc>
          <w:tcPr>
            <w:tcW w:w="4940" w:type="dxa"/>
            <w:vAlign w:val="bottom"/>
            <w:vMerge w:val="restart"/>
          </w:tcPr>
          <w:p>
            <w:pPr>
              <w:ind w:left="100"/>
              <w:spacing w:after="0"/>
              <w:rPr>
                <w:sz w:val="20"/>
                <w:szCs w:val="20"/>
                <w:color w:val="auto"/>
              </w:rPr>
            </w:pPr>
            <w:r>
              <w:rPr>
                <w:rFonts w:ascii="Arial" w:cs="Arial" w:eastAsia="Arial" w:hAnsi="Arial"/>
                <w:sz w:val="16"/>
                <w:szCs w:val="16"/>
                <w:b w:val="1"/>
                <w:bCs w:val="1"/>
                <w:color w:val="41516E"/>
              </w:rPr>
              <w:t xml:space="preserve">THE BOSTON BEER COMPANY, INC.2024 </w:t>
            </w:r>
            <w:r>
              <w:rPr>
                <w:rFonts w:ascii="Arial" w:cs="Arial" w:eastAsia="Arial" w:hAnsi="Arial"/>
                <w:sz w:val="16"/>
                <w:szCs w:val="16"/>
                <w:color w:val="41516E"/>
              </w:rPr>
              <w:t>Proxy Statement</w:t>
            </w:r>
          </w:p>
        </w:tc>
        <w:tc>
          <w:tcPr>
            <w:tcW w:w="2220" w:type="dxa"/>
            <w:vAlign w:val="bottom"/>
            <w:tcBorders>
              <w:bottom w:val="single" w:sz="8" w:color="41516E"/>
            </w:tcBorders>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41516E"/>
              </w:rPr>
              <w:t>65</w:t>
            </w:r>
          </w:p>
        </w:tc>
        <w:tc>
          <w:tcPr>
            <w:tcW w:w="0" w:type="dxa"/>
            <w:vAlign w:val="bottom"/>
          </w:tcPr>
          <w:p>
            <w:pPr>
              <w:spacing w:after="0"/>
              <w:rPr>
                <w:sz w:val="1"/>
                <w:szCs w:val="1"/>
                <w:color w:val="auto"/>
              </w:rPr>
            </w:pPr>
          </w:p>
        </w:tc>
      </w:tr>
      <w:tr>
        <w:trPr>
          <w:trHeight w:val="80"/>
        </w:trPr>
        <w:tc>
          <w:tcPr>
            <w:tcW w:w="36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3660" w:type="dxa"/>
            <w:vAlign w:val="bottom"/>
            <w:tcBorders>
              <w:bottom w:val="single" w:sz="8" w:color="C0C0C0"/>
            </w:tcBorders>
          </w:tcPr>
          <w:p>
            <w:pPr>
              <w:spacing w:after="0"/>
              <w:rPr>
                <w:sz w:val="24"/>
                <w:szCs w:val="24"/>
                <w:color w:val="auto"/>
              </w:rPr>
            </w:pPr>
          </w:p>
        </w:tc>
        <w:tc>
          <w:tcPr>
            <w:tcW w:w="4940" w:type="dxa"/>
            <w:vAlign w:val="bottom"/>
            <w:tcBorders>
              <w:bottom w:val="single" w:sz="8" w:color="C0C0C0"/>
            </w:tcBorders>
          </w:tcPr>
          <w:p>
            <w:pPr>
              <w:spacing w:after="0"/>
              <w:rPr>
                <w:sz w:val="24"/>
                <w:szCs w:val="24"/>
                <w:color w:val="auto"/>
              </w:rPr>
            </w:pPr>
          </w:p>
        </w:tc>
        <w:tc>
          <w:tcPr>
            <w:tcW w:w="222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02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9027160"/>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1211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sectPr>
      <w:pgSz w:w="11900" w:h="16838" w:orient="portrait"/>
      <w:cols w:equalWidth="0" w:num="1">
        <w:col w:w="10139"/>
      </w:cols>
      <w:pgMar w:left="320" w:top="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Roman"/>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3"/>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3"/>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2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2"/>
    </w:lvl>
  </w:abstractNum>
  <w:abstractNum w:abstractNumId="41">
    <w:nsid w:val="38437FDB"/>
    <w:multiLevelType w:val="hybridMultilevel"/>
    <w:lvl w:ilvl="0">
      <w:lvlJc w:val="left"/>
      <w:lvlText w:val="%1."/>
      <w:numFmt w:val="decimal"/>
      <w:start w:val="3"/>
    </w:lvl>
  </w:abstractNum>
  <w:abstractNum w:abstractNumId="42">
    <w:nsid w:val="7644A45C"/>
    <w:multiLevelType w:val="hybridMultilevel"/>
    <w:lvl w:ilvl="0">
      <w:lvlJc w:val="left"/>
      <w:lvlText w:val="%1."/>
      <w:numFmt w:val="decimal"/>
      <w:start w:val="4"/>
    </w:lvl>
  </w:abstractNum>
  <w:abstractNum w:abstractNumId="43">
    <w:nsid w:val="32FFF902"/>
    <w:multiLevelType w:val="hybridMultilevel"/>
    <w:lvl w:ilvl="0">
      <w:lvlJc w:val="left"/>
      <w:lvlText w:val="%1."/>
      <w:numFmt w:val="decimal"/>
      <w:start w:val="5"/>
    </w:lvl>
  </w:abstractNum>
  <w:abstractNum w:abstractNumId="44">
    <w:nsid w:val="684A481A"/>
    <w:multiLevelType w:val="hybridMultilevel"/>
    <w:lvl w:ilvl="0">
      <w:lvlJc w:val="left"/>
      <w:lvlText w:val="%1."/>
      <w:numFmt w:val="decimal"/>
      <w:start w:val="6"/>
    </w:lvl>
  </w:abstractNum>
  <w:abstractNum w:abstractNumId="45">
    <w:nsid w:val="579478FE"/>
    <w:multiLevelType w:val="hybridMultilevel"/>
    <w:lvl w:ilvl="0">
      <w:lvlJc w:val="left"/>
      <w:lvlText w:val="%1."/>
      <w:numFmt w:val="decimal"/>
      <w:start w:val="7"/>
    </w:lvl>
  </w:abstractNum>
  <w:abstractNum w:abstractNumId="46">
    <w:nsid w:val="749ABB43"/>
    <w:multiLevelType w:val="hybridMultilevel"/>
    <w:lvl w:ilvl="0">
      <w:lvlJc w:val="left"/>
      <w:lvlText w:val="%1."/>
      <w:numFmt w:val="decimal"/>
      <w:start w:val="8"/>
    </w:lvl>
  </w:abstractNum>
  <w:abstractNum w:abstractNumId="47">
    <w:nsid w:val="3DC240FB"/>
    <w:multiLevelType w:val="hybridMultilevel"/>
    <w:lvl w:ilvl="0">
      <w:lvlJc w:val="left"/>
      <w:lvlText w:val="%1."/>
      <w:numFmt w:val="decimal"/>
      <w:start w:val="9"/>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0"/>
    </w:lvl>
  </w:abstractNum>
  <w:abstractNum w:abstractNumId="51">
    <w:nsid w:val="12E685FB"/>
    <w:multiLevelType w:val="hybridMultilevel"/>
    <w:lvl w:ilvl="0">
      <w:lvlJc w:val="left"/>
      <w:lvlText w:val="%1."/>
      <w:numFmt w:val="decimal"/>
      <w:start w:val="11"/>
    </w:lvl>
  </w:abstractNum>
  <w:abstractNum w:abstractNumId="52">
    <w:nsid w:val="70C6A529"/>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2024-03-28T08:25:01Z</dcterms:created>
  <dcterms:modified xsi:type="dcterms:W3CDTF">2024-03-28T08:25:01Z</dcterms:modified>
</cp:coreProperties>
</file>