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003A8F"/>
        </w:rPr>
        <w:t>FORTY YEARS OF INNOVATING IN THE WHITE SPACE</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003A8F"/>
        </w:rPr>
        <w:t>ANNUAL REPORT 2024</w:t>
      </w:r>
    </w:p>
    <w:p>
      <w:pPr>
        <w:sectPr>
          <w:pgSz w:w="11880" w:h="15480" w:orient="portrait"/>
          <w:cols w:equalWidth="0" w:num="1">
            <w:col w:w="9000"/>
          </w:cols>
          <w:pgMar w:left="1440" w:top="1440" w:right="1440" w:bottom="1160" w:gutter="0" w:footer="0" w:header="0"/>
        </w:sectPr>
      </w:pPr>
    </w:p>
    <w:bookmarkStart w:id="1" w:name="page2"/>
    <w:bookmarkEnd w:id="1"/>
    <w:p>
      <w:pPr>
        <w:spacing w:after="0" w:line="234" w:lineRule="auto"/>
        <w:framePr w:w="1260" w:h="236" w:wrap="auto" w:vAnchor="page" w:hAnchor="page" w:x="7240" w:y="9727"/>
        <w:rPr>
          <w:rFonts w:ascii="Arial" w:cs="Arial" w:eastAsia="Arial" w:hAnsi="Arial"/>
          <w:sz w:val="21"/>
          <w:szCs w:val="21"/>
          <w:b w:val="1"/>
          <w:bCs w:val="1"/>
          <w:color w:val="F5590B"/>
        </w:rPr>
      </w:pPr>
      <w:r>
        <w:rPr>
          <w:rFonts w:ascii="Arial" w:cs="Arial" w:eastAsia="Arial" w:hAnsi="Arial"/>
          <w:sz w:val="21"/>
          <w:szCs w:val="21"/>
          <w:b w:val="1"/>
          <w:bCs w:val="1"/>
          <w:color w:val="F5590B"/>
        </w:rPr>
        <w:t>- JIM KOCH</w:t>
      </w:r>
    </w:p>
    <w:p>
      <w:pPr>
        <w:ind w:left="1400" w:right="2120"/>
        <w:spacing w:after="0" w:line="255" w:lineRule="auto"/>
        <w:rPr>
          <w:sz w:val="20"/>
          <w:szCs w:val="20"/>
          <w:color w:val="auto"/>
        </w:rPr>
      </w:pPr>
      <w:r>
        <w:rPr>
          <w:rFonts w:ascii="Arial" w:cs="Arial" w:eastAsia="Arial" w:hAnsi="Arial"/>
          <w:sz w:val="73"/>
          <w:szCs w:val="73"/>
          <w:b w:val="1"/>
          <w:bCs w:val="1"/>
          <w:color w:val="00001F"/>
        </w:rPr>
        <w:t>A NOTE FROM JIM KOCH ON OUR 40</w:t>
      </w:r>
      <w:r>
        <w:rPr>
          <w:rFonts w:ascii="Arial" w:cs="Arial" w:eastAsia="Arial" w:hAnsi="Arial"/>
          <w:sz w:val="43"/>
          <w:szCs w:val="43"/>
          <w:b w:val="1"/>
          <w:bCs w:val="1"/>
          <w:color w:val="00001F"/>
        </w:rPr>
        <w:t>TH</w:t>
      </w:r>
      <w:r>
        <w:rPr>
          <w:rFonts w:ascii="Arial" w:cs="Arial" w:eastAsia="Arial" w:hAnsi="Arial"/>
          <w:sz w:val="73"/>
          <w:szCs w:val="73"/>
          <w:b w:val="1"/>
          <w:bCs w:val="1"/>
          <w:color w:val="00001F"/>
        </w:rPr>
        <w:t xml:space="preserve"> ANNIVERSARY</w:t>
      </w:r>
    </w:p>
    <w:p>
      <w:pPr>
        <w:spacing w:after="0" w:line="60" w:lineRule="exact"/>
        <w:rPr>
          <w:rFonts w:ascii="Arial" w:cs="Arial" w:eastAsia="Arial" w:hAnsi="Arial"/>
          <w:sz w:val="21"/>
          <w:szCs w:val="21"/>
          <w:b w:val="1"/>
          <w:bCs w:val="1"/>
          <w:color w:val="F5590B"/>
        </w:rPr>
      </w:pPr>
    </w:p>
    <w:p>
      <w:pPr>
        <w:ind w:left="1400" w:right="740"/>
        <w:spacing w:after="0" w:line="316" w:lineRule="auto"/>
        <w:rPr>
          <w:sz w:val="20"/>
          <w:szCs w:val="20"/>
          <w:color w:val="auto"/>
        </w:rPr>
      </w:pPr>
      <w:r>
        <w:rPr>
          <w:rFonts w:ascii="Arial" w:cs="Arial" w:eastAsia="Arial" w:hAnsi="Arial"/>
          <w:sz w:val="26"/>
          <w:szCs w:val="26"/>
          <w:b w:val="1"/>
          <w:bCs w:val="1"/>
          <w:color w:val="00001F"/>
        </w:rPr>
        <w:t>In 1984, the American beer landscape was dreary and dominated by two kinds of beer. Mass produced domestics were low on flavor, and imports were usually stale when they hit the bars.</w:t>
      </w:r>
    </w:p>
    <w:p>
      <w:pPr>
        <w:spacing w:after="0" w:line="20" w:lineRule="exact"/>
        <w:rPr>
          <w:rFonts w:ascii="Arial" w:cs="Arial" w:eastAsia="Arial" w:hAnsi="Arial"/>
          <w:sz w:val="21"/>
          <w:szCs w:val="21"/>
          <w:b w:val="1"/>
          <w:bCs w:val="1"/>
          <w:color w:val="F5590B"/>
        </w:rPr>
      </w:pPr>
      <w:r>
        <w:rPr>
          <w:rFonts w:ascii="Arial" w:cs="Arial" w:eastAsia="Arial" w:hAnsi="Arial"/>
          <w:sz w:val="21"/>
          <w:szCs w:val="21"/>
          <w:b w:val="1"/>
          <w:bCs w:val="1"/>
          <w:color w:val="F5590B"/>
        </w:rPr>
        <w:drawing>
          <wp:anchor simplePos="0" relativeHeight="251657728" behindDoc="1" locked="0" layoutInCell="0" allowOverlap="1">
            <wp:simplePos x="0" y="0"/>
            <wp:positionH relativeFrom="column">
              <wp:posOffset>885825</wp:posOffset>
            </wp:positionH>
            <wp:positionV relativeFrom="paragraph">
              <wp:posOffset>98425</wp:posOffset>
            </wp:positionV>
            <wp:extent cx="567690" cy="54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7690" cy="54610"/>
                    </a:xfrm>
                    <a:prstGeom prst="rect">
                      <a:avLst/>
                    </a:prstGeom>
                    <a:noFill/>
                  </pic:spPr>
                </pic:pic>
              </a:graphicData>
            </a:graphic>
          </wp:anchor>
        </w:drawing>
      </w:r>
    </w:p>
    <w:p>
      <w:pPr>
        <w:spacing w:after="0" w:line="200" w:lineRule="exact"/>
        <w:rPr>
          <w:rFonts w:ascii="Arial" w:cs="Arial" w:eastAsia="Arial" w:hAnsi="Arial"/>
          <w:sz w:val="21"/>
          <w:szCs w:val="21"/>
          <w:b w:val="1"/>
          <w:bCs w:val="1"/>
          <w:color w:val="F5590B"/>
        </w:rPr>
      </w:pPr>
    </w:p>
    <w:p>
      <w:pPr>
        <w:spacing w:after="0" w:line="378" w:lineRule="exact"/>
        <w:rPr>
          <w:rFonts w:ascii="Arial" w:cs="Arial" w:eastAsia="Arial" w:hAnsi="Arial"/>
          <w:sz w:val="21"/>
          <w:szCs w:val="21"/>
          <w:b w:val="1"/>
          <w:bCs w:val="1"/>
          <w:color w:val="F5590B"/>
        </w:rPr>
      </w:pPr>
    </w:p>
    <w:tbl>
      <w:tblPr>
        <w:tblLayout w:type="fixed"/>
        <w:tblInd w:w="0" w:type="dxa"/>
        <w:tblCellMar>
          <w:top w:w="0" w:type="dxa"/>
          <w:left w:w="0" w:type="dxa"/>
          <w:bottom w:w="0" w:type="dxa"/>
          <w:right w:w="0" w:type="dxa"/>
        </w:tblCellMar>
      </w:tblPr>
      <w:tr>
        <w:trPr>
          <w:trHeight w:val="307"/>
        </w:trPr>
        <w:tc>
          <w:tcPr>
            <w:tcW w:w="1160" w:type="dxa"/>
            <w:vAlign w:val="bottom"/>
          </w:tcPr>
          <w:p>
            <w:pPr>
              <w:spacing w:after="0"/>
              <w:rPr>
                <w:sz w:val="24"/>
                <w:szCs w:val="24"/>
                <w:color w:val="auto"/>
              </w:rPr>
            </w:pPr>
          </w:p>
        </w:tc>
        <w:tc>
          <w:tcPr>
            <w:tcW w:w="4860" w:type="dxa"/>
            <w:vAlign w:val="bottom"/>
          </w:tcPr>
          <w:p>
            <w:pPr>
              <w:ind w:left="240"/>
              <w:spacing w:after="0"/>
              <w:rPr>
                <w:sz w:val="20"/>
                <w:szCs w:val="20"/>
                <w:color w:val="auto"/>
              </w:rPr>
            </w:pPr>
            <w:r>
              <w:rPr>
                <w:rFonts w:ascii="Arial" w:cs="Arial" w:eastAsia="Arial" w:hAnsi="Arial"/>
                <w:sz w:val="23"/>
                <w:szCs w:val="23"/>
                <w:color w:val="auto"/>
              </w:rPr>
              <w:t>That was 40 years ago, not long after the</w:t>
            </w:r>
          </w:p>
        </w:tc>
        <w:tc>
          <w:tcPr>
            <w:tcW w:w="4380" w:type="dxa"/>
            <w:vAlign w:val="bottom"/>
          </w:tcPr>
          <w:p>
            <w:pPr>
              <w:ind w:left="320"/>
              <w:spacing w:after="0"/>
              <w:rPr>
                <w:sz w:val="20"/>
                <w:szCs w:val="20"/>
                <w:color w:val="auto"/>
              </w:rPr>
            </w:pPr>
            <w:r>
              <w:rPr>
                <w:rFonts w:ascii="Arial" w:cs="Arial" w:eastAsia="Arial" w:hAnsi="Arial"/>
                <w:sz w:val="23"/>
                <w:szCs w:val="23"/>
                <w:color w:val="auto"/>
              </w:rPr>
              <w:t>deliver a better-tasting, fresher product</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4860" w:type="dxa"/>
            <w:vAlign w:val="bottom"/>
          </w:tcPr>
          <w:p>
            <w:pPr>
              <w:ind w:left="240"/>
              <w:spacing w:after="0"/>
              <w:rPr>
                <w:sz w:val="20"/>
                <w:szCs w:val="20"/>
                <w:color w:val="auto"/>
              </w:rPr>
            </w:pPr>
            <w:r>
              <w:rPr>
                <w:rFonts w:ascii="Arial" w:cs="Arial" w:eastAsia="Arial" w:hAnsi="Arial"/>
                <w:sz w:val="23"/>
                <w:szCs w:val="23"/>
                <w:color w:val="auto"/>
              </w:rPr>
              <w:t>late President Jimmy Carter legalized</w:t>
            </w:r>
          </w:p>
        </w:tc>
        <w:tc>
          <w:tcPr>
            <w:tcW w:w="4380" w:type="dxa"/>
            <w:vAlign w:val="bottom"/>
          </w:tcPr>
          <w:p>
            <w:pPr>
              <w:ind w:left="320"/>
              <w:spacing w:after="0"/>
              <w:rPr>
                <w:sz w:val="20"/>
                <w:szCs w:val="20"/>
                <w:color w:val="auto"/>
              </w:rPr>
            </w:pPr>
            <w:r>
              <w:rPr>
                <w:rFonts w:ascii="Arial" w:cs="Arial" w:eastAsia="Arial" w:hAnsi="Arial"/>
                <w:sz w:val="23"/>
                <w:szCs w:val="23"/>
                <w:color w:val="auto"/>
                <w:w w:val="97"/>
              </w:rPr>
              <w:t>to Bostonians. So, I took my great-great-</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4860" w:type="dxa"/>
            <w:vAlign w:val="bottom"/>
          </w:tcPr>
          <w:p>
            <w:pPr>
              <w:ind w:left="240"/>
              <w:spacing w:after="0"/>
              <w:rPr>
                <w:sz w:val="20"/>
                <w:szCs w:val="20"/>
                <w:color w:val="auto"/>
              </w:rPr>
            </w:pPr>
            <w:r>
              <w:rPr>
                <w:rFonts w:ascii="Arial" w:cs="Arial" w:eastAsia="Arial" w:hAnsi="Arial"/>
                <w:sz w:val="23"/>
                <w:szCs w:val="23"/>
                <w:color w:val="auto"/>
              </w:rPr>
              <w:t>homebrewing, and curious brewers were the</w:t>
            </w:r>
          </w:p>
        </w:tc>
        <w:tc>
          <w:tcPr>
            <w:tcW w:w="4380" w:type="dxa"/>
            <w:vAlign w:val="bottom"/>
          </w:tcPr>
          <w:p>
            <w:pPr>
              <w:ind w:left="320"/>
              <w:spacing w:after="0"/>
              <w:rPr>
                <w:sz w:val="20"/>
                <w:szCs w:val="20"/>
                <w:color w:val="auto"/>
              </w:rPr>
            </w:pPr>
            <w:r>
              <w:rPr>
                <w:rFonts w:ascii="Arial" w:cs="Arial" w:eastAsia="Arial" w:hAnsi="Arial"/>
                <w:sz w:val="23"/>
                <w:szCs w:val="23"/>
                <w:color w:val="auto"/>
                <w:w w:val="94"/>
              </w:rPr>
              <w:t>grandfather’s recipe and named it Samuel</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4860" w:type="dxa"/>
            <w:vAlign w:val="bottom"/>
          </w:tcPr>
          <w:p>
            <w:pPr>
              <w:ind w:left="240"/>
              <w:spacing w:after="0"/>
              <w:rPr>
                <w:sz w:val="20"/>
                <w:szCs w:val="20"/>
                <w:color w:val="auto"/>
              </w:rPr>
            </w:pPr>
            <w:r>
              <w:rPr>
                <w:rFonts w:ascii="Arial" w:cs="Arial" w:eastAsia="Arial" w:hAnsi="Arial"/>
                <w:sz w:val="23"/>
                <w:szCs w:val="23"/>
                <w:color w:val="auto"/>
              </w:rPr>
              <w:t>first to taste fresh beer in their own homes.</w:t>
            </w:r>
          </w:p>
        </w:tc>
        <w:tc>
          <w:tcPr>
            <w:tcW w:w="4380" w:type="dxa"/>
            <w:vAlign w:val="bottom"/>
          </w:tcPr>
          <w:p>
            <w:pPr>
              <w:ind w:left="320"/>
              <w:spacing w:after="0"/>
              <w:rPr>
                <w:sz w:val="20"/>
                <w:szCs w:val="20"/>
                <w:color w:val="auto"/>
              </w:rPr>
            </w:pPr>
            <w:r>
              <w:rPr>
                <w:rFonts w:ascii="Arial" w:cs="Arial" w:eastAsia="Arial" w:hAnsi="Arial"/>
                <w:sz w:val="23"/>
                <w:szCs w:val="23"/>
                <w:color w:val="auto"/>
                <w:w w:val="92"/>
              </w:rPr>
              <w:t>Adams Boston Lager. It quickly became an</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4860" w:type="dxa"/>
            <w:vAlign w:val="bottom"/>
          </w:tcPr>
          <w:p>
            <w:pPr>
              <w:ind w:left="240"/>
              <w:spacing w:after="0"/>
              <w:rPr>
                <w:sz w:val="20"/>
                <w:szCs w:val="20"/>
                <w:color w:val="auto"/>
              </w:rPr>
            </w:pPr>
            <w:r>
              <w:rPr>
                <w:rFonts w:ascii="Arial" w:cs="Arial" w:eastAsia="Arial" w:hAnsi="Arial"/>
                <w:sz w:val="23"/>
                <w:szCs w:val="23"/>
                <w:color w:val="auto"/>
              </w:rPr>
              <w:t>I was in my mid-thirties and looking for my</w:t>
            </w:r>
          </w:p>
        </w:tc>
        <w:tc>
          <w:tcPr>
            <w:tcW w:w="4380" w:type="dxa"/>
            <w:vAlign w:val="bottom"/>
          </w:tcPr>
          <w:p>
            <w:pPr>
              <w:ind w:left="320"/>
              <w:spacing w:after="0"/>
              <w:rPr>
                <w:sz w:val="20"/>
                <w:szCs w:val="20"/>
                <w:color w:val="auto"/>
              </w:rPr>
            </w:pPr>
            <w:r>
              <w:rPr>
                <w:rFonts w:ascii="Arial" w:cs="Arial" w:eastAsia="Arial" w:hAnsi="Arial"/>
                <w:sz w:val="23"/>
                <w:szCs w:val="23"/>
                <w:color w:val="auto"/>
                <w:w w:val="98"/>
              </w:rPr>
              <w:t>important catalyst for the American Craft</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4860" w:type="dxa"/>
            <w:vAlign w:val="bottom"/>
          </w:tcPr>
          <w:p>
            <w:pPr>
              <w:ind w:left="240"/>
              <w:spacing w:after="0"/>
              <w:rPr>
                <w:sz w:val="20"/>
                <w:szCs w:val="20"/>
                <w:color w:val="auto"/>
              </w:rPr>
            </w:pPr>
            <w:r>
              <w:rPr>
                <w:rFonts w:ascii="Arial" w:cs="Arial" w:eastAsia="Arial" w:hAnsi="Arial"/>
                <w:sz w:val="23"/>
                <w:szCs w:val="23"/>
                <w:color w:val="auto"/>
              </w:rPr>
              <w:t>life’s work. And beer was in my blood. I’m</w:t>
            </w:r>
          </w:p>
        </w:tc>
        <w:tc>
          <w:tcPr>
            <w:tcW w:w="4380" w:type="dxa"/>
            <w:vAlign w:val="bottom"/>
          </w:tcPr>
          <w:p>
            <w:pPr>
              <w:ind w:left="320"/>
              <w:spacing w:after="0"/>
              <w:rPr>
                <w:sz w:val="20"/>
                <w:szCs w:val="20"/>
                <w:color w:val="auto"/>
              </w:rPr>
            </w:pPr>
            <w:r>
              <w:rPr>
                <w:rFonts w:ascii="Arial" w:cs="Arial" w:eastAsia="Arial" w:hAnsi="Arial"/>
                <w:sz w:val="23"/>
                <w:szCs w:val="23"/>
                <w:color w:val="auto"/>
              </w:rPr>
              <w:t>Beer Revolution.</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4860" w:type="dxa"/>
            <w:vAlign w:val="bottom"/>
          </w:tcPr>
          <w:p>
            <w:pPr>
              <w:ind w:left="240"/>
              <w:spacing w:after="0"/>
              <w:rPr>
                <w:sz w:val="20"/>
                <w:szCs w:val="20"/>
                <w:color w:val="auto"/>
              </w:rPr>
            </w:pPr>
            <w:r>
              <w:rPr>
                <w:rFonts w:ascii="Arial" w:cs="Arial" w:eastAsia="Arial" w:hAnsi="Arial"/>
                <w:sz w:val="23"/>
                <w:szCs w:val="23"/>
                <w:color w:val="auto"/>
              </w:rPr>
              <w:t>the fifth generation Koch family brewer. As a</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4860" w:type="dxa"/>
            <w:vAlign w:val="bottom"/>
          </w:tcPr>
          <w:p>
            <w:pPr>
              <w:ind w:left="240"/>
              <w:spacing w:after="0"/>
              <w:rPr>
                <w:sz w:val="20"/>
                <w:szCs w:val="20"/>
                <w:color w:val="auto"/>
              </w:rPr>
            </w:pPr>
            <w:r>
              <w:rPr>
                <w:rFonts w:ascii="Arial" w:cs="Arial" w:eastAsia="Arial" w:hAnsi="Arial"/>
                <w:sz w:val="23"/>
                <w:szCs w:val="23"/>
                <w:color w:val="auto"/>
              </w:rPr>
              <w:t>kid, I watched my dad quit the beer business</w:t>
            </w:r>
          </w:p>
        </w:tc>
        <w:tc>
          <w:tcPr>
            <w:tcW w:w="4380" w:type="dxa"/>
            <w:vAlign w:val="bottom"/>
          </w:tcPr>
          <w:p>
            <w:pPr>
              <w:ind w:left="320"/>
              <w:spacing w:after="0"/>
              <w:rPr>
                <w:sz w:val="20"/>
                <w:szCs w:val="20"/>
                <w:color w:val="auto"/>
              </w:rPr>
            </w:pPr>
            <w:r>
              <w:rPr>
                <w:rFonts w:ascii="Arial" w:cs="Arial" w:eastAsia="Arial" w:hAnsi="Arial"/>
                <w:sz w:val="23"/>
                <w:szCs w:val="23"/>
                <w:color w:val="auto"/>
              </w:rPr>
              <w:t>That drive to identify and explore the</w:t>
            </w:r>
          </w:p>
        </w:tc>
        <w:tc>
          <w:tcPr>
            <w:tcW w:w="0" w:type="dxa"/>
            <w:vAlign w:val="bottom"/>
          </w:tcPr>
          <w:p>
            <w:pPr>
              <w:spacing w:after="0"/>
              <w:rPr>
                <w:sz w:val="1"/>
                <w:szCs w:val="1"/>
                <w:color w:val="auto"/>
              </w:rPr>
            </w:pPr>
          </w:p>
        </w:tc>
      </w:tr>
      <w:tr>
        <w:trPr>
          <w:trHeight w:val="311"/>
        </w:trPr>
        <w:tc>
          <w:tcPr>
            <w:tcW w:w="1160" w:type="dxa"/>
            <w:vAlign w:val="bottom"/>
            <w:vMerge w:val="restart"/>
          </w:tcPr>
          <w:p>
            <w:pPr>
              <w:spacing w:after="0" w:line="550" w:lineRule="exact"/>
              <w:rPr>
                <w:sz w:val="20"/>
                <w:szCs w:val="20"/>
                <w:color w:val="auto"/>
              </w:rPr>
            </w:pPr>
            <w:r>
              <w:rPr>
                <w:rFonts w:ascii="Arial" w:cs="Arial" w:eastAsia="Arial" w:hAnsi="Arial"/>
                <w:sz w:val="63"/>
                <w:szCs w:val="63"/>
                <w:b w:val="1"/>
                <w:bCs w:val="1"/>
                <w:i w:val="1"/>
                <w:iCs w:val="1"/>
                <w:color w:val="F5590B"/>
              </w:rPr>
              <w:t>“</w:t>
            </w:r>
          </w:p>
        </w:tc>
        <w:tc>
          <w:tcPr>
            <w:tcW w:w="4860" w:type="dxa"/>
            <w:vAlign w:val="bottom"/>
          </w:tcPr>
          <w:p>
            <w:pPr>
              <w:ind w:left="240"/>
              <w:spacing w:after="0"/>
              <w:rPr>
                <w:sz w:val="20"/>
                <w:szCs w:val="20"/>
                <w:color w:val="auto"/>
              </w:rPr>
            </w:pPr>
            <w:r>
              <w:rPr>
                <w:rFonts w:ascii="Arial" w:cs="Arial" w:eastAsia="Arial" w:hAnsi="Arial"/>
                <w:sz w:val="23"/>
                <w:szCs w:val="23"/>
                <w:color w:val="auto"/>
              </w:rPr>
              <w:t>because the market had embraced lighter</w:t>
            </w:r>
          </w:p>
        </w:tc>
        <w:tc>
          <w:tcPr>
            <w:tcW w:w="4380" w:type="dxa"/>
            <w:vAlign w:val="bottom"/>
          </w:tcPr>
          <w:p>
            <w:pPr>
              <w:ind w:left="320"/>
              <w:spacing w:after="0"/>
              <w:rPr>
                <w:sz w:val="20"/>
                <w:szCs w:val="20"/>
                <w:color w:val="auto"/>
              </w:rPr>
            </w:pPr>
            <w:r>
              <w:rPr>
                <w:rFonts w:ascii="Arial" w:cs="Arial" w:eastAsia="Arial" w:hAnsi="Arial"/>
                <w:sz w:val="23"/>
                <w:szCs w:val="23"/>
                <w:color w:val="auto"/>
                <w:w w:val="94"/>
              </w:rPr>
              <w:t>white space has allowed The Boston Beer</w:t>
            </w:r>
          </w:p>
        </w:tc>
        <w:tc>
          <w:tcPr>
            <w:tcW w:w="0" w:type="dxa"/>
            <w:vAlign w:val="bottom"/>
          </w:tcPr>
          <w:p>
            <w:pPr>
              <w:spacing w:after="0"/>
              <w:rPr>
                <w:sz w:val="1"/>
                <w:szCs w:val="1"/>
                <w:color w:val="auto"/>
              </w:rPr>
            </w:pPr>
          </w:p>
        </w:tc>
      </w:tr>
      <w:tr>
        <w:trPr>
          <w:trHeight w:val="241"/>
        </w:trPr>
        <w:tc>
          <w:tcPr>
            <w:tcW w:w="1160" w:type="dxa"/>
            <w:vAlign w:val="bottom"/>
            <w:vMerge w:val="continue"/>
          </w:tcPr>
          <w:p>
            <w:pPr>
              <w:spacing w:after="0"/>
              <w:rPr>
                <w:sz w:val="20"/>
                <w:szCs w:val="20"/>
                <w:color w:val="auto"/>
              </w:rPr>
            </w:pPr>
          </w:p>
        </w:tc>
        <w:tc>
          <w:tcPr>
            <w:tcW w:w="4860" w:type="dxa"/>
            <w:vAlign w:val="bottom"/>
            <w:vMerge w:val="restart"/>
          </w:tcPr>
          <w:p>
            <w:pPr>
              <w:ind w:left="240"/>
              <w:spacing w:after="0"/>
              <w:rPr>
                <w:sz w:val="20"/>
                <w:szCs w:val="20"/>
                <w:color w:val="auto"/>
              </w:rPr>
            </w:pPr>
            <w:r>
              <w:rPr>
                <w:rFonts w:ascii="Arial" w:cs="Arial" w:eastAsia="Arial" w:hAnsi="Arial"/>
                <w:sz w:val="23"/>
                <w:szCs w:val="23"/>
                <w:color w:val="auto"/>
              </w:rPr>
              <w:t>and lighter beers. I saw an opportunity, and I</w:t>
            </w:r>
          </w:p>
        </w:tc>
        <w:tc>
          <w:tcPr>
            <w:tcW w:w="4380" w:type="dxa"/>
            <w:vAlign w:val="bottom"/>
            <w:vMerge w:val="restart"/>
          </w:tcPr>
          <w:p>
            <w:pPr>
              <w:ind w:left="320"/>
              <w:spacing w:after="0"/>
              <w:rPr>
                <w:sz w:val="20"/>
                <w:szCs w:val="20"/>
                <w:color w:val="auto"/>
              </w:rPr>
            </w:pPr>
            <w:r>
              <w:rPr>
                <w:rFonts w:ascii="Arial" w:cs="Arial" w:eastAsia="Arial" w:hAnsi="Arial"/>
                <w:sz w:val="23"/>
                <w:szCs w:val="23"/>
                <w:color w:val="auto"/>
              </w:rPr>
              <w:t>Company to succeed over the past 40</w:t>
            </w:r>
          </w:p>
        </w:tc>
        <w:tc>
          <w:tcPr>
            <w:tcW w:w="0" w:type="dxa"/>
            <w:vAlign w:val="bottom"/>
          </w:tcPr>
          <w:p>
            <w:pPr>
              <w:spacing w:after="0"/>
              <w:rPr>
                <w:sz w:val="1"/>
                <w:szCs w:val="1"/>
                <w:color w:val="auto"/>
              </w:rPr>
            </w:pPr>
          </w:p>
        </w:tc>
      </w:tr>
      <w:tr>
        <w:trPr>
          <w:trHeight w:val="70"/>
        </w:trPr>
        <w:tc>
          <w:tcPr>
            <w:tcW w:w="1160" w:type="dxa"/>
            <w:vAlign w:val="bottom"/>
          </w:tcPr>
          <w:p>
            <w:pPr>
              <w:spacing w:after="0"/>
              <w:rPr>
                <w:sz w:val="6"/>
                <w:szCs w:val="6"/>
                <w:color w:val="auto"/>
              </w:rPr>
            </w:pPr>
          </w:p>
        </w:tc>
        <w:tc>
          <w:tcPr>
            <w:tcW w:w="4860" w:type="dxa"/>
            <w:vAlign w:val="bottom"/>
            <w:vMerge w:val="continue"/>
          </w:tcPr>
          <w:p>
            <w:pPr>
              <w:spacing w:after="0"/>
              <w:rPr>
                <w:sz w:val="6"/>
                <w:szCs w:val="6"/>
                <w:color w:val="auto"/>
              </w:rPr>
            </w:pPr>
          </w:p>
        </w:tc>
        <w:tc>
          <w:tcPr>
            <w:tcW w:w="4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4860" w:type="dxa"/>
            <w:vAlign w:val="bottom"/>
          </w:tcPr>
          <w:p>
            <w:pPr>
              <w:ind w:left="240"/>
              <w:spacing w:after="0"/>
              <w:rPr>
                <w:sz w:val="20"/>
                <w:szCs w:val="20"/>
                <w:color w:val="auto"/>
              </w:rPr>
            </w:pPr>
            <w:r>
              <w:rPr>
                <w:rFonts w:ascii="Arial" w:cs="Arial" w:eastAsia="Arial" w:hAnsi="Arial"/>
                <w:sz w:val="23"/>
                <w:szCs w:val="23"/>
                <w:color w:val="auto"/>
              </w:rPr>
              <w:t>decided to go for it.</w:t>
            </w:r>
          </w:p>
        </w:tc>
        <w:tc>
          <w:tcPr>
            <w:tcW w:w="4380" w:type="dxa"/>
            <w:vAlign w:val="bottom"/>
          </w:tcPr>
          <w:p>
            <w:pPr>
              <w:ind w:left="320"/>
              <w:spacing w:after="0"/>
              <w:rPr>
                <w:sz w:val="20"/>
                <w:szCs w:val="20"/>
                <w:color w:val="auto"/>
              </w:rPr>
            </w:pPr>
            <w:r>
              <w:rPr>
                <w:rFonts w:ascii="Arial" w:cs="Arial" w:eastAsia="Arial" w:hAnsi="Arial"/>
                <w:sz w:val="23"/>
                <w:szCs w:val="23"/>
                <w:color w:val="auto"/>
              </w:rPr>
              <w:t>years.</w:t>
            </w:r>
          </w:p>
        </w:tc>
        <w:tc>
          <w:tcPr>
            <w:tcW w:w="0" w:type="dxa"/>
            <w:vAlign w:val="bottom"/>
          </w:tcPr>
          <w:p>
            <w:pPr>
              <w:spacing w:after="0"/>
              <w:rPr>
                <w:sz w:val="1"/>
                <w:szCs w:val="1"/>
                <w:color w:val="auto"/>
              </w:rPr>
            </w:pPr>
          </w:p>
        </w:tc>
      </w:tr>
    </w:tbl>
    <w:p>
      <w:pPr>
        <w:spacing w:after="0" w:line="200" w:lineRule="exact"/>
        <w:rPr>
          <w:rFonts w:ascii="Arial" w:cs="Arial" w:eastAsia="Arial" w:hAnsi="Arial"/>
          <w:sz w:val="21"/>
          <w:szCs w:val="21"/>
          <w:b w:val="1"/>
          <w:bCs w:val="1"/>
          <w:color w:val="F5590B"/>
        </w:rPr>
      </w:pPr>
    </w:p>
    <w:p>
      <w:pPr>
        <w:spacing w:after="0" w:line="200" w:lineRule="exact"/>
        <w:rPr>
          <w:rFonts w:ascii="Arial" w:cs="Arial" w:eastAsia="Arial" w:hAnsi="Arial"/>
          <w:sz w:val="21"/>
          <w:szCs w:val="21"/>
          <w:b w:val="1"/>
          <w:bCs w:val="1"/>
          <w:color w:val="F5590B"/>
        </w:rPr>
      </w:pPr>
    </w:p>
    <w:p>
      <w:pPr>
        <w:spacing w:after="0" w:line="200" w:lineRule="exact"/>
        <w:rPr>
          <w:rFonts w:ascii="Arial" w:cs="Arial" w:eastAsia="Arial" w:hAnsi="Arial"/>
          <w:sz w:val="21"/>
          <w:szCs w:val="21"/>
          <w:b w:val="1"/>
          <w:bCs w:val="1"/>
          <w:color w:val="F5590B"/>
        </w:rPr>
      </w:pPr>
    </w:p>
    <w:p>
      <w:pPr>
        <w:spacing w:after="0" w:line="200" w:lineRule="exact"/>
        <w:rPr>
          <w:rFonts w:ascii="Arial" w:cs="Arial" w:eastAsia="Arial" w:hAnsi="Arial"/>
          <w:sz w:val="21"/>
          <w:szCs w:val="21"/>
          <w:b w:val="1"/>
          <w:bCs w:val="1"/>
          <w:color w:val="F5590B"/>
        </w:rPr>
      </w:pPr>
    </w:p>
    <w:p>
      <w:pPr>
        <w:spacing w:after="0" w:line="278" w:lineRule="exact"/>
        <w:rPr>
          <w:rFonts w:ascii="Arial" w:cs="Arial" w:eastAsia="Arial" w:hAnsi="Arial"/>
          <w:sz w:val="21"/>
          <w:szCs w:val="21"/>
          <w:b w:val="1"/>
          <w:bCs w:val="1"/>
          <w:color w:val="F5590B"/>
        </w:rPr>
      </w:pPr>
    </w:p>
    <w:p>
      <w:pPr>
        <w:ind w:left="1080" w:right="1660"/>
        <w:spacing w:after="0" w:line="180" w:lineRule="auto"/>
        <w:rPr>
          <w:sz w:val="20"/>
          <w:szCs w:val="20"/>
          <w:color w:val="auto"/>
        </w:rPr>
      </w:pPr>
      <w:r>
        <w:rPr>
          <w:rFonts w:ascii="Arial" w:cs="Arial" w:eastAsia="Arial" w:hAnsi="Arial"/>
          <w:sz w:val="16"/>
          <w:szCs w:val="16"/>
          <w:b w:val="1"/>
          <w:bCs w:val="1"/>
          <w:i w:val="1"/>
          <w:iCs w:val="1"/>
          <w:color w:val="F5590B"/>
        </w:rPr>
        <w:t>We collaborate and innovate as coworkers because the status quo sucks.”</w:t>
      </w:r>
    </w:p>
    <w:p>
      <w:pPr>
        <w:sectPr>
          <w:pgSz w:w="11880" w:h="15480" w:orient="portrait"/>
          <w:cols w:equalWidth="0" w:num="1">
            <w:col w:w="10400"/>
          </w:cols>
          <w:pgMar w:left="560" w:top="979" w:right="920" w:bottom="1440" w:gutter="0" w:footer="0" w:header="0"/>
        </w:sectPr>
      </w:pPr>
    </w:p>
    <w:p>
      <w:pPr>
        <w:spacing w:after="0" w:line="200" w:lineRule="exact"/>
        <w:rPr>
          <w:rFonts w:ascii="Arial" w:cs="Arial" w:eastAsia="Arial" w:hAnsi="Arial"/>
          <w:sz w:val="21"/>
          <w:szCs w:val="21"/>
          <w:b w:val="1"/>
          <w:bCs w:val="1"/>
          <w:color w:val="F5590B"/>
        </w:rPr>
      </w:pPr>
    </w:p>
    <w:p>
      <w:pPr>
        <w:spacing w:after="0" w:line="200" w:lineRule="exact"/>
        <w:rPr>
          <w:rFonts w:ascii="Arial" w:cs="Arial" w:eastAsia="Arial" w:hAnsi="Arial"/>
          <w:sz w:val="21"/>
          <w:szCs w:val="21"/>
          <w:b w:val="1"/>
          <w:bCs w:val="1"/>
          <w:color w:val="F5590B"/>
        </w:rPr>
      </w:pPr>
    </w:p>
    <w:p>
      <w:pPr>
        <w:spacing w:after="0" w:line="357" w:lineRule="exact"/>
        <w:rPr>
          <w:rFonts w:ascii="Arial" w:cs="Arial" w:eastAsia="Arial" w:hAnsi="Arial"/>
          <w:sz w:val="21"/>
          <w:szCs w:val="21"/>
          <w:b w:val="1"/>
          <w:bCs w:val="1"/>
          <w:color w:val="F5590B"/>
        </w:rPr>
      </w:pPr>
    </w:p>
    <w:p>
      <w:pPr>
        <w:ind w:left="1400"/>
        <w:spacing w:after="0" w:line="300" w:lineRule="auto"/>
        <w:rPr>
          <w:sz w:val="20"/>
          <w:szCs w:val="20"/>
          <w:color w:val="auto"/>
        </w:rPr>
      </w:pPr>
      <w:r>
        <w:rPr>
          <w:rFonts w:ascii="Arial" w:cs="Arial" w:eastAsia="Arial" w:hAnsi="Arial"/>
          <w:sz w:val="22"/>
          <w:szCs w:val="22"/>
          <w:color w:val="auto"/>
        </w:rPr>
        <w:t>I saw “white space” beyond the bland mass domestics and stale imports, and I believed that the better-tasting, higher-quality, and fresher beer of my dad’s (and his dad’s, and his dad’s) brewing days would appeal to my generation of beer drinkers. Consumers were beginning to trade up for higher-quality products. We saw it in coﬀee, restaurants, and wine. I couldn’t compete with the big brewers on price, but I knew I could</w:t>
      </w:r>
    </w:p>
    <w:p>
      <w:pPr>
        <w:spacing w:after="0" w:line="20" w:lineRule="exact"/>
        <w:rPr>
          <w:rFonts w:ascii="Arial" w:cs="Arial" w:eastAsia="Arial" w:hAnsi="Arial"/>
          <w:sz w:val="21"/>
          <w:szCs w:val="21"/>
          <w:b w:val="1"/>
          <w:bCs w:val="1"/>
          <w:color w:val="F5590B"/>
        </w:rPr>
      </w:pPr>
      <w:r>
        <w:rPr>
          <w:rFonts w:ascii="Arial" w:cs="Arial" w:eastAsia="Arial" w:hAnsi="Arial"/>
          <w:sz w:val="21"/>
          <w:szCs w:val="21"/>
          <w:b w:val="1"/>
          <w:bCs w:val="1"/>
          <w:color w:val="F5590B"/>
        </w:rPr>
        <w:br w:type="column"/>
      </w:r>
    </w:p>
    <w:p>
      <w:pPr>
        <w:spacing w:after="0" w:line="200" w:lineRule="exact"/>
        <w:rPr>
          <w:rFonts w:ascii="Arial" w:cs="Arial" w:eastAsia="Arial" w:hAnsi="Arial"/>
          <w:sz w:val="21"/>
          <w:szCs w:val="21"/>
          <w:b w:val="1"/>
          <w:bCs w:val="1"/>
          <w:color w:val="F5590B"/>
        </w:rPr>
      </w:pPr>
    </w:p>
    <w:p>
      <w:pPr>
        <w:spacing w:after="0" w:line="200" w:lineRule="exact"/>
        <w:rPr>
          <w:rFonts w:ascii="Arial" w:cs="Arial" w:eastAsia="Arial" w:hAnsi="Arial"/>
          <w:sz w:val="21"/>
          <w:szCs w:val="21"/>
          <w:b w:val="1"/>
          <w:bCs w:val="1"/>
          <w:color w:val="F5590B"/>
        </w:rPr>
      </w:pPr>
    </w:p>
    <w:p>
      <w:pPr>
        <w:spacing w:after="0" w:line="335" w:lineRule="exact"/>
        <w:rPr>
          <w:rFonts w:ascii="Arial" w:cs="Arial" w:eastAsia="Arial" w:hAnsi="Arial"/>
          <w:sz w:val="21"/>
          <w:szCs w:val="21"/>
          <w:b w:val="1"/>
          <w:bCs w:val="1"/>
          <w:color w:val="F5590B"/>
        </w:rPr>
      </w:pPr>
    </w:p>
    <w:p>
      <w:pPr>
        <w:ind w:right="20"/>
        <w:spacing w:after="0" w:line="287" w:lineRule="auto"/>
        <w:rPr>
          <w:sz w:val="20"/>
          <w:szCs w:val="20"/>
          <w:color w:val="auto"/>
        </w:rPr>
      </w:pPr>
      <w:r>
        <w:rPr>
          <w:rFonts w:ascii="Arial" w:cs="Arial" w:eastAsia="Arial" w:hAnsi="Arial"/>
          <w:sz w:val="23"/>
          <w:szCs w:val="23"/>
          <w:color w:val="auto"/>
        </w:rPr>
        <w:t>White space is a metaphor for the areas that are untapped and ripe for innovation. It’s what entrepreneurs seek when they look beyond tradition or logic to create something new. And it’s the way we have remained ahead of the curve all these decades later.</w:t>
      </w:r>
    </w:p>
    <w:p>
      <w:pPr>
        <w:spacing w:after="0" w:line="20" w:lineRule="exact"/>
        <w:rPr>
          <w:rFonts w:ascii="Arial" w:cs="Arial" w:eastAsia="Arial" w:hAnsi="Arial"/>
          <w:sz w:val="21"/>
          <w:szCs w:val="21"/>
          <w:b w:val="1"/>
          <w:bCs w:val="1"/>
          <w:color w:val="F5590B"/>
        </w:rPr>
      </w:pPr>
      <w:r>
        <w:rPr>
          <w:rFonts w:ascii="Arial" w:cs="Arial" w:eastAsia="Arial" w:hAnsi="Arial"/>
          <w:sz w:val="21"/>
          <w:szCs w:val="21"/>
          <w:b w:val="1"/>
          <w:bCs w:val="1"/>
          <w:color w:val="F5590B"/>
        </w:rPr>
        <w:drawing>
          <wp:anchor simplePos="0" relativeHeight="251657728" behindDoc="1" locked="0" layoutInCell="0" allowOverlap="1">
            <wp:simplePos x="0" y="0"/>
            <wp:positionH relativeFrom="column">
              <wp:posOffset>2677795</wp:posOffset>
            </wp:positionH>
            <wp:positionV relativeFrom="paragraph">
              <wp:posOffset>-1095375</wp:posOffset>
            </wp:positionV>
            <wp:extent cx="484505" cy="2875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4505" cy="2875915"/>
                    </a:xfrm>
                    <a:prstGeom prst="rect">
                      <a:avLst/>
                    </a:prstGeom>
                    <a:noFill/>
                  </pic:spPr>
                </pic:pic>
              </a:graphicData>
            </a:graphic>
          </wp:anchor>
        </w:drawing>
      </w:r>
    </w:p>
    <w:p>
      <w:pPr>
        <w:spacing w:after="0" w:line="250" w:lineRule="exact"/>
        <w:rPr>
          <w:rFonts w:ascii="Arial" w:cs="Arial" w:eastAsia="Arial" w:hAnsi="Arial"/>
          <w:sz w:val="21"/>
          <w:szCs w:val="21"/>
          <w:b w:val="1"/>
          <w:bCs w:val="1"/>
          <w:color w:val="F5590B"/>
        </w:rPr>
      </w:pPr>
    </w:p>
    <w:p>
      <w:pPr>
        <w:spacing w:after="0"/>
        <w:rPr>
          <w:sz w:val="20"/>
          <w:szCs w:val="20"/>
          <w:color w:val="auto"/>
        </w:rPr>
      </w:pPr>
      <w:r>
        <w:rPr>
          <w:rFonts w:ascii="Arial" w:cs="Arial" w:eastAsia="Arial" w:hAnsi="Arial"/>
          <w:sz w:val="23"/>
          <w:szCs w:val="23"/>
          <w:color w:val="auto"/>
        </w:rPr>
        <w:t>Cheers to 40 years!</w:t>
      </w:r>
    </w:p>
    <w:p>
      <w:pPr>
        <w:spacing w:after="0" w:line="20" w:lineRule="exact"/>
        <w:rPr>
          <w:rFonts w:ascii="Arial" w:cs="Arial" w:eastAsia="Arial" w:hAnsi="Arial"/>
          <w:sz w:val="21"/>
          <w:szCs w:val="21"/>
          <w:b w:val="1"/>
          <w:bCs w:val="1"/>
          <w:color w:val="F5590B"/>
        </w:rPr>
      </w:pPr>
      <w:r>
        <w:rPr>
          <w:rFonts w:ascii="Arial" w:cs="Arial" w:eastAsia="Arial" w:hAnsi="Arial"/>
          <w:sz w:val="21"/>
          <w:szCs w:val="21"/>
          <w:b w:val="1"/>
          <w:bCs w:val="1"/>
          <w:color w:val="F5590B"/>
        </w:rPr>
        <w:drawing>
          <wp:anchor simplePos="0" relativeHeight="251657728" behindDoc="1" locked="0" layoutInCell="0" allowOverlap="1">
            <wp:simplePos x="0" y="0"/>
            <wp:positionH relativeFrom="column">
              <wp:posOffset>-137160</wp:posOffset>
            </wp:positionH>
            <wp:positionV relativeFrom="paragraph">
              <wp:posOffset>75565</wp:posOffset>
            </wp:positionV>
            <wp:extent cx="1334770" cy="438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4770" cy="438150"/>
                    </a:xfrm>
                    <a:prstGeom prst="rect">
                      <a:avLst/>
                    </a:prstGeom>
                    <a:noFill/>
                  </pic:spPr>
                </pic:pic>
              </a:graphicData>
            </a:graphic>
          </wp:anchor>
        </w:drawing>
      </w:r>
    </w:p>
    <w:p>
      <w:pPr>
        <w:sectPr>
          <w:pgSz w:w="11880" w:h="15480" w:orient="portrait"/>
          <w:cols w:equalWidth="0" w:num="2">
            <w:col w:w="5720" w:space="620"/>
            <w:col w:w="4060"/>
          </w:cols>
          <w:pgMar w:left="560" w:top="979" w:right="92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39"/>
          <w:szCs w:val="39"/>
          <w:b w:val="1"/>
          <w:bCs w:val="1"/>
          <w:color w:val="00001F"/>
        </w:rPr>
        <w:t>Dear Shareholders,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400"/>
        <w:spacing w:after="0" w:line="285" w:lineRule="auto"/>
        <w:rPr>
          <w:sz w:val="20"/>
          <w:szCs w:val="20"/>
          <w:color w:val="auto"/>
        </w:rPr>
      </w:pPr>
      <w:r>
        <w:rPr>
          <w:rFonts w:ascii="Arial" w:cs="Arial" w:eastAsia="Arial" w:hAnsi="Arial"/>
          <w:sz w:val="23"/>
          <w:szCs w:val="23"/>
          <w:color w:val="auto"/>
        </w:rPr>
        <w:t>Today, the idea of the white space is adopted within The Boston Beer Company core values as: “We collaborate and innovate as coworkers because the status quo sucks.” As an entrepreneurial company, we continue to tap into the white space to fuel our core. This isn’t just because Boston Beer has been founder-led for 40 years. It’s an entrepreneurial mindset that carries through everything we do.</w:t>
      </w:r>
    </w:p>
    <w:p>
      <w:pPr>
        <w:spacing w:after="0" w:line="272" w:lineRule="exact"/>
        <w:rPr>
          <w:sz w:val="20"/>
          <w:szCs w:val="20"/>
          <w:color w:val="auto"/>
        </w:rPr>
      </w:pPr>
    </w:p>
    <w:p>
      <w:pPr>
        <w:ind w:right="1400"/>
        <w:spacing w:after="0" w:line="308" w:lineRule="auto"/>
        <w:rPr>
          <w:sz w:val="20"/>
          <w:szCs w:val="20"/>
          <w:color w:val="auto"/>
        </w:rPr>
      </w:pPr>
      <w:r>
        <w:rPr>
          <w:rFonts w:ascii="Arial" w:cs="Arial" w:eastAsia="Arial" w:hAnsi="Arial"/>
          <w:sz w:val="21"/>
          <w:szCs w:val="21"/>
          <w:color w:val="auto"/>
        </w:rPr>
        <w:t>That constant pursuit of better and the drive to innovate within the white space have allowed us to establish and capitalize on entirely new categories within beer. We did this first with hard cider, then hard tea, and later hard seltzer, all of which have become significant parts of our portfolio. Beer is our middle name, and we believe the categories we’ve created</w:t>
      </w:r>
    </w:p>
    <w:p>
      <w:pPr>
        <w:spacing w:after="0" w:line="5" w:lineRule="exact"/>
        <w:rPr>
          <w:sz w:val="20"/>
          <w:szCs w:val="20"/>
          <w:color w:val="auto"/>
        </w:rPr>
      </w:pPr>
    </w:p>
    <w:p>
      <w:pPr>
        <w:jc w:val="both"/>
        <w:ind w:right="1460"/>
        <w:spacing w:after="0" w:line="371" w:lineRule="auto"/>
        <w:rPr>
          <w:sz w:val="20"/>
          <w:szCs w:val="20"/>
          <w:color w:val="auto"/>
        </w:rPr>
      </w:pPr>
      <w:r>
        <w:rPr>
          <w:rFonts w:ascii="Arial" w:cs="Arial" w:eastAsia="Arial" w:hAnsi="Arial"/>
          <w:sz w:val="21"/>
          <w:szCs w:val="21"/>
          <w:color w:val="auto"/>
        </w:rPr>
        <w:t>— and continue to pioneer — will keep us thriving for the next 40 years and beyond.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We’ve Been Here Before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300" w:lineRule="auto"/>
        <w:rPr>
          <w:sz w:val="20"/>
          <w:szCs w:val="20"/>
          <w:color w:val="auto"/>
        </w:rPr>
      </w:pPr>
      <w:r>
        <w:rPr>
          <w:rFonts w:ascii="Arial" w:cs="Arial" w:eastAsia="Arial" w:hAnsi="Arial"/>
          <w:sz w:val="22"/>
          <w:szCs w:val="22"/>
          <w:color w:val="FFFFFF"/>
        </w:rPr>
        <w:t>We’ve long been associated with the start of the American Craft Beer Revolution, and we’ve worn that as a badge of honor for 40 years. While craft beer sales contracted in 2024, we’ve lived through tough times before. Our taps won’t stop flowing. We’re in it for the long haul, and we’ve proven our resilience and ability to adapt to trends, tastes, and tides.</w:t>
      </w:r>
    </w:p>
    <w:p>
      <w:pPr>
        <w:spacing w:after="0" w:line="254" w:lineRule="exact"/>
        <w:rPr>
          <w:sz w:val="20"/>
          <w:szCs w:val="20"/>
          <w:color w:val="auto"/>
        </w:rPr>
      </w:pPr>
    </w:p>
    <w:p>
      <w:pPr>
        <w:ind w:right="300"/>
        <w:spacing w:after="0" w:line="294" w:lineRule="auto"/>
        <w:rPr>
          <w:sz w:val="20"/>
          <w:szCs w:val="20"/>
          <w:color w:val="auto"/>
        </w:rPr>
      </w:pPr>
      <w:r>
        <w:rPr>
          <w:rFonts w:ascii="Arial" w:cs="Arial" w:eastAsia="Arial" w:hAnsi="Arial"/>
          <w:sz w:val="22"/>
          <w:szCs w:val="22"/>
          <w:color w:val="FFFFFF"/>
        </w:rPr>
        <w:t>Our priorities are to support our category-leading brands to improve market share and carefully nurture the innovation pipeline. We continue to believe that significant opportunities exist in a new fourth category.</w:t>
      </w:r>
    </w:p>
    <w:p>
      <w:pPr>
        <w:spacing w:after="0" w:line="4" w:lineRule="exact"/>
        <w:rPr>
          <w:sz w:val="20"/>
          <w:szCs w:val="20"/>
          <w:color w:val="auto"/>
        </w:rPr>
      </w:pPr>
    </w:p>
    <w:p>
      <w:pPr>
        <w:ind w:right="320"/>
        <w:spacing w:after="0" w:line="315" w:lineRule="auto"/>
        <w:rPr>
          <w:sz w:val="20"/>
          <w:szCs w:val="20"/>
          <w:color w:val="auto"/>
        </w:rPr>
      </w:pPr>
      <w:r>
        <w:rPr>
          <w:rFonts w:ascii="Arial" w:cs="Arial" w:eastAsia="Arial" w:hAnsi="Arial"/>
          <w:sz w:val="21"/>
          <w:szCs w:val="21"/>
          <w:color w:val="FFFFFF"/>
        </w:rPr>
        <w:t>Lines continue to blur across craft beer, beyond beer, wine, and spirits. Consumers are becoming increasingly promiscuous, seeking originality and variety. We have a proven track record of creating and distributing new products, and we are well positioned to take advantage of the crossroads given our best-in-class sales force and wholesaler relationships.</w:t>
      </w:r>
    </w:p>
    <w:p>
      <w:pPr>
        <w:sectPr>
          <w:pgSz w:w="11880" w:h="15480" w:orient="portrait"/>
          <w:cols w:equalWidth="0" w:num="2">
            <w:col w:w="5480" w:space="720"/>
            <w:col w:w="4020"/>
          </w:cols>
          <w:pgMar w:left="880" w:top="1440" w:right="780" w:bottom="1440" w:gutter="0" w:footer="0" w:header="0"/>
        </w:sectPr>
      </w:pPr>
    </w:p>
    <w:bookmarkStart w:id="3" w:name="page4"/>
    <w:bookmarkEnd w:id="3"/>
    <w:p>
      <w:pPr>
        <w:ind w:left="960"/>
        <w:spacing w:after="0"/>
        <w:rPr>
          <w:sz w:val="20"/>
          <w:szCs w:val="20"/>
          <w:color w:val="auto"/>
        </w:rPr>
      </w:pPr>
      <w:r>
        <w:rPr>
          <w:rFonts w:ascii="Arial" w:cs="Arial" w:eastAsia="Arial" w:hAnsi="Arial"/>
          <w:sz w:val="75"/>
          <w:szCs w:val="75"/>
          <w:b w:val="1"/>
          <w:bCs w:val="1"/>
          <w:color w:val="00001F"/>
        </w:rPr>
        <w:drawing>
          <wp:anchor simplePos="0" relativeHeight="251657728" behindDoc="1" locked="0" layoutInCell="0" allowOverlap="1">
            <wp:simplePos x="0" y="0"/>
            <wp:positionH relativeFrom="page">
              <wp:posOffset>0</wp:posOffset>
            </wp:positionH>
            <wp:positionV relativeFrom="page">
              <wp:posOffset>0</wp:posOffset>
            </wp:positionV>
            <wp:extent cx="1374775" cy="982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4775" cy="9829800"/>
                    </a:xfrm>
                    <a:prstGeom prst="rect">
                      <a:avLst/>
                    </a:prstGeom>
                    <a:noFill/>
                  </pic:spPr>
                </pic:pic>
              </a:graphicData>
            </a:graphic>
          </wp:anchor>
        </w:drawing>
        <w:t>A LOOK BACK AT 2024</w:t>
      </w:r>
    </w:p>
    <w:p>
      <w:pPr>
        <w:spacing w:after="0" w:line="281" w:lineRule="exact"/>
        <w:rPr>
          <w:sz w:val="20"/>
          <w:szCs w:val="20"/>
          <w:color w:val="auto"/>
        </w:rPr>
      </w:pPr>
    </w:p>
    <w:p>
      <w:pPr>
        <w:ind w:left="980" w:right="2700"/>
        <w:spacing w:after="0" w:line="391" w:lineRule="auto"/>
        <w:rPr>
          <w:sz w:val="20"/>
          <w:szCs w:val="20"/>
          <w:color w:val="auto"/>
        </w:rPr>
      </w:pPr>
      <w:r>
        <w:rPr>
          <w:rFonts w:ascii="Arial" w:cs="Arial" w:eastAsia="Arial" w:hAnsi="Arial"/>
          <w:sz w:val="22"/>
          <w:szCs w:val="22"/>
          <w:b w:val="1"/>
          <w:bCs w:val="1"/>
          <w:color w:val="00001F"/>
        </w:rPr>
        <w:t>In 2024, we explored the white space to fuel our core brands and introduced new brands to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72390</wp:posOffset>
            </wp:positionV>
            <wp:extent cx="567690" cy="54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690" cy="5461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Arial" w:cs="Arial" w:eastAsia="Arial" w:hAnsi="Arial"/>
          <w:sz w:val="29"/>
          <w:szCs w:val="29"/>
          <w:b w:val="1"/>
          <w:bCs w:val="1"/>
          <w:color w:val="auto"/>
        </w:rPr>
        <w:t>SAMUEL ADAMS</w:t>
      </w:r>
    </w:p>
    <w:p>
      <w:pPr>
        <w:spacing w:after="0" w:line="204" w:lineRule="exact"/>
        <w:rPr>
          <w:sz w:val="20"/>
          <w:szCs w:val="20"/>
          <w:color w:val="auto"/>
        </w:rPr>
      </w:pPr>
    </w:p>
    <w:p>
      <w:pPr>
        <w:ind w:left="960"/>
        <w:spacing w:after="0" w:line="317" w:lineRule="auto"/>
        <w:rPr>
          <w:sz w:val="20"/>
          <w:szCs w:val="20"/>
          <w:color w:val="auto"/>
        </w:rPr>
      </w:pPr>
      <w:r>
        <w:rPr>
          <w:rFonts w:ascii="Arial" w:cs="Arial" w:eastAsia="Arial" w:hAnsi="Arial"/>
          <w:sz w:val="21"/>
          <w:szCs w:val="21"/>
          <w:color w:val="auto"/>
        </w:rPr>
        <w:t>The idea of light beer isn’t new. In fact, we’ve approached it a few times over the last 40 years from Boston Lightship to Sam Adams Light. The white space our team saw most recently was around a better light beer. A light lager made with 100% American ingredients. We developed a premium light beer that also is easy drinking, full of flavor, and distinctly American. Enter Samuel Adams American Light. In 2024, this new brew won a Gold &amp; Best in Country medal at the World Beer Awards. We also took home a Gold &amp; Best in Country award for our inaugural non-alcoholic beer, Samuel Adams Just the Haze, and a Gold &amp; Best in Country for our flagship, Samuel Adams Boston Lager.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20"/>
        <w:spacing w:after="0"/>
        <w:rPr>
          <w:sz w:val="20"/>
          <w:szCs w:val="20"/>
          <w:color w:val="auto"/>
        </w:rPr>
      </w:pPr>
      <w:r>
        <w:rPr>
          <w:rFonts w:ascii="Arial" w:cs="Arial" w:eastAsia="Arial" w:hAnsi="Arial"/>
          <w:sz w:val="29"/>
          <w:szCs w:val="29"/>
          <w:b w:val="1"/>
          <w:bCs w:val="1"/>
          <w:color w:val="auto"/>
        </w:rPr>
        <w:t>DOGFISH HEAD</w:t>
      </w:r>
    </w:p>
    <w:p>
      <w:pPr>
        <w:spacing w:after="0" w:line="204" w:lineRule="exact"/>
        <w:rPr>
          <w:sz w:val="20"/>
          <w:szCs w:val="20"/>
          <w:color w:val="auto"/>
        </w:rPr>
      </w:pPr>
    </w:p>
    <w:p>
      <w:pPr>
        <w:ind w:left="1020" w:right="40"/>
        <w:spacing w:after="0" w:line="321" w:lineRule="auto"/>
        <w:rPr>
          <w:sz w:val="20"/>
          <w:szCs w:val="20"/>
          <w:color w:val="auto"/>
        </w:rPr>
      </w:pPr>
      <w:r>
        <w:rPr>
          <w:rFonts w:ascii="Arial" w:cs="Arial" w:eastAsia="Arial" w:hAnsi="Arial"/>
          <w:sz w:val="21"/>
          <w:szCs w:val="21"/>
          <w:color w:val="auto"/>
        </w:rPr>
        <w:t>Dogfish Head has charted its own course in the craft beer industry since 1995. Merging with Boston Beer in 2019, Dogfish Head has continued to brew “oﬀ-centered” beers and culinary-crafted canned cocktails to much success. To usher in its upcoming 30th anniversary, we gave Dogfish Head a new look with a cohesive coastal feel. This update brings a unified look to the brand’s broad portfolio by leaning into nautical roots and leading with flavor, allowing for stronger brand presence on shelves and in coolers.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Arial" w:cs="Arial" w:eastAsia="Arial" w:hAnsi="Arial"/>
          <w:sz w:val="29"/>
          <w:szCs w:val="29"/>
          <w:b w:val="1"/>
          <w:bCs w:val="1"/>
          <w:color w:val="auto"/>
        </w:rPr>
        <w:t>TWISTED TEA</w:t>
      </w:r>
    </w:p>
    <w:p>
      <w:pPr>
        <w:spacing w:after="0" w:line="203" w:lineRule="exact"/>
        <w:rPr>
          <w:sz w:val="20"/>
          <w:szCs w:val="20"/>
          <w:color w:val="auto"/>
        </w:rPr>
      </w:pPr>
    </w:p>
    <w:p>
      <w:pPr>
        <w:ind w:left="960" w:right="100"/>
        <w:spacing w:after="0" w:line="286" w:lineRule="auto"/>
        <w:rPr>
          <w:sz w:val="20"/>
          <w:szCs w:val="20"/>
          <w:color w:val="auto"/>
        </w:rPr>
      </w:pPr>
      <w:r>
        <w:rPr>
          <w:rFonts w:ascii="Arial" w:cs="Arial" w:eastAsia="Arial" w:hAnsi="Arial"/>
          <w:sz w:val="23"/>
          <w:szCs w:val="23"/>
          <w:color w:val="auto"/>
        </w:rPr>
        <w:t>When we first introduced the idea of Twisted Tea in 1999, it was an entirely new category for beer drinkers. Now, after nearly a quarter century of continued expansion and growth, we have broad national distribution and a loyal fan base. A “long tail” of competitors have recently jumped into the category, but with a healthy head start, we still have 83% dollar share of the malt-based iced tea business. Twisted Tea is one of the top 10 best-selling beers in America. It has grown steadily and now accounts for more than 50% of our business. In 2024, Twisted Tea was the fastest growing of the top 10 beer brands and has the most diverse audience of all our core brands with more opportunity ahead.</w:t>
      </w:r>
    </w:p>
    <w:p>
      <w:pPr>
        <w:sectPr>
          <w:pgSz w:w="11880" w:h="15480" w:orient="portrait"/>
          <w:cols w:equalWidth="0" w:num="1">
            <w:col w:w="9360"/>
          </w:cols>
          <w:pgMar w:left="1440" w:top="1221" w:right="1080" w:bottom="842" w:gutter="0" w:footer="0" w:header="0"/>
        </w:sectPr>
      </w:pPr>
    </w:p>
    <w:bookmarkStart w:id="4" w:name="page5"/>
    <w:bookmarkEnd w:id="4"/>
    <w:p>
      <w:pP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6124575</wp:posOffset>
            </wp:positionH>
            <wp:positionV relativeFrom="page">
              <wp:posOffset>0</wp:posOffset>
            </wp:positionV>
            <wp:extent cx="1419225" cy="9829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9225" cy="9829800"/>
                    </a:xfrm>
                    <a:prstGeom prst="rect">
                      <a:avLst/>
                    </a:prstGeom>
                    <a:noFill/>
                  </pic:spPr>
                </pic:pic>
              </a:graphicData>
            </a:graphic>
          </wp:anchor>
        </w:drawing>
        <w:t>TRULY HARD SELTZER</w:t>
      </w:r>
    </w:p>
    <w:p>
      <w:pPr>
        <w:spacing w:after="0" w:line="191" w:lineRule="exact"/>
        <w:rPr>
          <w:sz w:val="20"/>
          <w:szCs w:val="20"/>
          <w:color w:val="auto"/>
        </w:rPr>
      </w:pPr>
    </w:p>
    <w:p>
      <w:pPr>
        <w:ind w:right="1080"/>
        <w:spacing w:after="0" w:line="304" w:lineRule="auto"/>
        <w:rPr>
          <w:sz w:val="20"/>
          <w:szCs w:val="20"/>
          <w:color w:val="auto"/>
        </w:rPr>
      </w:pPr>
      <w:r>
        <w:rPr>
          <w:rFonts w:ascii="Arial" w:cs="Arial" w:eastAsia="Arial" w:hAnsi="Arial"/>
          <w:sz w:val="22"/>
          <w:szCs w:val="22"/>
          <w:color w:val="auto"/>
        </w:rPr>
        <w:t>Truly jumped on the scene nearly 10 years ago as lightly flavored spiked seltzer water that quickly became a category and decade-defining product. Truly benefited early from the meteoric rise of a new category and booming consumer interest and has maintained a strong following. In 2024, we introduced Truly Unruly, a higher alcohol by volume (ABV) Truly that tastes great and packs a punch at 8% ABV, capitalizing on growth at the opposite end of the low- and no-alcohol trend.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ANGRY ORCHARD</w:t>
      </w:r>
    </w:p>
    <w:p>
      <w:pPr>
        <w:spacing w:after="0" w:line="198" w:lineRule="exact"/>
        <w:rPr>
          <w:sz w:val="20"/>
          <w:szCs w:val="20"/>
          <w:color w:val="auto"/>
        </w:rPr>
      </w:pPr>
    </w:p>
    <w:p>
      <w:pPr>
        <w:ind w:right="1040"/>
        <w:spacing w:after="0" w:line="287" w:lineRule="auto"/>
        <w:rPr>
          <w:sz w:val="20"/>
          <w:szCs w:val="20"/>
          <w:color w:val="auto"/>
        </w:rPr>
      </w:pPr>
      <w:r>
        <w:rPr>
          <w:rFonts w:ascii="Arial" w:cs="Arial" w:eastAsia="Arial" w:hAnsi="Arial"/>
          <w:sz w:val="23"/>
          <w:szCs w:val="23"/>
          <w:color w:val="auto"/>
        </w:rPr>
        <w:t>In 1997, cider was our first foray outside craft beer. The category had been largely dormant for years, and we invigorated that with an upgraded, hand-crafted product with ingredients from the world’s best orchards. Fifteen years after launching HardCore Hard Cider, we went back to the drawing board and all-in with Angry Orchard Hard Cider. The brand quickly skyrocketed to the number one hard cider in the country, and we now welcome thousands of visitors annually to the Angry Orchard Innovation Cider House and orchard in Walden, New York.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SUN CRUISER</w:t>
      </w:r>
    </w:p>
    <w:p>
      <w:pPr>
        <w:spacing w:after="0" w:line="210" w:lineRule="exact"/>
        <w:rPr>
          <w:sz w:val="20"/>
          <w:szCs w:val="20"/>
          <w:color w:val="auto"/>
        </w:rPr>
      </w:pPr>
    </w:p>
    <w:p>
      <w:pPr>
        <w:ind w:right="1120"/>
        <w:spacing w:after="0" w:line="287" w:lineRule="auto"/>
        <w:rPr>
          <w:sz w:val="20"/>
          <w:szCs w:val="20"/>
          <w:color w:val="auto"/>
        </w:rPr>
      </w:pPr>
      <w:r>
        <w:rPr>
          <w:rFonts w:ascii="Arial" w:cs="Arial" w:eastAsia="Arial" w:hAnsi="Arial"/>
          <w:sz w:val="23"/>
          <w:szCs w:val="23"/>
          <w:color w:val="auto"/>
        </w:rPr>
        <w:t>Seeing an opportunity brewing at the intersection of hard teas and spirit-based ready-to-drink cocktails, we cruised to the market with Sun Cruiser in early 2024. This vodka-based take on hard tea is made with real tea, real vodka, and delicious fruit flavors. Out of the gate, Sun Cruiser demonstrated the kind of fast growth in test markets that we hoped for, so we quickly expanded distribution with the support of our sales team and wholesaler partners. Sun Cruiser is now available in 45 states, with plans to be national in 2025.</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HARD MTN DEW</w:t>
      </w:r>
    </w:p>
    <w:p>
      <w:pPr>
        <w:spacing w:after="0" w:line="204" w:lineRule="exact"/>
        <w:rPr>
          <w:sz w:val="20"/>
          <w:szCs w:val="20"/>
          <w:color w:val="auto"/>
        </w:rPr>
      </w:pPr>
    </w:p>
    <w:p>
      <w:pPr>
        <w:ind w:right="1060"/>
        <w:spacing w:after="0" w:line="321" w:lineRule="auto"/>
        <w:rPr>
          <w:sz w:val="20"/>
          <w:szCs w:val="20"/>
          <w:color w:val="auto"/>
        </w:rPr>
      </w:pPr>
      <w:r>
        <w:rPr>
          <w:rFonts w:ascii="Arial" w:cs="Arial" w:eastAsia="Arial" w:hAnsi="Arial"/>
          <w:sz w:val="21"/>
          <w:szCs w:val="21"/>
          <w:color w:val="auto"/>
        </w:rPr>
        <w:t>In 2021 we announced our plans to introduce a HARD MTN DEW with PepsiCo so MTN DEW lovers of legal drinking age could experience the bold, citrus flavors of the soft drink they loved with 5% alcohol by volume (ABV). We launched HARD MTN DEW regionally in 2022 to much fanfare and have been methodical in expanding its geographic footprint ever since. In 2024 we strategically brought HARD MTN DEW into our capable Boston Beer distributor network to continue expansion across the country.</w:t>
      </w:r>
    </w:p>
    <w:p>
      <w:pPr>
        <w:sectPr>
          <w:pgSz w:w="11880" w:h="15480" w:orient="portrait"/>
          <w:cols w:equalWidth="0" w:num="1">
            <w:col w:w="9500"/>
          </w:cols>
          <w:pgMar w:left="940" w:top="1072" w:right="1440" w:bottom="1440" w:gutter="0" w:footer="0" w:header="0"/>
        </w:sectPr>
      </w:pPr>
    </w:p>
    <w:bookmarkStart w:id="5" w:name="page6"/>
    <w:bookmarkEnd w:id="5"/>
    <w:p>
      <w:pPr>
        <w:ind w:left="1120"/>
        <w:spacing w:after="0"/>
        <w:rPr>
          <w:sz w:val="20"/>
          <w:szCs w:val="20"/>
          <w:color w:val="auto"/>
        </w:rPr>
      </w:pPr>
      <w:r>
        <w:rPr>
          <w:rFonts w:ascii="Arial" w:cs="Arial" w:eastAsia="Arial" w:hAnsi="Arial"/>
          <w:sz w:val="78"/>
          <w:szCs w:val="78"/>
          <w:b w:val="1"/>
          <w:bCs w:val="1"/>
          <w:color w:val="00001F"/>
        </w:rPr>
        <w:t>BEYOND BEYOND BEER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6801485</wp:posOffset>
            </wp:positionH>
            <wp:positionV relativeFrom="paragraph">
              <wp:posOffset>-550545</wp:posOffset>
            </wp:positionV>
            <wp:extent cx="348615" cy="5483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615" cy="5483225"/>
                    </a:xfrm>
                    <a:prstGeom prst="rect">
                      <a:avLst/>
                    </a:prstGeom>
                    <a:noFill/>
                  </pic:spPr>
                </pic:pic>
              </a:graphicData>
            </a:graphic>
          </wp:anchor>
        </w:drawing>
      </w:r>
    </w:p>
    <w:p>
      <w:pPr>
        <w:spacing w:after="0" w:line="226" w:lineRule="exact"/>
        <w:rPr>
          <w:sz w:val="20"/>
          <w:szCs w:val="20"/>
          <w:color w:val="auto"/>
        </w:rPr>
      </w:pPr>
    </w:p>
    <w:p>
      <w:pPr>
        <w:ind w:left="1120" w:right="1780"/>
        <w:spacing w:after="0" w:line="315" w:lineRule="auto"/>
        <w:rPr>
          <w:sz w:val="20"/>
          <w:szCs w:val="20"/>
          <w:color w:val="auto"/>
        </w:rPr>
      </w:pPr>
      <w:r>
        <w:rPr>
          <w:rFonts w:ascii="Arial" w:cs="Arial" w:eastAsia="Arial" w:hAnsi="Arial"/>
          <w:sz w:val="25"/>
          <w:szCs w:val="25"/>
          <w:b w:val="1"/>
          <w:bCs w:val="1"/>
          <w:color w:val="00001F"/>
        </w:rPr>
        <w:t>In addition to making great beer and beyond beer brands, we are also proud of our philanthropic and social impact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42545</wp:posOffset>
            </wp:positionV>
            <wp:extent cx="567690" cy="54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690" cy="5461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120"/>
        <w:spacing w:after="0"/>
        <w:tabs>
          <w:tab w:leader="none" w:pos="6060" w:val="left"/>
        </w:tabs>
        <w:rPr>
          <w:sz w:val="20"/>
          <w:szCs w:val="20"/>
          <w:color w:val="auto"/>
        </w:rPr>
      </w:pPr>
      <w:r>
        <w:rPr>
          <w:rFonts w:ascii="Arial" w:cs="Arial" w:eastAsia="Arial" w:hAnsi="Arial"/>
          <w:sz w:val="23"/>
          <w:szCs w:val="23"/>
          <w:color w:val="auto"/>
        </w:rPr>
        <w:t>Our Brewing the American Dream</w:t>
      </w:r>
      <w:r>
        <w:rPr>
          <w:sz w:val="20"/>
          <w:szCs w:val="20"/>
          <w:color w:val="auto"/>
        </w:rPr>
        <w:tab/>
      </w:r>
      <w:r>
        <w:rPr>
          <w:rFonts w:ascii="Arial" w:cs="Arial" w:eastAsia="Arial" w:hAnsi="Arial"/>
          <w:sz w:val="21"/>
          <w:szCs w:val="21"/>
          <w:color w:val="auto"/>
        </w:rPr>
        <w:t>participate in the 2024 Dogfish Dash,</w:t>
      </w:r>
    </w:p>
    <w:p>
      <w:pPr>
        <w:spacing w:after="0" w:line="46" w:lineRule="exact"/>
        <w:rPr>
          <w:sz w:val="20"/>
          <w:szCs w:val="20"/>
          <w:color w:val="auto"/>
        </w:rPr>
      </w:pPr>
    </w:p>
    <w:p>
      <w:pPr>
        <w:ind w:left="1120"/>
        <w:spacing w:after="0"/>
        <w:tabs>
          <w:tab w:leader="none" w:pos="6060" w:val="left"/>
        </w:tabs>
        <w:rPr>
          <w:sz w:val="20"/>
          <w:szCs w:val="20"/>
          <w:color w:val="auto"/>
        </w:rPr>
      </w:pPr>
      <w:r>
        <w:rPr>
          <w:rFonts w:ascii="Arial" w:cs="Arial" w:eastAsia="Arial" w:hAnsi="Arial"/>
          <w:sz w:val="23"/>
          <w:szCs w:val="23"/>
          <w:color w:val="auto"/>
        </w:rPr>
        <w:t>(BTAD) program completed its 16th</w:t>
      </w:r>
      <w:r>
        <w:rPr>
          <w:sz w:val="20"/>
          <w:szCs w:val="20"/>
          <w:color w:val="auto"/>
        </w:rPr>
        <w:tab/>
      </w:r>
      <w:r>
        <w:rPr>
          <w:rFonts w:ascii="Arial" w:cs="Arial" w:eastAsia="Arial" w:hAnsi="Arial"/>
          <w:sz w:val="21"/>
          <w:szCs w:val="21"/>
          <w:color w:val="auto"/>
        </w:rPr>
        <w:t>raising $100,000 for the Sussex County</w:t>
      </w:r>
    </w:p>
    <w:p>
      <w:pPr>
        <w:spacing w:after="0" w:line="46" w:lineRule="exact"/>
        <w:rPr>
          <w:sz w:val="20"/>
          <w:szCs w:val="20"/>
          <w:color w:val="auto"/>
        </w:rPr>
      </w:pPr>
    </w:p>
    <w:p>
      <w:pPr>
        <w:ind w:left="1120"/>
        <w:spacing w:after="0"/>
        <w:tabs>
          <w:tab w:leader="none" w:pos="6060" w:val="left"/>
        </w:tabs>
        <w:rPr>
          <w:sz w:val="20"/>
          <w:szCs w:val="20"/>
          <w:color w:val="auto"/>
        </w:rPr>
      </w:pPr>
      <w:r>
        <w:rPr>
          <w:rFonts w:ascii="Arial" w:cs="Arial" w:eastAsia="Arial" w:hAnsi="Arial"/>
          <w:sz w:val="23"/>
          <w:szCs w:val="23"/>
          <w:color w:val="auto"/>
        </w:rPr>
        <w:t>year helping entrepreneurs in food</w:t>
      </w:r>
      <w:r>
        <w:rPr>
          <w:sz w:val="20"/>
          <w:szCs w:val="20"/>
          <w:color w:val="auto"/>
        </w:rPr>
        <w:tab/>
      </w:r>
      <w:r>
        <w:rPr>
          <w:rFonts w:ascii="Arial" w:cs="Arial" w:eastAsia="Arial" w:hAnsi="Arial"/>
          <w:sz w:val="21"/>
          <w:szCs w:val="21"/>
          <w:color w:val="auto"/>
        </w:rPr>
        <w:t>Land Trust. Our seafood restaurant</w:t>
      </w:r>
    </w:p>
    <w:p>
      <w:pPr>
        <w:spacing w:after="0" w:line="46" w:lineRule="exact"/>
        <w:rPr>
          <w:sz w:val="20"/>
          <w:szCs w:val="20"/>
          <w:color w:val="auto"/>
        </w:rPr>
      </w:pPr>
    </w:p>
    <w:p>
      <w:pPr>
        <w:ind w:left="1120"/>
        <w:spacing w:after="0"/>
        <w:tabs>
          <w:tab w:leader="none" w:pos="6060" w:val="left"/>
        </w:tabs>
        <w:rPr>
          <w:sz w:val="20"/>
          <w:szCs w:val="20"/>
          <w:color w:val="auto"/>
        </w:rPr>
      </w:pPr>
      <w:r>
        <w:rPr>
          <w:rFonts w:ascii="Arial" w:cs="Arial" w:eastAsia="Arial" w:hAnsi="Arial"/>
          <w:sz w:val="23"/>
          <w:szCs w:val="23"/>
          <w:color w:val="auto"/>
        </w:rPr>
        <w:t>and beverage, hospitality, and brewing</w:t>
      </w:r>
      <w:r>
        <w:rPr>
          <w:sz w:val="20"/>
          <w:szCs w:val="20"/>
          <w:color w:val="auto"/>
        </w:rPr>
        <w:tab/>
      </w:r>
      <w:r>
        <w:rPr>
          <w:rFonts w:ascii="Arial" w:cs="Arial" w:eastAsia="Arial" w:hAnsi="Arial"/>
          <w:sz w:val="21"/>
          <w:szCs w:val="21"/>
          <w:color w:val="auto"/>
        </w:rPr>
        <w:t>Chesapeake &amp; Maine contributed 120</w:t>
      </w:r>
    </w:p>
    <w:p>
      <w:pPr>
        <w:spacing w:after="0" w:line="46" w:lineRule="exact"/>
        <w:rPr>
          <w:sz w:val="20"/>
          <w:szCs w:val="20"/>
          <w:color w:val="auto"/>
        </w:rPr>
      </w:pPr>
    </w:p>
    <w:p>
      <w:pPr>
        <w:ind w:left="1120"/>
        <w:spacing w:after="0"/>
        <w:tabs>
          <w:tab w:leader="none" w:pos="6060" w:val="left"/>
        </w:tabs>
        <w:rPr>
          <w:sz w:val="20"/>
          <w:szCs w:val="20"/>
          <w:color w:val="auto"/>
        </w:rPr>
      </w:pPr>
      <w:r>
        <w:rPr>
          <w:rFonts w:ascii="Arial" w:cs="Arial" w:eastAsia="Arial" w:hAnsi="Arial"/>
          <w:sz w:val="23"/>
          <w:szCs w:val="23"/>
          <w:color w:val="auto"/>
        </w:rPr>
        <w:t>across 41 states. Over the years we have</w:t>
      </w:r>
      <w:r>
        <w:rPr>
          <w:sz w:val="20"/>
          <w:szCs w:val="20"/>
          <w:color w:val="auto"/>
        </w:rPr>
        <w:tab/>
      </w:r>
      <w:r>
        <w:rPr>
          <w:rFonts w:ascii="Arial" w:cs="Arial" w:eastAsia="Arial" w:hAnsi="Arial"/>
          <w:sz w:val="21"/>
          <w:szCs w:val="21"/>
          <w:color w:val="auto"/>
        </w:rPr>
        <w:t>bushels of shellfish shucks to the Don’t</w:t>
      </w:r>
    </w:p>
    <w:p>
      <w:pPr>
        <w:spacing w:after="0" w:line="46" w:lineRule="exact"/>
        <w:rPr>
          <w:sz w:val="20"/>
          <w:szCs w:val="20"/>
          <w:color w:val="auto"/>
        </w:rPr>
      </w:pPr>
    </w:p>
    <w:p>
      <w:pPr>
        <w:ind w:left="1120"/>
        <w:spacing w:after="0"/>
        <w:tabs>
          <w:tab w:leader="none" w:pos="6060" w:val="left"/>
        </w:tabs>
        <w:rPr>
          <w:sz w:val="20"/>
          <w:szCs w:val="20"/>
          <w:color w:val="auto"/>
        </w:rPr>
      </w:pPr>
      <w:r>
        <w:rPr>
          <w:rFonts w:ascii="Arial" w:cs="Arial" w:eastAsia="Arial" w:hAnsi="Arial"/>
          <w:sz w:val="23"/>
          <w:szCs w:val="23"/>
          <w:color w:val="auto"/>
        </w:rPr>
        <w:t>fueled more than 4,500 loans totaling</w:t>
      </w:r>
      <w:r>
        <w:rPr>
          <w:sz w:val="20"/>
          <w:szCs w:val="20"/>
          <w:color w:val="auto"/>
        </w:rPr>
        <w:tab/>
      </w:r>
      <w:r>
        <w:rPr>
          <w:rFonts w:ascii="Arial" w:cs="Arial" w:eastAsia="Arial" w:hAnsi="Arial"/>
          <w:sz w:val="21"/>
          <w:szCs w:val="21"/>
          <w:color w:val="auto"/>
        </w:rPr>
        <w:t>Chuck Your Shucks program. These</w:t>
      </w:r>
    </w:p>
    <w:p>
      <w:pPr>
        <w:spacing w:after="0" w:line="46" w:lineRule="exact"/>
        <w:rPr>
          <w:sz w:val="20"/>
          <w:szCs w:val="20"/>
          <w:color w:val="auto"/>
        </w:rPr>
      </w:pPr>
    </w:p>
    <w:p>
      <w:pPr>
        <w:ind w:left="1120"/>
        <w:spacing w:after="0"/>
        <w:tabs>
          <w:tab w:leader="none" w:pos="6060" w:val="left"/>
        </w:tabs>
        <w:rPr>
          <w:sz w:val="20"/>
          <w:szCs w:val="20"/>
          <w:color w:val="auto"/>
        </w:rPr>
      </w:pPr>
      <w:r>
        <w:rPr>
          <w:rFonts w:ascii="Arial" w:cs="Arial" w:eastAsia="Arial" w:hAnsi="Arial"/>
          <w:sz w:val="23"/>
          <w:szCs w:val="23"/>
          <w:color w:val="auto"/>
        </w:rPr>
        <w:t>nearly $133 million in lending and have</w:t>
      </w:r>
      <w:r>
        <w:rPr>
          <w:sz w:val="20"/>
          <w:szCs w:val="20"/>
          <w:color w:val="auto"/>
        </w:rPr>
        <w:tab/>
      </w:r>
      <w:r>
        <w:rPr>
          <w:rFonts w:ascii="Arial" w:cs="Arial" w:eastAsia="Arial" w:hAnsi="Arial"/>
          <w:sz w:val="20"/>
          <w:szCs w:val="20"/>
          <w:color w:val="auto"/>
        </w:rPr>
        <w:t>shucks made 2,700 oyster shell bags</w:t>
      </w:r>
    </w:p>
    <w:p>
      <w:pPr>
        <w:spacing w:after="0" w:line="46" w:lineRule="exact"/>
        <w:rPr>
          <w:sz w:val="20"/>
          <w:szCs w:val="20"/>
          <w:color w:val="auto"/>
        </w:rPr>
      </w:pPr>
    </w:p>
    <w:p>
      <w:pPr>
        <w:ind w:left="1120"/>
        <w:spacing w:after="0"/>
        <w:tabs>
          <w:tab w:leader="none" w:pos="6060" w:val="left"/>
        </w:tabs>
        <w:rPr>
          <w:sz w:val="20"/>
          <w:szCs w:val="20"/>
          <w:color w:val="auto"/>
        </w:rPr>
      </w:pPr>
      <w:r>
        <w:rPr>
          <w:rFonts w:ascii="Arial" w:cs="Arial" w:eastAsia="Arial" w:hAnsi="Arial"/>
          <w:sz w:val="23"/>
          <w:szCs w:val="23"/>
          <w:color w:val="auto"/>
        </w:rPr>
        <w:t>saved or created nearly 12,000 jobs. Our</w:t>
      </w:r>
      <w:r>
        <w:rPr>
          <w:sz w:val="20"/>
          <w:szCs w:val="20"/>
          <w:color w:val="auto"/>
        </w:rPr>
        <w:tab/>
      </w:r>
      <w:r>
        <w:rPr>
          <w:rFonts w:ascii="Arial" w:cs="Arial" w:eastAsia="Arial" w:hAnsi="Arial"/>
          <w:sz w:val="21"/>
          <w:szCs w:val="21"/>
          <w:color w:val="auto"/>
        </w:rPr>
        <w:t>that help restore shorelines and protect</w:t>
      </w:r>
    </w:p>
    <w:p>
      <w:pPr>
        <w:spacing w:after="0" w:line="46" w:lineRule="exact"/>
        <w:rPr>
          <w:sz w:val="20"/>
          <w:szCs w:val="20"/>
          <w:color w:val="auto"/>
        </w:rPr>
      </w:pPr>
    </w:p>
    <w:p>
      <w:pPr>
        <w:ind w:left="1120"/>
        <w:spacing w:after="0"/>
        <w:tabs>
          <w:tab w:leader="none" w:pos="6060" w:val="left"/>
        </w:tabs>
        <w:rPr>
          <w:sz w:val="20"/>
          <w:szCs w:val="20"/>
          <w:color w:val="auto"/>
        </w:rPr>
      </w:pPr>
      <w:r>
        <w:rPr>
          <w:rFonts w:ascii="Arial" w:cs="Arial" w:eastAsia="Arial" w:hAnsi="Arial"/>
          <w:sz w:val="23"/>
          <w:szCs w:val="23"/>
          <w:color w:val="auto"/>
        </w:rPr>
        <w:t>1:1 coaching program increased 40%</w:t>
      </w:r>
      <w:r>
        <w:rPr>
          <w:sz w:val="20"/>
          <w:szCs w:val="20"/>
          <w:color w:val="auto"/>
        </w:rPr>
        <w:tab/>
      </w:r>
      <w:r>
        <w:rPr>
          <w:rFonts w:ascii="Arial" w:cs="Arial" w:eastAsia="Arial" w:hAnsi="Arial"/>
          <w:sz w:val="21"/>
          <w:szCs w:val="21"/>
          <w:color w:val="auto"/>
        </w:rPr>
        <w:t>marsh edges. We also provided support</w:t>
      </w:r>
    </w:p>
    <w:p>
      <w:pPr>
        <w:spacing w:after="0" w:line="46" w:lineRule="exact"/>
        <w:rPr>
          <w:sz w:val="20"/>
          <w:szCs w:val="20"/>
          <w:color w:val="auto"/>
        </w:rPr>
      </w:pPr>
    </w:p>
    <w:p>
      <w:pPr>
        <w:ind w:left="1120"/>
        <w:spacing w:after="0"/>
        <w:tabs>
          <w:tab w:leader="none" w:pos="6060" w:val="left"/>
        </w:tabs>
        <w:rPr>
          <w:sz w:val="20"/>
          <w:szCs w:val="20"/>
          <w:color w:val="auto"/>
        </w:rPr>
      </w:pPr>
      <w:r>
        <w:rPr>
          <w:rFonts w:ascii="Arial" w:cs="Arial" w:eastAsia="Arial" w:hAnsi="Arial"/>
          <w:sz w:val="23"/>
          <w:szCs w:val="23"/>
          <w:color w:val="auto"/>
        </w:rPr>
        <w:t>in 2024, the equivalent of $5 million in</w:t>
      </w:r>
      <w:r>
        <w:rPr>
          <w:sz w:val="20"/>
          <w:szCs w:val="20"/>
          <w:color w:val="auto"/>
        </w:rPr>
        <w:tab/>
      </w:r>
      <w:r>
        <w:rPr>
          <w:rFonts w:ascii="Arial" w:cs="Arial" w:eastAsia="Arial" w:hAnsi="Arial"/>
          <w:sz w:val="22"/>
          <w:szCs w:val="22"/>
          <w:color w:val="auto"/>
        </w:rPr>
        <w:t>to the Developing Artist Collaboration,</w:t>
      </w:r>
    </w:p>
    <w:p>
      <w:pPr>
        <w:spacing w:after="0" w:line="46" w:lineRule="exact"/>
        <w:rPr>
          <w:sz w:val="20"/>
          <w:szCs w:val="20"/>
          <w:color w:val="auto"/>
        </w:rPr>
      </w:pPr>
    </w:p>
    <w:p>
      <w:pPr>
        <w:ind w:left="1120"/>
        <w:spacing w:after="0"/>
        <w:tabs>
          <w:tab w:leader="none" w:pos="6060" w:val="left"/>
        </w:tabs>
        <w:rPr>
          <w:sz w:val="20"/>
          <w:szCs w:val="20"/>
          <w:color w:val="auto"/>
        </w:rPr>
      </w:pPr>
      <w:r>
        <w:rPr>
          <w:rFonts w:ascii="Arial" w:cs="Arial" w:eastAsia="Arial" w:hAnsi="Arial"/>
          <w:sz w:val="23"/>
          <w:szCs w:val="23"/>
          <w:color w:val="auto"/>
        </w:rPr>
        <w:t>donated professional time.</w:t>
      </w:r>
      <w:r>
        <w:rPr>
          <w:sz w:val="20"/>
          <w:szCs w:val="20"/>
          <w:color w:val="auto"/>
        </w:rPr>
        <w:tab/>
      </w:r>
      <w:r>
        <w:rPr>
          <w:rFonts w:ascii="Arial" w:cs="Arial" w:eastAsia="Arial" w:hAnsi="Arial"/>
          <w:sz w:val="22"/>
          <w:szCs w:val="22"/>
          <w:color w:val="auto"/>
        </w:rPr>
        <w:t>which provides artists with career</w:t>
      </w:r>
    </w:p>
    <w:p>
      <w:pPr>
        <w:jc w:val="right"/>
        <w:ind w:right="1280"/>
        <w:spacing w:after="0" w:line="189" w:lineRule="auto"/>
        <w:rPr>
          <w:sz w:val="20"/>
          <w:szCs w:val="20"/>
          <w:color w:val="auto"/>
        </w:rPr>
      </w:pPr>
      <w:r>
        <w:rPr>
          <w:rFonts w:ascii="Arial" w:cs="Arial" w:eastAsia="Arial" w:hAnsi="Arial"/>
          <w:sz w:val="111"/>
          <w:szCs w:val="111"/>
          <w:b w:val="1"/>
          <w:bCs w:val="1"/>
          <w:i w:val="1"/>
          <w:iCs w:val="1"/>
          <w:color w:val="F5590B"/>
        </w:rPr>
        <w:t xml:space="preserve">“ </w:t>
      </w:r>
      <w:r>
        <w:rPr>
          <w:rFonts w:ascii="Arial" w:cs="Arial" w:eastAsia="Arial" w:hAnsi="Arial"/>
          <w:sz w:val="39"/>
          <w:szCs w:val="39"/>
          <w:b w:val="1"/>
          <w:bCs w:val="1"/>
          <w:i w:val="1"/>
          <w:iCs w:val="1"/>
          <w:color w:val="F5590B"/>
        </w:rPr>
        <w:t>Beer and benevolence have always gone hand in</w:t>
      </w:r>
      <w:r>
        <w:rPr>
          <w:rFonts w:ascii="Arial" w:cs="Arial" w:eastAsia="Arial" w:hAnsi="Arial"/>
          <w:sz w:val="111"/>
          <w:szCs w:val="111"/>
          <w:b w:val="1"/>
          <w:bCs w:val="1"/>
          <w:i w:val="1"/>
          <w:iCs w:val="1"/>
          <w:color w:val="F5590B"/>
        </w:rPr>
        <w:t xml:space="preserve"> </w:t>
      </w:r>
      <w:r>
        <w:rPr>
          <w:rFonts w:ascii="Arial" w:cs="Arial" w:eastAsia="Arial" w:hAnsi="Arial"/>
          <w:sz w:val="39"/>
          <w:szCs w:val="39"/>
          <w:b w:val="1"/>
          <w:bCs w:val="1"/>
          <w:i w:val="1"/>
          <w:iCs w:val="1"/>
          <w:color w:val="F5590B"/>
        </w:rPr>
        <w:t>hand. Giving back to the communities where we</w:t>
      </w:r>
    </w:p>
    <w:p>
      <w:pPr>
        <w:spacing w:after="0" w:line="7" w:lineRule="exact"/>
        <w:rPr>
          <w:sz w:val="20"/>
          <w:szCs w:val="20"/>
          <w:color w:val="auto"/>
        </w:rPr>
      </w:pPr>
    </w:p>
    <w:p>
      <w:pPr>
        <w:ind w:left="1080"/>
        <w:spacing w:after="0"/>
        <w:tabs>
          <w:tab w:leader="none" w:pos="8680" w:val="left"/>
        </w:tabs>
        <w:rPr>
          <w:sz w:val="20"/>
          <w:szCs w:val="20"/>
          <w:color w:val="auto"/>
        </w:rPr>
      </w:pPr>
      <w:r>
        <w:rPr>
          <w:rFonts w:ascii="Arial" w:cs="Arial" w:eastAsia="Arial" w:hAnsi="Arial"/>
          <w:sz w:val="46"/>
          <w:szCs w:val="46"/>
          <w:b w:val="1"/>
          <w:bCs w:val="1"/>
          <w:i w:val="1"/>
          <w:iCs w:val="1"/>
          <w:color w:val="F5590B"/>
        </w:rPr>
        <w:t>live, work and play is what fills our cup.”</w:t>
      </w:r>
      <w:r>
        <w:rPr>
          <w:sz w:val="20"/>
          <w:szCs w:val="20"/>
          <w:color w:val="auto"/>
        </w:rPr>
        <w:tab/>
      </w:r>
      <w:r>
        <w:rPr>
          <w:rFonts w:ascii="Arial" w:cs="Arial" w:eastAsia="Arial" w:hAnsi="Arial"/>
          <w:sz w:val="21"/>
          <w:szCs w:val="21"/>
          <w:b w:val="1"/>
          <w:bCs w:val="1"/>
          <w:color w:val="F5590B"/>
        </w:rPr>
        <w:t>- MARIAH CALAGIONE</w:t>
      </w:r>
    </w:p>
    <w:p>
      <w:pPr>
        <w:sectPr>
          <w:pgSz w:w="11880" w:h="15480" w:orient="portrait"/>
          <w:cols w:equalWidth="0" w:num="1">
            <w:col w:w="11020"/>
          </w:cols>
          <w:pgMar w:left="620" w:top="1221" w:right="240" w:bottom="679" w:gutter="0" w:footer="0" w:header="0"/>
        </w:sectPr>
      </w:pPr>
    </w:p>
    <w:p>
      <w:pPr>
        <w:spacing w:after="0" w:line="298" w:lineRule="exact"/>
        <w:rPr>
          <w:sz w:val="20"/>
          <w:szCs w:val="20"/>
          <w:color w:val="auto"/>
        </w:rPr>
      </w:pPr>
    </w:p>
    <w:p>
      <w:pPr>
        <w:ind w:left="1120" w:right="300"/>
        <w:spacing w:after="0" w:line="317" w:lineRule="auto"/>
        <w:rPr>
          <w:sz w:val="20"/>
          <w:szCs w:val="20"/>
          <w:color w:val="auto"/>
        </w:rPr>
      </w:pPr>
      <w:r>
        <w:rPr>
          <w:rFonts w:ascii="Arial" w:cs="Arial" w:eastAsia="Arial" w:hAnsi="Arial"/>
          <w:sz w:val="21"/>
          <w:szCs w:val="21"/>
          <w:color w:val="auto"/>
        </w:rPr>
        <w:t>Our biggest BTAD undertaking in 2024 was the publication of a beautiful, full-color hardcover cookbook featuring the stories and recipes from 80 BTAD entrepreneurs. Our American Dream Cookbook earned an award at this year’s Readable Feast event, an annual program for New England culinary books.</w:t>
      </w:r>
    </w:p>
    <w:p>
      <w:pPr>
        <w:spacing w:after="0" w:line="243" w:lineRule="exact"/>
        <w:rPr>
          <w:sz w:val="20"/>
          <w:szCs w:val="20"/>
          <w:color w:val="auto"/>
        </w:rPr>
      </w:pPr>
    </w:p>
    <w:p>
      <w:pPr>
        <w:ind w:left="1120" w:right="300"/>
        <w:spacing w:after="0" w:line="302" w:lineRule="auto"/>
        <w:rPr>
          <w:sz w:val="20"/>
          <w:szCs w:val="20"/>
          <w:color w:val="auto"/>
        </w:rPr>
      </w:pPr>
      <w:r>
        <w:rPr>
          <w:rFonts w:ascii="Arial" w:cs="Arial" w:eastAsia="Arial" w:hAnsi="Arial"/>
          <w:sz w:val="22"/>
          <w:szCs w:val="22"/>
          <w:color w:val="auto"/>
        </w:rPr>
        <w:t>In 2024, Dogfish Head’s Beer &amp; Benevolence program invested more than $525,000 into the coastal Delaware community through organizations working to build community, amplify the arts, and make a positive environmental impact. We had 1,900 runners</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1620"/>
        <w:spacing w:after="0" w:line="318" w:lineRule="auto"/>
        <w:rPr>
          <w:sz w:val="20"/>
          <w:szCs w:val="20"/>
          <w:color w:val="auto"/>
        </w:rPr>
      </w:pPr>
      <w:r>
        <w:rPr>
          <w:rFonts w:ascii="Arial" w:cs="Arial" w:eastAsia="Arial" w:hAnsi="Arial"/>
          <w:sz w:val="23"/>
          <w:szCs w:val="23"/>
          <w:color w:val="auto"/>
        </w:rPr>
        <w:t>development, peer connection and physical spaces.</w:t>
      </w:r>
    </w:p>
    <w:p>
      <w:pPr>
        <w:spacing w:after="0" w:line="231" w:lineRule="exact"/>
        <w:rPr>
          <w:sz w:val="20"/>
          <w:szCs w:val="20"/>
          <w:color w:val="auto"/>
        </w:rPr>
      </w:pPr>
    </w:p>
    <w:p>
      <w:pPr>
        <w:ind w:right="980"/>
        <w:spacing w:after="0" w:line="314" w:lineRule="auto"/>
        <w:rPr>
          <w:sz w:val="20"/>
          <w:szCs w:val="20"/>
          <w:color w:val="auto"/>
        </w:rPr>
      </w:pPr>
      <w:r>
        <w:rPr>
          <w:rFonts w:ascii="Arial" w:cs="Arial" w:eastAsia="Arial" w:hAnsi="Arial"/>
          <w:sz w:val="21"/>
          <w:szCs w:val="21"/>
          <w:color w:val="auto"/>
        </w:rPr>
        <w:t>Dogfish Head’s co-founder Mariah Calagione spearheaded the Beer &amp; Benevolence program to support the Delaware community that Dogfish calls home. She’s been the heart and soul of Boston Beer’s social impact initiative and has decided to retire from her “oﬃcial” duties eﬀective this year. Mariah has left an indelible mark on Boston Beer, the southern Delaware community, and our benevolence programs far and 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1572260</wp:posOffset>
            </wp:positionH>
            <wp:positionV relativeFrom="paragraph">
              <wp:posOffset>-1558925</wp:posOffset>
            </wp:positionV>
            <wp:extent cx="1717040" cy="27393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7040" cy="2739390"/>
                    </a:xfrm>
                    <a:prstGeom prst="rect">
                      <a:avLst/>
                    </a:prstGeom>
                    <a:noFill/>
                  </pic:spPr>
                </pic:pic>
              </a:graphicData>
            </a:graphic>
          </wp:anchor>
        </w:drawing>
      </w:r>
    </w:p>
    <w:p>
      <w:pPr>
        <w:sectPr>
          <w:pgSz w:w="11880" w:h="15480" w:orient="portrait"/>
          <w:cols w:equalWidth="0" w:num="2">
            <w:col w:w="5360" w:space="720"/>
            <w:col w:w="4940"/>
          </w:cols>
          <w:pgMar w:left="620" w:top="1221" w:right="240" w:bottom="679" w:gutter="0" w:footer="0" w:header="0"/>
          <w:type w:val="continuous"/>
        </w:sectPr>
      </w:pPr>
    </w:p>
    <w:bookmarkStart w:id="6" w:name="page7"/>
    <w:bookmarkEnd w:id="6"/>
    <w:p>
      <w:pPr>
        <w:ind w:left="5680"/>
        <w:spacing w:after="0"/>
        <w:rPr>
          <w:sz w:val="20"/>
          <w:szCs w:val="20"/>
          <w:color w:val="auto"/>
        </w:rPr>
      </w:pPr>
      <w:r>
        <w:rPr>
          <w:rFonts w:ascii="Arial" w:cs="Arial" w:eastAsia="Arial" w:hAnsi="Arial"/>
          <w:sz w:val="39"/>
          <w:szCs w:val="39"/>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2025 Preview:</w:t>
      </w:r>
    </w:p>
    <w:p>
      <w:pPr>
        <w:ind w:left="5680" w:right="380"/>
        <w:spacing w:after="0" w:line="334" w:lineRule="auto"/>
        <w:rPr>
          <w:sz w:val="20"/>
          <w:szCs w:val="20"/>
          <w:color w:val="auto"/>
        </w:rPr>
      </w:pPr>
      <w:r>
        <w:rPr>
          <w:rFonts w:ascii="Arial" w:cs="Arial" w:eastAsia="Arial" w:hAnsi="Arial"/>
          <w:sz w:val="34"/>
          <w:szCs w:val="34"/>
          <w:b w:val="1"/>
          <w:bCs w:val="1"/>
          <w:color w:val="FFFFFF"/>
        </w:rPr>
        <w:t>Ignite the Core While Searching for More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680" w:right="40"/>
        <w:spacing w:after="0" w:line="291" w:lineRule="auto"/>
        <w:rPr>
          <w:sz w:val="20"/>
          <w:szCs w:val="20"/>
          <w:color w:val="auto"/>
        </w:rPr>
      </w:pPr>
      <w:r>
        <w:rPr>
          <w:rFonts w:ascii="Arial" w:cs="Arial" w:eastAsia="Arial" w:hAnsi="Arial"/>
          <w:sz w:val="23"/>
          <w:szCs w:val="23"/>
          <w:color w:val="FFFFFF"/>
        </w:rPr>
        <w:t>Every September we bring our coworkers together for Beer Fest, an annual conference centered around reflecting on the past year and planning for what’s to come.</w:t>
      </w:r>
    </w:p>
    <w:p>
      <w:pPr>
        <w:spacing w:after="0" w:line="260" w:lineRule="exact"/>
        <w:rPr>
          <w:sz w:val="20"/>
          <w:szCs w:val="20"/>
          <w:color w:val="auto"/>
        </w:rPr>
      </w:pPr>
    </w:p>
    <w:p>
      <w:pPr>
        <w:ind w:left="5680" w:right="20"/>
        <w:spacing w:after="0" w:line="298" w:lineRule="auto"/>
        <w:rPr>
          <w:sz w:val="20"/>
          <w:szCs w:val="20"/>
          <w:color w:val="auto"/>
        </w:rPr>
      </w:pPr>
      <w:r>
        <w:rPr>
          <w:rFonts w:ascii="Arial" w:cs="Arial" w:eastAsia="Arial" w:hAnsi="Arial"/>
          <w:sz w:val="22"/>
          <w:szCs w:val="22"/>
          <w:color w:val="FFFFFF"/>
        </w:rPr>
        <w:t>Our theme in 2024 was Mission Possible: Ignite the Core. We’ve had years where drinkers wanted variety, and we knocked ourselves out with surprising new oﬀerings. For us, 2025 is going to be a year to focus on our core brands and styles. Our mission for the coming year is to prioritize our portfolio, modernize our operations, simplify our cost base, and cultivate our strengths. Our goal is to create savings so we can invest more heavily in our core brands and innovation.</w:t>
      </w:r>
    </w:p>
    <w:p>
      <w:pPr>
        <w:spacing w:after="0" w:line="264" w:lineRule="exact"/>
        <w:rPr>
          <w:sz w:val="20"/>
          <w:szCs w:val="20"/>
          <w:color w:val="auto"/>
        </w:rPr>
      </w:pPr>
    </w:p>
    <w:p>
      <w:pPr>
        <w:ind w:left="5680"/>
        <w:spacing w:after="0" w:line="300" w:lineRule="auto"/>
        <w:rPr>
          <w:sz w:val="20"/>
          <w:szCs w:val="20"/>
          <w:color w:val="auto"/>
        </w:rPr>
      </w:pPr>
      <w:r>
        <w:rPr>
          <w:rFonts w:ascii="Arial" w:cs="Arial" w:eastAsia="Arial" w:hAnsi="Arial"/>
          <w:sz w:val="22"/>
          <w:szCs w:val="22"/>
          <w:color w:val="FFFFFF"/>
        </w:rPr>
        <w:t>Agility is embedded in our entrepreneurial spirit, and we pivot quickly to capture new opportunities. We have strong brands, talented people, and a plan designed to succeed. In 2025 we intend to improve our execution, ensure all our brands reach their potential, and achieve sustainable and balanced growth.</w:t>
      </w:r>
    </w:p>
    <w:p>
      <w:pPr>
        <w:sectPr>
          <w:pgSz w:w="11880" w:h="15480" w:orient="portrait"/>
          <w:cols w:equalWidth="0" w:num="1">
            <w:col w:w="9520"/>
          </w:cols>
          <w:pgMar w:left="1440" w:top="847" w:right="920" w:bottom="1440" w:gutter="0" w:footer="0" w:header="0"/>
        </w:sectPr>
      </w:pPr>
    </w:p>
    <w:bookmarkStart w:id="7" w:name="page8"/>
    <w:bookmarkEnd w:id="7"/>
    <w:p>
      <w:pPr>
        <w:ind w:left="580"/>
        <w:spacing w:after="0"/>
        <w:rPr>
          <w:sz w:val="20"/>
          <w:szCs w:val="20"/>
          <w:color w:val="auto"/>
        </w:rPr>
      </w:pPr>
      <w:r>
        <w:rPr>
          <w:rFonts w:ascii="Arial" w:cs="Arial" w:eastAsia="Arial" w:hAnsi="Arial"/>
          <w:sz w:val="73"/>
          <w:szCs w:val="73"/>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2024 BY THE NUMBERS</w:t>
      </w:r>
    </w:p>
    <w:p>
      <w:pPr>
        <w:sectPr>
          <w:pgSz w:w="11880" w:h="15480" w:orient="portrait"/>
          <w:cols w:equalWidth="0" w:num="1">
            <w:col w:w="10420"/>
          </w:cols>
          <w:pgMar w:left="680" w:top="707" w:right="780" w:bottom="662" w:gutter="0" w:footer="0" w:header="0"/>
        </w:sectPr>
      </w:pPr>
    </w:p>
    <w:p>
      <w:pPr>
        <w:spacing w:after="0" w:line="234" w:lineRule="exact"/>
        <w:rPr>
          <w:sz w:val="20"/>
          <w:szCs w:val="20"/>
          <w:color w:val="auto"/>
        </w:rPr>
      </w:pPr>
    </w:p>
    <w:p>
      <w:pPr>
        <w:jc w:val="right"/>
        <w:spacing w:after="0" w:line="1326" w:lineRule="exact"/>
        <w:rPr>
          <w:sz w:val="20"/>
          <w:szCs w:val="20"/>
          <w:color w:val="auto"/>
        </w:rPr>
      </w:pPr>
      <w:r>
        <w:rPr>
          <w:rFonts w:ascii="Arial" w:cs="Arial" w:eastAsia="Arial" w:hAnsi="Arial"/>
          <w:sz w:val="113"/>
          <w:szCs w:val="113"/>
          <w:b w:val="1"/>
          <w:bCs w:val="1"/>
          <w:color w:val="FFFFFF"/>
          <w:vertAlign w:val="subscript"/>
        </w:rPr>
        <w:t>$</w:t>
      </w:r>
      <w:r>
        <w:rPr>
          <w:rFonts w:ascii="Arial" w:cs="Arial" w:eastAsia="Arial" w:hAnsi="Arial"/>
          <w:sz w:val="98"/>
          <w:szCs w:val="98"/>
          <w:b w:val="1"/>
          <w:bCs w:val="1"/>
          <w:color w:val="FFFFFF"/>
        </w:rPr>
        <w:t>2</w:t>
      </w:r>
      <w:r>
        <w:rPr>
          <w:rFonts w:ascii="Arial" w:cs="Arial" w:eastAsia="Arial" w:hAnsi="Arial"/>
          <w:sz w:val="21"/>
          <w:szCs w:val="21"/>
          <w:color w:val="FFFFFF"/>
        </w:rPr>
        <w:t>Revenue:</w:t>
      </w:r>
      <w:r>
        <w:rPr>
          <w:rFonts w:ascii="Arial" w:cs="Arial" w:eastAsia="Arial" w:hAnsi="Arial"/>
          <w:sz w:val="98"/>
          <w:szCs w:val="98"/>
          <w:b w:val="1"/>
          <w:bCs w:val="1"/>
          <w:color w:val="FFFFFF"/>
        </w:rPr>
        <w:t xml:space="preserve"> B</w:t>
      </w:r>
      <w:r>
        <w:rPr>
          <w:rFonts w:ascii="Arial Unicode MS" w:cs="Arial Unicode MS" w:eastAsia="Arial Unicode MS" w:hAnsi="Arial Unicode MS"/>
          <w:sz w:val="98"/>
          <w:szCs w:val="98"/>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160"/>
        <w:spacing w:after="0"/>
        <w:rPr>
          <w:sz w:val="20"/>
          <w:szCs w:val="20"/>
          <w:color w:val="auto"/>
        </w:rPr>
      </w:pPr>
      <w:r>
        <w:rPr>
          <w:rFonts w:ascii="Arial" w:cs="Arial" w:eastAsia="Arial" w:hAnsi="Arial"/>
          <w:sz w:val="84"/>
          <w:szCs w:val="84"/>
          <w:b w:val="1"/>
          <w:bCs w:val="1"/>
          <w:color w:val="FFFFFF"/>
        </w:rPr>
        <w:t>1</w:t>
      </w:r>
    </w:p>
    <w:p>
      <w:pPr>
        <w:spacing w:after="0" w:line="127" w:lineRule="exact"/>
        <w:rPr>
          <w:sz w:val="20"/>
          <w:szCs w:val="20"/>
          <w:color w:val="auto"/>
        </w:rPr>
      </w:pPr>
    </w:p>
    <w:p>
      <w:pPr>
        <w:jc w:val="right"/>
        <w:ind w:right="160"/>
        <w:spacing w:after="0"/>
        <w:rPr>
          <w:sz w:val="20"/>
          <w:szCs w:val="20"/>
          <w:color w:val="auto"/>
        </w:rPr>
      </w:pPr>
      <w:r>
        <w:rPr>
          <w:rFonts w:ascii="Arial" w:cs="Arial" w:eastAsia="Arial" w:hAnsi="Arial"/>
          <w:sz w:val="84"/>
          <w:szCs w:val="84"/>
          <w:b w:val="1"/>
          <w:bCs w:val="1"/>
          <w:color w:val="FFFFFF"/>
        </w:rPr>
        <w:t>343</w:t>
      </w:r>
    </w:p>
    <w:p>
      <w:pPr>
        <w:spacing w:after="0" w:line="40" w:lineRule="exact"/>
        <w:rPr>
          <w:sz w:val="20"/>
          <w:szCs w:val="20"/>
          <w:color w:val="auto"/>
        </w:rPr>
      </w:pPr>
    </w:p>
    <w:p>
      <w:pPr>
        <w:jc w:val="right"/>
        <w:ind w:right="200"/>
        <w:spacing w:after="0"/>
        <w:rPr>
          <w:sz w:val="20"/>
          <w:szCs w:val="20"/>
          <w:color w:val="auto"/>
        </w:rPr>
      </w:pPr>
      <w:r>
        <w:rPr>
          <w:rFonts w:ascii="Arial" w:cs="Arial" w:eastAsia="Arial" w:hAnsi="Arial"/>
          <w:sz w:val="84"/>
          <w:szCs w:val="84"/>
          <w:b w:val="1"/>
          <w:bCs w:val="1"/>
          <w:color w:val="FFFFFF"/>
        </w:rPr>
        <w:t>10,600</w:t>
      </w:r>
    </w:p>
    <w:p>
      <w:pPr>
        <w:spacing w:after="0" w:line="33" w:lineRule="exact"/>
        <w:rPr>
          <w:sz w:val="20"/>
          <w:szCs w:val="20"/>
          <w:color w:val="auto"/>
        </w:rPr>
      </w:pPr>
    </w:p>
    <w:p>
      <w:pPr>
        <w:jc w:val="right"/>
        <w:ind w:right="220"/>
        <w:spacing w:after="0"/>
        <w:rPr>
          <w:sz w:val="20"/>
          <w:szCs w:val="20"/>
          <w:color w:val="auto"/>
        </w:rPr>
      </w:pPr>
      <w:r>
        <w:rPr>
          <w:rFonts w:ascii="Arial" w:cs="Arial" w:eastAsia="Arial" w:hAnsi="Arial"/>
          <w:sz w:val="84"/>
          <w:szCs w:val="84"/>
          <w:b w:val="1"/>
          <w:bCs w:val="1"/>
          <w:color w:val="FFFFFF"/>
        </w:rPr>
        <w:t>2,820</w:t>
      </w:r>
    </w:p>
    <w:p>
      <w:pPr>
        <w:spacing w:after="0" w:line="33" w:lineRule="exact"/>
        <w:rPr>
          <w:sz w:val="20"/>
          <w:szCs w:val="20"/>
          <w:color w:val="auto"/>
        </w:rPr>
      </w:pPr>
    </w:p>
    <w:p>
      <w:pPr>
        <w:jc w:val="right"/>
        <w:ind w:right="240"/>
        <w:spacing w:after="0"/>
        <w:rPr>
          <w:sz w:val="20"/>
          <w:szCs w:val="20"/>
          <w:color w:val="auto"/>
        </w:rPr>
      </w:pPr>
      <w:r>
        <w:rPr>
          <w:rFonts w:ascii="Arial" w:cs="Arial" w:eastAsia="Arial" w:hAnsi="Arial"/>
          <w:sz w:val="84"/>
          <w:szCs w:val="84"/>
          <w:b w:val="1"/>
          <w:bCs w:val="1"/>
          <w:color w:val="FFFFFF"/>
        </w:rPr>
        <w:t>56</w:t>
      </w:r>
    </w:p>
    <w:p>
      <w:pPr>
        <w:spacing w:after="0" w:line="87" w:lineRule="exact"/>
        <w:rPr>
          <w:sz w:val="20"/>
          <w:szCs w:val="20"/>
          <w:color w:val="auto"/>
        </w:rPr>
      </w:pPr>
    </w:p>
    <w:p>
      <w:pPr>
        <w:jc w:val="right"/>
        <w:ind w:right="240"/>
        <w:spacing w:after="0"/>
        <w:rPr>
          <w:sz w:val="20"/>
          <w:szCs w:val="20"/>
          <w:color w:val="auto"/>
        </w:rPr>
      </w:pPr>
      <w:r>
        <w:rPr>
          <w:rFonts w:ascii="Arial" w:cs="Arial" w:eastAsia="Arial" w:hAnsi="Arial"/>
          <w:sz w:val="84"/>
          <w:szCs w:val="84"/>
          <w:b w:val="1"/>
          <w:bCs w:val="1"/>
          <w:color w:val="FFFFFF"/>
        </w:rPr>
        <w:t>200%</w:t>
      </w:r>
    </w:p>
    <w:p>
      <w:pPr>
        <w:spacing w:after="0" w:line="97" w:lineRule="exact"/>
        <w:rPr>
          <w:sz w:val="20"/>
          <w:szCs w:val="20"/>
          <w:color w:val="auto"/>
        </w:rPr>
      </w:pPr>
    </w:p>
    <w:p>
      <w:pPr>
        <w:jc w:val="right"/>
        <w:ind w:right="120"/>
        <w:spacing w:after="0"/>
        <w:rPr>
          <w:sz w:val="20"/>
          <w:szCs w:val="20"/>
          <w:color w:val="auto"/>
        </w:rPr>
      </w:pPr>
      <w:r>
        <w:rPr>
          <w:rFonts w:ascii="Arial" w:cs="Arial" w:eastAsia="Arial" w:hAnsi="Arial"/>
          <w:sz w:val="84"/>
          <w:szCs w:val="84"/>
          <w:b w:val="1"/>
          <w:bCs w:val="1"/>
          <w:color w:val="FFFFFF"/>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7"/>
          <w:szCs w:val="17"/>
          <w:color w:val="FFFFFF"/>
        </w:rPr>
        <w:t>New CEO</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right="640"/>
        <w:spacing w:after="0" w:line="370" w:lineRule="auto"/>
        <w:rPr>
          <w:sz w:val="20"/>
          <w:szCs w:val="20"/>
          <w:color w:val="auto"/>
        </w:rPr>
      </w:pPr>
      <w:r>
        <w:rPr>
          <w:rFonts w:ascii="Arial" w:cs="Arial" w:eastAsia="Arial" w:hAnsi="Arial"/>
          <w:sz w:val="15"/>
          <w:szCs w:val="15"/>
          <w:color w:val="FFFFFF"/>
        </w:rPr>
        <w:t>Coworkers celebrating anniversary milestones</w:t>
      </w:r>
    </w:p>
    <w:p>
      <w:pPr>
        <w:spacing w:after="0" w:line="200" w:lineRule="exact"/>
        <w:rPr>
          <w:sz w:val="20"/>
          <w:szCs w:val="20"/>
          <w:color w:val="auto"/>
        </w:rPr>
      </w:pPr>
    </w:p>
    <w:p>
      <w:pPr>
        <w:spacing w:after="0" w:line="329" w:lineRule="exact"/>
        <w:rPr>
          <w:sz w:val="20"/>
          <w:szCs w:val="20"/>
          <w:color w:val="auto"/>
        </w:rPr>
      </w:pPr>
    </w:p>
    <w:p>
      <w:pPr>
        <w:ind w:right="680"/>
        <w:spacing w:after="0" w:line="370" w:lineRule="auto"/>
        <w:rPr>
          <w:sz w:val="20"/>
          <w:szCs w:val="20"/>
          <w:color w:val="auto"/>
        </w:rPr>
      </w:pPr>
      <w:r>
        <w:rPr>
          <w:rFonts w:ascii="Arial" w:cs="Arial" w:eastAsia="Arial" w:hAnsi="Arial"/>
          <w:sz w:val="15"/>
          <w:szCs w:val="15"/>
          <w:color w:val="FFFFFF"/>
        </w:rPr>
        <w:t>Cheers recognitions sent among coworkers</w:t>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5"/>
          <w:szCs w:val="15"/>
          <w:color w:val="FFFFFF"/>
        </w:rPr>
        <w:t>Hours volunteered by coworkers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700"/>
        <w:spacing w:after="0" w:line="370" w:lineRule="auto"/>
        <w:rPr>
          <w:sz w:val="20"/>
          <w:szCs w:val="20"/>
          <w:color w:val="auto"/>
        </w:rPr>
      </w:pPr>
      <w:r>
        <w:rPr>
          <w:rFonts w:ascii="Arial" w:cs="Arial" w:eastAsia="Arial" w:hAnsi="Arial"/>
          <w:sz w:val="15"/>
          <w:szCs w:val="15"/>
          <w:color w:val="FFFFFF"/>
        </w:rPr>
        <w:t>Non-profits supported across the U.S.</w:t>
      </w:r>
    </w:p>
    <w:p>
      <w:pPr>
        <w:spacing w:after="0" w:line="365" w:lineRule="exact"/>
        <w:rPr>
          <w:sz w:val="20"/>
          <w:szCs w:val="20"/>
          <w:color w:val="auto"/>
        </w:rPr>
      </w:pPr>
    </w:p>
    <w:p>
      <w:pPr>
        <w:ind w:left="20" w:right="600"/>
        <w:spacing w:after="0" w:line="339" w:lineRule="auto"/>
        <w:rPr>
          <w:sz w:val="20"/>
          <w:szCs w:val="20"/>
          <w:color w:val="auto"/>
        </w:rPr>
      </w:pPr>
      <w:r>
        <w:rPr>
          <w:rFonts w:ascii="Arial" w:cs="Arial" w:eastAsia="Arial" w:hAnsi="Arial"/>
          <w:sz w:val="15"/>
          <w:szCs w:val="15"/>
          <w:color w:val="FFFFFF"/>
        </w:rPr>
        <w:t>CO2 recapture capacity improvements at our Cincinnatti Brewery</w:t>
      </w:r>
    </w:p>
    <w:p>
      <w:pPr>
        <w:spacing w:after="0" w:line="200" w:lineRule="exact"/>
        <w:rPr>
          <w:sz w:val="20"/>
          <w:szCs w:val="20"/>
          <w:color w:val="auto"/>
        </w:rPr>
      </w:pPr>
    </w:p>
    <w:p>
      <w:pPr>
        <w:spacing w:after="0" w:line="249" w:lineRule="exact"/>
        <w:rPr>
          <w:sz w:val="20"/>
          <w:szCs w:val="20"/>
          <w:color w:val="auto"/>
        </w:rPr>
      </w:pPr>
    </w:p>
    <w:p>
      <w:pPr>
        <w:ind w:left="100" w:right="180"/>
        <w:spacing w:after="0" w:line="370" w:lineRule="auto"/>
        <w:rPr>
          <w:sz w:val="20"/>
          <w:szCs w:val="20"/>
          <w:color w:val="auto"/>
        </w:rPr>
      </w:pPr>
      <w:r>
        <w:rPr>
          <w:rFonts w:ascii="Arial" w:cs="Arial" w:eastAsia="Arial" w:hAnsi="Arial"/>
          <w:sz w:val="15"/>
          <w:szCs w:val="15"/>
          <w:color w:val="FFFFFF"/>
        </w:rPr>
        <w:t>Recipes inside the “Our American Dream” Cookbook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5"/>
        </w:trPr>
        <w:tc>
          <w:tcPr>
            <w:tcW w:w="4480" w:type="dxa"/>
            <w:vAlign w:val="bottom"/>
            <w:gridSpan w:val="2"/>
          </w:tcPr>
          <w:p>
            <w:pPr>
              <w:ind w:left="980"/>
              <w:spacing w:after="0"/>
              <w:rPr>
                <w:sz w:val="20"/>
                <w:szCs w:val="20"/>
                <w:color w:val="auto"/>
              </w:rPr>
            </w:pPr>
            <w:r>
              <w:rPr>
                <w:rFonts w:ascii="Arial" w:cs="Arial" w:eastAsia="Arial" w:hAnsi="Arial"/>
                <w:sz w:val="22"/>
                <w:szCs w:val="22"/>
                <w:color w:val="FFFFFF"/>
              </w:rPr>
              <w:t>Number of 16oz pints sold in our</w:t>
            </w:r>
          </w:p>
        </w:tc>
        <w:tc>
          <w:tcPr>
            <w:tcW w:w="0" w:type="dxa"/>
            <w:vAlign w:val="bottom"/>
          </w:tcPr>
          <w:p>
            <w:pPr>
              <w:spacing w:after="0"/>
              <w:rPr>
                <w:sz w:val="1"/>
                <w:szCs w:val="1"/>
                <w:color w:val="auto"/>
              </w:rPr>
            </w:pPr>
          </w:p>
        </w:tc>
      </w:tr>
      <w:tr>
        <w:trPr>
          <w:trHeight w:val="248"/>
        </w:trPr>
        <w:tc>
          <w:tcPr>
            <w:tcW w:w="4480" w:type="dxa"/>
            <w:vAlign w:val="bottom"/>
            <w:gridSpan w:val="2"/>
          </w:tcPr>
          <w:p>
            <w:pPr>
              <w:ind w:left="980"/>
              <w:spacing w:after="0" w:line="248" w:lineRule="exact"/>
              <w:rPr>
                <w:sz w:val="20"/>
                <w:szCs w:val="20"/>
                <w:color w:val="auto"/>
              </w:rPr>
            </w:pPr>
            <w:r>
              <w:rPr>
                <w:rFonts w:ascii="Arial" w:cs="Arial" w:eastAsia="Arial" w:hAnsi="Arial"/>
                <w:sz w:val="22"/>
                <w:szCs w:val="22"/>
                <w:color w:val="FFFFFF"/>
              </w:rPr>
              <w:t>taprooms in 2024</w:t>
            </w:r>
          </w:p>
        </w:tc>
        <w:tc>
          <w:tcPr>
            <w:tcW w:w="0" w:type="dxa"/>
            <w:vAlign w:val="bottom"/>
          </w:tcPr>
          <w:p>
            <w:pPr>
              <w:spacing w:after="0"/>
              <w:rPr>
                <w:sz w:val="1"/>
                <w:szCs w:val="1"/>
                <w:color w:val="auto"/>
              </w:rPr>
            </w:pPr>
          </w:p>
        </w:tc>
      </w:tr>
      <w:tr>
        <w:trPr>
          <w:trHeight w:val="1611"/>
        </w:trPr>
        <w:tc>
          <w:tcPr>
            <w:tcW w:w="4480" w:type="dxa"/>
            <w:vAlign w:val="bottom"/>
            <w:gridSpan w:val="2"/>
          </w:tcPr>
          <w:p>
            <w:pPr>
              <w:ind w:left="920"/>
              <w:spacing w:after="0"/>
              <w:rPr>
                <w:sz w:val="20"/>
                <w:szCs w:val="20"/>
                <w:color w:val="auto"/>
              </w:rPr>
            </w:pPr>
            <w:r>
              <w:rPr>
                <w:rFonts w:ascii="Arial" w:cs="Arial" w:eastAsia="Arial" w:hAnsi="Arial"/>
                <w:sz w:val="118"/>
                <w:szCs w:val="118"/>
                <w:b w:val="1"/>
                <w:bCs w:val="1"/>
                <w:color w:val="FFFFFF"/>
              </w:rPr>
              <w:t>1.82M</w:t>
            </w:r>
          </w:p>
        </w:tc>
        <w:tc>
          <w:tcPr>
            <w:tcW w:w="0" w:type="dxa"/>
            <w:vAlign w:val="bottom"/>
          </w:tcPr>
          <w:p>
            <w:pPr>
              <w:spacing w:after="0"/>
              <w:rPr>
                <w:sz w:val="1"/>
                <w:szCs w:val="1"/>
                <w:color w:val="auto"/>
              </w:rPr>
            </w:pPr>
          </w:p>
        </w:tc>
      </w:tr>
      <w:tr>
        <w:trPr>
          <w:trHeight w:val="408"/>
        </w:trPr>
        <w:tc>
          <w:tcPr>
            <w:tcW w:w="2120" w:type="dxa"/>
            <w:vAlign w:val="bottom"/>
          </w:tcPr>
          <w:p>
            <w:pPr>
              <w:jc w:val="right"/>
              <w:spacing w:after="0" w:line="408" w:lineRule="exact"/>
              <w:rPr>
                <w:sz w:val="20"/>
                <w:szCs w:val="20"/>
                <w:color w:val="auto"/>
              </w:rPr>
            </w:pPr>
            <w:r>
              <w:rPr>
                <w:rFonts w:ascii="Arial" w:cs="Arial" w:eastAsia="Arial" w:hAnsi="Arial"/>
                <w:sz w:val="47"/>
                <w:szCs w:val="47"/>
                <w:b w:val="1"/>
                <w:bCs w:val="1"/>
                <w:color w:val="FFFFFF"/>
              </w:rPr>
              <w:t>1,200</w:t>
            </w:r>
          </w:p>
        </w:tc>
        <w:tc>
          <w:tcPr>
            <w:tcW w:w="2360" w:type="dxa"/>
            <w:vAlign w:val="bottom"/>
          </w:tcPr>
          <w:p>
            <w:pPr>
              <w:ind w:left="140"/>
              <w:spacing w:after="0"/>
              <w:rPr>
                <w:sz w:val="20"/>
                <w:szCs w:val="20"/>
                <w:color w:val="auto"/>
              </w:rPr>
            </w:pPr>
            <w:r>
              <w:rPr>
                <w:rFonts w:ascii="Arial" w:cs="Arial" w:eastAsia="Arial" w:hAnsi="Arial"/>
                <w:sz w:val="17"/>
                <w:szCs w:val="17"/>
                <w:color w:val="FFFFFF"/>
              </w:rPr>
              <w:t>Tea was invited to</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7"/>
                <w:szCs w:val="17"/>
                <w:color w:val="FFFFFF"/>
              </w:rPr>
              <w:t>Number of weddings Twisted</w:t>
            </w:r>
          </w:p>
        </w:tc>
        <w:tc>
          <w:tcPr>
            <w:tcW w:w="0" w:type="dxa"/>
            <w:vAlign w:val="bottom"/>
          </w:tcPr>
          <w:p>
            <w:pPr>
              <w:spacing w:after="0"/>
              <w:rPr>
                <w:sz w:val="1"/>
                <w:szCs w:val="1"/>
                <w:color w:val="auto"/>
              </w:rPr>
            </w:pPr>
          </w:p>
        </w:tc>
      </w:tr>
      <w:tr>
        <w:trPr>
          <w:trHeight w:val="1012"/>
        </w:trPr>
        <w:tc>
          <w:tcPr>
            <w:tcW w:w="21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Arial" w:cs="Arial" w:eastAsia="Arial" w:hAnsi="Arial"/>
                <w:sz w:val="17"/>
                <w:szCs w:val="17"/>
                <w:color w:val="FFFFFF"/>
              </w:rPr>
              <w:t>Number of Sun Cruiser fans</w:t>
            </w:r>
          </w:p>
        </w:tc>
        <w:tc>
          <w:tcPr>
            <w:tcW w:w="0" w:type="dxa"/>
            <w:vAlign w:val="bottom"/>
          </w:tcPr>
          <w:p>
            <w:pPr>
              <w:spacing w:after="0"/>
              <w:rPr>
                <w:sz w:val="1"/>
                <w:szCs w:val="1"/>
                <w:color w:val="auto"/>
              </w:rPr>
            </w:pPr>
          </w:p>
        </w:tc>
      </w:tr>
      <w:tr>
        <w:trPr>
          <w:trHeight w:val="564"/>
        </w:trPr>
        <w:tc>
          <w:tcPr>
            <w:tcW w:w="4480" w:type="dxa"/>
            <w:vAlign w:val="bottom"/>
            <w:gridSpan w:val="2"/>
          </w:tcPr>
          <w:p>
            <w:pPr>
              <w:spacing w:after="0" w:line="564" w:lineRule="exact"/>
              <w:rPr>
                <w:sz w:val="20"/>
                <w:szCs w:val="20"/>
                <w:color w:val="auto"/>
              </w:rPr>
            </w:pPr>
            <w:r>
              <w:rPr>
                <w:rFonts w:ascii="Arial" w:cs="Arial" w:eastAsia="Arial" w:hAnsi="Arial"/>
                <w:sz w:val="65"/>
                <w:szCs w:val="65"/>
                <w:b w:val="1"/>
                <w:bCs w:val="1"/>
                <w:color w:val="FFFFFF"/>
              </w:rPr>
              <w:t xml:space="preserve">2,317 </w:t>
            </w:r>
            <w:r>
              <w:rPr>
                <w:rFonts w:ascii="Arial" w:cs="Arial" w:eastAsia="Arial" w:hAnsi="Arial"/>
                <w:sz w:val="15"/>
                <w:szCs w:val="15"/>
                <w:color w:val="FFFFFF"/>
              </w:rPr>
              <w:t>willing to relocate to Yuma, Ariz.</w:t>
            </w:r>
          </w:p>
        </w:tc>
        <w:tc>
          <w:tcPr>
            <w:tcW w:w="0" w:type="dxa"/>
            <w:vAlign w:val="bottom"/>
          </w:tcPr>
          <w:p>
            <w:pPr>
              <w:spacing w:after="0"/>
              <w:rPr>
                <w:sz w:val="1"/>
                <w:szCs w:val="1"/>
                <w:color w:val="auto"/>
              </w:rPr>
            </w:pPr>
          </w:p>
        </w:tc>
      </w:tr>
      <w:tr>
        <w:trPr>
          <w:trHeight w:val="269"/>
        </w:trPr>
        <w:tc>
          <w:tcPr>
            <w:tcW w:w="4480" w:type="dxa"/>
            <w:vAlign w:val="bottom"/>
            <w:gridSpan w:val="2"/>
          </w:tcPr>
          <w:p>
            <w:pPr>
              <w:spacing w:after="0" w:line="269" w:lineRule="exact"/>
              <w:rPr>
                <w:sz w:val="20"/>
                <w:szCs w:val="20"/>
                <w:color w:val="auto"/>
              </w:rPr>
            </w:pPr>
            <w:r>
              <w:rPr>
                <w:rFonts w:ascii="Arial" w:cs="Arial" w:eastAsia="Arial" w:hAnsi="Arial"/>
                <w:sz w:val="31"/>
                <w:szCs w:val="31"/>
                <w:b w:val="1"/>
                <w:bCs w:val="1"/>
                <w:color w:val="FFFFFF"/>
              </w:rPr>
              <w:t xml:space="preserve">3,000 </w:t>
            </w:r>
            <w:r>
              <w:rPr>
                <w:rFonts w:ascii="Arial" w:cs="Arial" w:eastAsia="Arial" w:hAnsi="Arial"/>
                <w:sz w:val="13"/>
                <w:szCs w:val="13"/>
                <w:color w:val="FFFFFF"/>
              </w:rPr>
              <w:t>families for the holidays</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7"/>
                <w:szCs w:val="17"/>
                <w:color w:val="FFFFFF"/>
              </w:rPr>
              <w:t>Number of HARD MTN DEW</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7"/>
                <w:szCs w:val="17"/>
                <w:color w:val="FFFFFF"/>
              </w:rPr>
              <w:t>fans willing to ditch their</w:t>
            </w:r>
          </w:p>
        </w:tc>
        <w:tc>
          <w:tcPr>
            <w:tcW w:w="0" w:type="dxa"/>
            <w:vAlign w:val="bottom"/>
          </w:tcPr>
          <w:p>
            <w:pPr>
              <w:spacing w:after="0"/>
              <w:rPr>
                <w:sz w:val="1"/>
                <w:szCs w:val="1"/>
                <w:color w:val="auto"/>
              </w:rPr>
            </w:pPr>
          </w:p>
        </w:tc>
      </w:tr>
      <w:tr>
        <w:trPr>
          <w:trHeight w:val="775"/>
        </w:trPr>
        <w:tc>
          <w:tcPr>
            <w:tcW w:w="2120" w:type="dxa"/>
            <w:vAlign w:val="bottom"/>
            <w:vMerge w:val="restart"/>
          </w:tcPr>
          <w:p>
            <w:pPr>
              <w:jc w:val="right"/>
              <w:spacing w:after="0"/>
              <w:rPr>
                <w:sz w:val="20"/>
                <w:szCs w:val="20"/>
                <w:color w:val="auto"/>
              </w:rPr>
            </w:pPr>
            <w:r>
              <w:rPr>
                <w:rFonts w:ascii="Arial" w:cs="Arial" w:eastAsia="Arial" w:hAnsi="Arial"/>
                <w:sz w:val="84"/>
                <w:szCs w:val="84"/>
                <w:b w:val="1"/>
                <w:bCs w:val="1"/>
                <w:color w:val="FFFFFF"/>
              </w:rPr>
              <w:t>115</w:t>
            </w:r>
          </w:p>
        </w:tc>
        <w:tc>
          <w:tcPr>
            <w:tcW w:w="2360" w:type="dxa"/>
            <w:vAlign w:val="bottom"/>
          </w:tcPr>
          <w:p>
            <w:pPr>
              <w:ind w:left="140"/>
              <w:spacing w:after="0"/>
              <w:rPr>
                <w:sz w:val="20"/>
                <w:szCs w:val="20"/>
                <w:color w:val="auto"/>
              </w:rPr>
            </w:pPr>
            <w:r>
              <w:rPr>
                <w:rFonts w:ascii="Arial" w:cs="Arial" w:eastAsia="Arial" w:hAnsi="Arial"/>
                <w:sz w:val="17"/>
                <w:szCs w:val="17"/>
                <w:color w:val="FFFFFF"/>
                <w:w w:val="98"/>
              </w:rPr>
              <w:t>Number of calories in Samuel</w:t>
            </w:r>
          </w:p>
        </w:tc>
        <w:tc>
          <w:tcPr>
            <w:tcW w:w="0" w:type="dxa"/>
            <w:vAlign w:val="bottom"/>
          </w:tcPr>
          <w:p>
            <w:pPr>
              <w:spacing w:after="0"/>
              <w:rPr>
                <w:sz w:val="1"/>
                <w:szCs w:val="1"/>
                <w:color w:val="auto"/>
              </w:rPr>
            </w:pPr>
          </w:p>
        </w:tc>
      </w:tr>
      <w:tr>
        <w:trPr>
          <w:trHeight w:val="522"/>
        </w:trPr>
        <w:tc>
          <w:tcPr>
            <w:tcW w:w="2120" w:type="dxa"/>
            <w:vAlign w:val="bottom"/>
            <w:vMerge w:val="continue"/>
          </w:tcPr>
          <w:p>
            <w:pPr>
              <w:spacing w:after="0"/>
              <w:rPr>
                <w:sz w:val="24"/>
                <w:szCs w:val="24"/>
                <w:color w:val="auto"/>
              </w:rPr>
            </w:pPr>
          </w:p>
        </w:tc>
        <w:tc>
          <w:tcPr>
            <w:tcW w:w="2360" w:type="dxa"/>
            <w:vAlign w:val="bottom"/>
          </w:tcPr>
          <w:p>
            <w:pPr>
              <w:ind w:left="140"/>
              <w:spacing w:after="0"/>
              <w:rPr>
                <w:sz w:val="20"/>
                <w:szCs w:val="20"/>
                <w:color w:val="auto"/>
              </w:rPr>
            </w:pPr>
            <w:r>
              <w:rPr>
                <w:rFonts w:ascii="Arial" w:cs="Arial" w:eastAsia="Arial" w:hAnsi="Arial"/>
                <w:sz w:val="17"/>
                <w:szCs w:val="17"/>
                <w:color w:val="FFFFFF"/>
              </w:rPr>
              <w:t>Adams American Light</w:t>
            </w:r>
          </w:p>
        </w:tc>
        <w:tc>
          <w:tcPr>
            <w:tcW w:w="0" w:type="dxa"/>
            <w:vAlign w:val="bottom"/>
          </w:tcPr>
          <w:p>
            <w:pPr>
              <w:spacing w:after="0"/>
              <w:rPr>
                <w:sz w:val="1"/>
                <w:szCs w:val="1"/>
                <w:color w:val="auto"/>
              </w:rPr>
            </w:pPr>
          </w:p>
        </w:tc>
      </w:tr>
      <w:tr>
        <w:trPr>
          <w:trHeight w:val="566"/>
        </w:trPr>
        <w:tc>
          <w:tcPr>
            <w:tcW w:w="2120" w:type="dxa"/>
            <w:vAlign w:val="bottom"/>
            <w:vMerge w:val="restart"/>
          </w:tcPr>
          <w:p>
            <w:pPr>
              <w:jc w:val="right"/>
              <w:spacing w:after="0"/>
              <w:rPr>
                <w:sz w:val="20"/>
                <w:szCs w:val="20"/>
                <w:color w:val="auto"/>
              </w:rPr>
            </w:pPr>
            <w:r>
              <w:rPr>
                <w:rFonts w:ascii="Arial" w:cs="Arial" w:eastAsia="Arial" w:hAnsi="Arial"/>
                <w:sz w:val="84"/>
                <w:szCs w:val="84"/>
                <w:b w:val="1"/>
                <w:bCs w:val="1"/>
                <w:color w:val="FFFFFF"/>
              </w:rPr>
              <w:t>0</w:t>
            </w:r>
          </w:p>
        </w:tc>
        <w:tc>
          <w:tcPr>
            <w:tcW w:w="2360" w:type="dxa"/>
            <w:vAlign w:val="bottom"/>
          </w:tcPr>
          <w:p>
            <w:pPr>
              <w:ind w:left="140"/>
              <w:spacing w:after="0"/>
              <w:rPr>
                <w:sz w:val="20"/>
                <w:szCs w:val="20"/>
                <w:color w:val="auto"/>
              </w:rPr>
            </w:pPr>
            <w:r>
              <w:rPr>
                <w:rFonts w:ascii="Arial" w:cs="Arial" w:eastAsia="Arial" w:hAnsi="Arial"/>
                <w:sz w:val="17"/>
                <w:szCs w:val="17"/>
                <w:color w:val="FFFFFF"/>
              </w:rPr>
              <w:t>Pairs of pants worn at Truly’s</w:t>
            </w:r>
          </w:p>
        </w:tc>
        <w:tc>
          <w:tcPr>
            <w:tcW w:w="0" w:type="dxa"/>
            <w:vAlign w:val="bottom"/>
          </w:tcPr>
          <w:p>
            <w:pPr>
              <w:spacing w:after="0"/>
              <w:rPr>
                <w:sz w:val="1"/>
                <w:szCs w:val="1"/>
                <w:color w:val="auto"/>
              </w:rPr>
            </w:pPr>
          </w:p>
        </w:tc>
      </w:tr>
      <w:tr>
        <w:trPr>
          <w:trHeight w:val="499"/>
        </w:trPr>
        <w:tc>
          <w:tcPr>
            <w:tcW w:w="2120" w:type="dxa"/>
            <w:vAlign w:val="bottom"/>
            <w:vMerge w:val="continue"/>
          </w:tcPr>
          <w:p>
            <w:pPr>
              <w:spacing w:after="0"/>
              <w:rPr>
                <w:sz w:val="24"/>
                <w:szCs w:val="24"/>
                <w:color w:val="auto"/>
              </w:rPr>
            </w:pPr>
          </w:p>
        </w:tc>
        <w:tc>
          <w:tcPr>
            <w:tcW w:w="2360" w:type="dxa"/>
            <w:vAlign w:val="bottom"/>
          </w:tcPr>
          <w:p>
            <w:pPr>
              <w:ind w:left="140"/>
              <w:spacing w:after="0"/>
              <w:rPr>
                <w:sz w:val="20"/>
                <w:szCs w:val="20"/>
                <w:color w:val="auto"/>
              </w:rPr>
            </w:pPr>
            <w:r>
              <w:rPr>
                <w:rFonts w:ascii="Arial" w:cs="Arial" w:eastAsia="Arial" w:hAnsi="Arial"/>
                <w:sz w:val="17"/>
                <w:szCs w:val="17"/>
                <w:color w:val="FFFFFF"/>
              </w:rPr>
              <w:t>Bottomless Brunch</w:t>
            </w:r>
          </w:p>
        </w:tc>
        <w:tc>
          <w:tcPr>
            <w:tcW w:w="0" w:type="dxa"/>
            <w:vAlign w:val="bottom"/>
          </w:tcPr>
          <w:p>
            <w:pPr>
              <w:spacing w:after="0"/>
              <w:rPr>
                <w:sz w:val="1"/>
                <w:szCs w:val="1"/>
                <w:color w:val="auto"/>
              </w:rPr>
            </w:pPr>
          </w:p>
        </w:tc>
      </w:tr>
      <w:tr>
        <w:trPr>
          <w:trHeight w:val="500"/>
        </w:trPr>
        <w:tc>
          <w:tcPr>
            <w:tcW w:w="2120" w:type="dxa"/>
            <w:vAlign w:val="bottom"/>
            <w:vMerge w:val="restart"/>
          </w:tcPr>
          <w:p>
            <w:pPr>
              <w:jc w:val="right"/>
              <w:spacing w:after="0"/>
              <w:rPr>
                <w:sz w:val="20"/>
                <w:szCs w:val="20"/>
                <w:color w:val="auto"/>
              </w:rPr>
            </w:pPr>
            <w:r>
              <w:rPr>
                <w:rFonts w:ascii="Arial" w:cs="Arial" w:eastAsia="Arial" w:hAnsi="Arial"/>
                <w:sz w:val="84"/>
                <w:szCs w:val="84"/>
                <w:b w:val="1"/>
                <w:bCs w:val="1"/>
                <w:color w:val="FFFFFF"/>
              </w:rPr>
              <w:t>19</w:t>
            </w:r>
          </w:p>
        </w:tc>
        <w:tc>
          <w:tcPr>
            <w:tcW w:w="2360" w:type="dxa"/>
            <w:vAlign w:val="bottom"/>
          </w:tcPr>
          <w:p>
            <w:pPr>
              <w:ind w:left="160"/>
              <w:spacing w:after="0"/>
              <w:rPr>
                <w:sz w:val="20"/>
                <w:szCs w:val="20"/>
                <w:color w:val="auto"/>
              </w:rPr>
            </w:pPr>
            <w:r>
              <w:rPr>
                <w:rFonts w:ascii="Arial" w:cs="Arial" w:eastAsia="Arial" w:hAnsi="Arial"/>
                <w:sz w:val="17"/>
                <w:szCs w:val="17"/>
                <w:color w:val="FFFFFF"/>
                <w:w w:val="95"/>
              </w:rPr>
              <w:t>Drinkers &amp; coworkers branded</w:t>
            </w:r>
          </w:p>
        </w:tc>
        <w:tc>
          <w:tcPr>
            <w:tcW w:w="0" w:type="dxa"/>
            <w:vAlign w:val="bottom"/>
          </w:tcPr>
          <w:p>
            <w:pPr>
              <w:spacing w:after="0"/>
              <w:rPr>
                <w:sz w:val="1"/>
                <w:szCs w:val="1"/>
                <w:color w:val="auto"/>
              </w:rPr>
            </w:pPr>
          </w:p>
        </w:tc>
      </w:tr>
      <w:tr>
        <w:trPr>
          <w:trHeight w:val="221"/>
        </w:trPr>
        <w:tc>
          <w:tcPr>
            <w:tcW w:w="2120" w:type="dxa"/>
            <w:vAlign w:val="bottom"/>
            <w:vMerge w:val="continue"/>
          </w:tcPr>
          <w:p>
            <w:pPr>
              <w:spacing w:after="0"/>
              <w:rPr>
                <w:sz w:val="19"/>
                <w:szCs w:val="19"/>
                <w:color w:val="auto"/>
              </w:rPr>
            </w:pPr>
          </w:p>
        </w:tc>
        <w:tc>
          <w:tcPr>
            <w:tcW w:w="2360" w:type="dxa"/>
            <w:vAlign w:val="bottom"/>
          </w:tcPr>
          <w:p>
            <w:pPr>
              <w:ind w:left="160"/>
              <w:spacing w:after="0"/>
              <w:rPr>
                <w:sz w:val="20"/>
                <w:szCs w:val="20"/>
                <w:color w:val="auto"/>
              </w:rPr>
            </w:pPr>
            <w:r>
              <w:rPr>
                <w:rFonts w:ascii="Arial" w:cs="Arial" w:eastAsia="Arial" w:hAnsi="Arial"/>
                <w:sz w:val="17"/>
                <w:szCs w:val="17"/>
                <w:color w:val="FFFFFF"/>
                <w:w w:val="90"/>
              </w:rPr>
              <w:t>with Dogfish Head tattoos at the</w:t>
            </w:r>
          </w:p>
        </w:tc>
        <w:tc>
          <w:tcPr>
            <w:tcW w:w="0" w:type="dxa"/>
            <w:vAlign w:val="bottom"/>
          </w:tcPr>
          <w:p>
            <w:pPr>
              <w:spacing w:after="0"/>
              <w:rPr>
                <w:sz w:val="1"/>
                <w:szCs w:val="1"/>
                <w:color w:val="auto"/>
              </w:rPr>
            </w:pPr>
          </w:p>
        </w:tc>
      </w:tr>
      <w:tr>
        <w:trPr>
          <w:trHeight w:val="342"/>
        </w:trPr>
        <w:tc>
          <w:tcPr>
            <w:tcW w:w="2120" w:type="dxa"/>
            <w:vAlign w:val="bottom"/>
            <w:vMerge w:val="continue"/>
          </w:tcPr>
          <w:p>
            <w:pPr>
              <w:spacing w:after="0"/>
              <w:rPr>
                <w:sz w:val="24"/>
                <w:szCs w:val="24"/>
                <w:color w:val="auto"/>
              </w:rPr>
            </w:pPr>
          </w:p>
        </w:tc>
        <w:tc>
          <w:tcPr>
            <w:tcW w:w="2360" w:type="dxa"/>
            <w:vAlign w:val="bottom"/>
          </w:tcPr>
          <w:p>
            <w:pPr>
              <w:ind w:left="160"/>
              <w:spacing w:after="0"/>
              <w:rPr>
                <w:sz w:val="20"/>
                <w:szCs w:val="20"/>
                <w:color w:val="auto"/>
              </w:rPr>
            </w:pPr>
            <w:r>
              <w:rPr>
                <w:rFonts w:ascii="Arial" w:cs="Arial" w:eastAsia="Arial" w:hAnsi="Arial"/>
                <w:sz w:val="17"/>
                <w:szCs w:val="17"/>
                <w:color w:val="FFFFFF"/>
                <w:w w:val="90"/>
              </w:rPr>
              <w:t>“Tattoos &amp; Tequila” launch party</w:t>
            </w:r>
          </w:p>
        </w:tc>
        <w:tc>
          <w:tcPr>
            <w:tcW w:w="0" w:type="dxa"/>
            <w:vAlign w:val="bottom"/>
          </w:tcPr>
          <w:p>
            <w:pPr>
              <w:spacing w:after="0"/>
              <w:rPr>
                <w:sz w:val="1"/>
                <w:szCs w:val="1"/>
                <w:color w:val="auto"/>
              </w:rPr>
            </w:pPr>
          </w:p>
        </w:tc>
      </w:tr>
      <w:tr>
        <w:trPr>
          <w:trHeight w:val="500"/>
        </w:trPr>
        <w:tc>
          <w:tcPr>
            <w:tcW w:w="2120" w:type="dxa"/>
            <w:vAlign w:val="bottom"/>
            <w:vMerge w:val="restart"/>
          </w:tcPr>
          <w:p>
            <w:pPr>
              <w:jc w:val="right"/>
              <w:spacing w:after="0"/>
              <w:rPr>
                <w:sz w:val="20"/>
                <w:szCs w:val="20"/>
                <w:color w:val="auto"/>
              </w:rPr>
            </w:pPr>
            <w:r>
              <w:rPr>
                <w:rFonts w:ascii="Arial" w:cs="Arial" w:eastAsia="Arial" w:hAnsi="Arial"/>
                <w:sz w:val="84"/>
                <w:szCs w:val="84"/>
                <w:b w:val="1"/>
                <w:bCs w:val="1"/>
                <w:color w:val="FFFFFF"/>
              </w:rPr>
              <w:t>128</w:t>
            </w:r>
          </w:p>
        </w:tc>
        <w:tc>
          <w:tcPr>
            <w:tcW w:w="2360" w:type="dxa"/>
            <w:vAlign w:val="bottom"/>
          </w:tcPr>
          <w:p>
            <w:pPr>
              <w:ind w:left="160"/>
              <w:spacing w:after="0"/>
              <w:rPr>
                <w:sz w:val="20"/>
                <w:szCs w:val="20"/>
                <w:color w:val="auto"/>
              </w:rPr>
            </w:pPr>
            <w:r>
              <w:rPr>
                <w:rFonts w:ascii="Arial" w:cs="Arial" w:eastAsia="Arial" w:hAnsi="Arial"/>
                <w:sz w:val="17"/>
                <w:szCs w:val="17"/>
                <w:color w:val="FFFFFF"/>
                <w:w w:val="98"/>
              </w:rPr>
              <w:t>Number of batches of Boston</w:t>
            </w:r>
          </w:p>
        </w:tc>
        <w:tc>
          <w:tcPr>
            <w:tcW w:w="0" w:type="dxa"/>
            <w:vAlign w:val="bottom"/>
          </w:tcPr>
          <w:p>
            <w:pPr>
              <w:spacing w:after="0"/>
              <w:rPr>
                <w:sz w:val="1"/>
                <w:szCs w:val="1"/>
                <w:color w:val="auto"/>
              </w:rPr>
            </w:pPr>
          </w:p>
        </w:tc>
      </w:tr>
      <w:tr>
        <w:trPr>
          <w:trHeight w:val="221"/>
        </w:trPr>
        <w:tc>
          <w:tcPr>
            <w:tcW w:w="2120" w:type="dxa"/>
            <w:vAlign w:val="bottom"/>
            <w:vMerge w:val="continue"/>
          </w:tcPr>
          <w:p>
            <w:pPr>
              <w:spacing w:after="0"/>
              <w:rPr>
                <w:sz w:val="19"/>
                <w:szCs w:val="19"/>
                <w:color w:val="auto"/>
              </w:rPr>
            </w:pPr>
          </w:p>
        </w:tc>
        <w:tc>
          <w:tcPr>
            <w:tcW w:w="2360" w:type="dxa"/>
            <w:vAlign w:val="bottom"/>
          </w:tcPr>
          <w:p>
            <w:pPr>
              <w:ind w:left="160"/>
              <w:spacing w:after="0"/>
              <w:rPr>
                <w:sz w:val="20"/>
                <w:szCs w:val="20"/>
                <w:color w:val="auto"/>
              </w:rPr>
            </w:pPr>
            <w:r>
              <w:rPr>
                <w:rFonts w:ascii="Arial" w:cs="Arial" w:eastAsia="Arial" w:hAnsi="Arial"/>
                <w:sz w:val="17"/>
                <w:szCs w:val="17"/>
                <w:color w:val="FFFFFF"/>
              </w:rPr>
              <w:t>Lager sampled by Jim Koch</w:t>
            </w:r>
          </w:p>
        </w:tc>
        <w:tc>
          <w:tcPr>
            <w:tcW w:w="0" w:type="dxa"/>
            <w:vAlign w:val="bottom"/>
          </w:tcPr>
          <w:p>
            <w:pPr>
              <w:spacing w:after="0"/>
              <w:rPr>
                <w:sz w:val="1"/>
                <w:szCs w:val="1"/>
                <w:color w:val="auto"/>
              </w:rPr>
            </w:pPr>
          </w:p>
        </w:tc>
      </w:tr>
      <w:tr>
        <w:trPr>
          <w:trHeight w:val="415"/>
        </w:trPr>
        <w:tc>
          <w:tcPr>
            <w:tcW w:w="2120" w:type="dxa"/>
            <w:vAlign w:val="bottom"/>
            <w:vMerge w:val="continue"/>
          </w:tcPr>
          <w:p>
            <w:pPr>
              <w:spacing w:after="0"/>
              <w:rPr>
                <w:sz w:val="24"/>
                <w:szCs w:val="24"/>
                <w:color w:val="auto"/>
              </w:rPr>
            </w:pPr>
          </w:p>
        </w:tc>
        <w:tc>
          <w:tcPr>
            <w:tcW w:w="2360" w:type="dxa"/>
            <w:vAlign w:val="bottom"/>
          </w:tcPr>
          <w:p>
            <w:pPr>
              <w:ind w:left="160"/>
              <w:spacing w:after="0"/>
              <w:rPr>
                <w:sz w:val="20"/>
                <w:szCs w:val="20"/>
                <w:color w:val="auto"/>
              </w:rPr>
            </w:pPr>
            <w:r>
              <w:rPr>
                <w:rFonts w:ascii="Arial" w:cs="Arial" w:eastAsia="Arial" w:hAnsi="Arial"/>
                <w:sz w:val="17"/>
                <w:szCs w:val="17"/>
                <w:color w:val="FFFFFF"/>
              </w:rPr>
              <w:t>(for quality purposes)</w:t>
            </w:r>
          </w:p>
        </w:tc>
        <w:tc>
          <w:tcPr>
            <w:tcW w:w="0" w:type="dxa"/>
            <w:vAlign w:val="bottom"/>
          </w:tcPr>
          <w:p>
            <w:pPr>
              <w:spacing w:after="0"/>
              <w:rPr>
                <w:sz w:val="1"/>
                <w:szCs w:val="1"/>
                <w:color w:val="auto"/>
              </w:rPr>
            </w:pPr>
          </w:p>
        </w:tc>
      </w:tr>
    </w:tbl>
    <w:p>
      <w:pPr>
        <w:spacing w:after="0" w:line="64" w:lineRule="exact"/>
        <w:rPr>
          <w:sz w:val="20"/>
          <w:szCs w:val="20"/>
          <w:color w:val="auto"/>
        </w:rPr>
      </w:pPr>
    </w:p>
    <w:p>
      <w:pPr>
        <w:sectPr>
          <w:pgSz w:w="11880" w:h="15480" w:orient="portrait"/>
          <w:cols w:equalWidth="0" w:num="3">
            <w:col w:w="3180" w:space="0"/>
            <w:col w:w="2220" w:space="540"/>
            <w:col w:w="4480"/>
          </w:cols>
          <w:pgMar w:left="680" w:top="707" w:right="780" w:bottom="662" w:gutter="0" w:footer="0" w:header="0"/>
          <w:type w:val="continuous"/>
        </w:sectPr>
      </w:pPr>
    </w:p>
    <w:p>
      <w:pPr>
        <w:ind w:left="2720"/>
        <w:spacing w:after="0"/>
        <w:rPr>
          <w:sz w:val="20"/>
          <w:szCs w:val="20"/>
          <w:color w:val="auto"/>
        </w:rPr>
      </w:pPr>
      <w:r>
        <w:rPr>
          <w:rFonts w:ascii="Arial" w:cs="Arial" w:eastAsia="Arial" w:hAnsi="Arial"/>
          <w:sz w:val="17"/>
          <w:szCs w:val="17"/>
          <w:b w:val="1"/>
          <w:bCs w:val="1"/>
          <w:color w:val="FFFFFF"/>
        </w:rPr>
        <w:t>Sam Calagione’s Craziest Beer Idea:</w:t>
      </w:r>
    </w:p>
    <w:p>
      <w:pPr>
        <w:spacing w:after="0" w:line="59" w:lineRule="exact"/>
        <w:rPr>
          <w:sz w:val="20"/>
          <w:szCs w:val="20"/>
          <w:color w:val="auto"/>
        </w:rPr>
      </w:pPr>
    </w:p>
    <w:p>
      <w:pPr>
        <w:ind w:left="2720" w:right="4600"/>
        <w:spacing w:after="0" w:line="245" w:lineRule="auto"/>
        <w:rPr>
          <w:sz w:val="20"/>
          <w:szCs w:val="20"/>
          <w:color w:val="auto"/>
        </w:rPr>
      </w:pPr>
      <w:r>
        <w:rPr>
          <w:rFonts w:ascii="Arial" w:cs="Arial" w:eastAsia="Arial" w:hAnsi="Arial"/>
          <w:sz w:val="46"/>
          <w:szCs w:val="46"/>
          <w:b w:val="1"/>
          <w:bCs w:val="1"/>
          <w:color w:val="FFFFFF"/>
        </w:rPr>
        <w:t>WondeRoasty Stout</w:t>
      </w:r>
    </w:p>
    <w:p>
      <w:pPr>
        <w:sectPr>
          <w:pgSz w:w="11880" w:h="15480" w:orient="portrait"/>
          <w:cols w:equalWidth="0" w:num="1">
            <w:col w:w="10420"/>
          </w:cols>
          <w:pgMar w:left="680" w:top="707" w:right="780" w:bottom="662" w:gutter="0" w:footer="0" w:header="0"/>
          <w:type w:val="continuous"/>
        </w:sectPr>
      </w:pPr>
    </w:p>
    <w:p>
      <w:pPr>
        <w:spacing w:after="0" w:line="2" w:lineRule="exact"/>
        <w:rPr>
          <w:sz w:val="20"/>
          <w:szCs w:val="20"/>
          <w:color w:val="auto"/>
        </w:rPr>
      </w:pPr>
    </w:p>
    <w:p>
      <w:pPr>
        <w:ind w:left="2720" w:right="4500" w:firstLine="38"/>
        <w:spacing w:after="0" w:line="282" w:lineRule="auto"/>
        <w:rPr>
          <w:sz w:val="20"/>
          <w:szCs w:val="20"/>
          <w:color w:val="auto"/>
        </w:rPr>
      </w:pPr>
      <w:r>
        <w:rPr>
          <w:rFonts w:ascii="Arial" w:cs="Arial" w:eastAsia="Arial" w:hAnsi="Arial"/>
          <w:sz w:val="17"/>
          <w:szCs w:val="17"/>
          <w:color w:val="FFFFFF"/>
        </w:rPr>
        <w:t>a beer brewed with the herbs and spices of Lloyd’s Market’s famous WondeRoast rotisserie chickens</w:t>
      </w:r>
    </w:p>
    <w:p>
      <w:pPr>
        <w:sectPr>
          <w:pgSz w:w="11880" w:h="15480" w:orient="portrait"/>
          <w:cols w:equalWidth="0" w:num="1">
            <w:col w:w="10420"/>
          </w:cols>
          <w:pgMar w:left="680" w:top="707" w:right="780" w:bottom="662"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t>UNITED STATES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A4967"/>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3A4967"/>
        </w:rPr>
        <w:t>Washington, D.C. 20549</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3A4967"/>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8890</wp:posOffset>
            </wp:positionV>
            <wp:extent cx="17462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4625" cy="20320"/>
                    </a:xfrm>
                    <a:prstGeom prst="rect">
                      <a:avLst/>
                    </a:prstGeom>
                    <a:noFill/>
                  </pic:spPr>
                </pic:pic>
              </a:graphicData>
            </a:graphic>
          </wp:anchor>
        </w:drawing>
      </w:r>
    </w:p>
    <w:p>
      <w:pPr>
        <w:jc w:val="center"/>
        <w:spacing w:after="0"/>
        <w:rPr>
          <w:sz w:val="20"/>
          <w:szCs w:val="20"/>
          <w:color w:val="auto"/>
        </w:rPr>
      </w:pPr>
      <w:r>
        <w:rPr>
          <w:sz w:val="1"/>
          <w:szCs w:val="1"/>
          <w:color w:val="auto"/>
        </w:rPr>
        <w:drawing>
          <wp:inline distT="0" distB="0" distL="0" distR="0">
            <wp:extent cx="174625" cy="1746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4625" cy="174625"/>
                    </a:xfrm>
                    <a:prstGeom prst="rect">
                      <a:avLst/>
                    </a:prstGeom>
                    <a:noFill/>
                    <a:ln>
                      <a:noFill/>
                    </a:ln>
                  </pic:spPr>
                </pic:pic>
              </a:graphicData>
            </a:graphic>
          </wp:inline>
        </w:drawing>
        <w:drawing>
          <wp:inline distT="0" distB="0" distL="0" distR="0">
            <wp:extent cx="126365" cy="1238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365" cy="123825"/>
                    </a:xfrm>
                    <a:prstGeom prst="rect">
                      <a:avLst/>
                    </a:prstGeom>
                    <a:noFill/>
                    <a:ln>
                      <a:noFill/>
                    </a:ln>
                  </pic:spPr>
                </pic:pic>
              </a:graphicData>
            </a:graphic>
          </wp:inline>
        </w:drawing>
        <w:drawing>
          <wp:inline distT="0" distB="0" distL="0" distR="0">
            <wp:extent cx="20320" cy="1746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320" cy="174625"/>
                    </a:xfrm>
                    <a:prstGeom prst="rect">
                      <a:avLst/>
                    </a:prstGeom>
                    <a:noFill/>
                    <a:ln>
                      <a:noFill/>
                    </a:ln>
                  </pic:spPr>
                </pic:pic>
              </a:graphicData>
            </a:graphic>
          </wp:inline>
        </w:drawing>
      </w:r>
      <w:r>
        <w:rPr>
          <w:rFonts w:ascii="Arial" w:cs="Arial" w:eastAsia="Arial" w:hAnsi="Arial"/>
          <w:sz w:val="18"/>
          <w:szCs w:val="18"/>
          <w:color w:val="3A4967"/>
        </w:rPr>
        <w:t xml:space="preserve"> ANNUAL REPORT PURSUANT TO SECTION 13 OR 15 (d) OF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3A4967"/>
        </w:rPr>
        <w:t>For the fiscal year ended December 28, 2024</w:t>
      </w:r>
    </w:p>
    <w:p>
      <w:pPr>
        <w:spacing w:after="0" w:line="13"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3A4967"/>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-54610</wp:posOffset>
            </wp:positionV>
            <wp:extent cx="174625" cy="174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4625" cy="174625"/>
                    </a:xfrm>
                    <a:prstGeom prst="rect">
                      <a:avLst/>
                    </a:prstGeom>
                    <a:noFill/>
                  </pic:spPr>
                </pic:pic>
              </a:graphicData>
            </a:graphic>
          </wp:anchor>
        </w:drawing>
      </w:r>
    </w:p>
    <w:p>
      <w:pPr>
        <w:ind w:left="2620" w:right="640" w:hanging="1644"/>
        <w:spacing w:after="0" w:line="269" w:lineRule="auto"/>
        <w:rPr>
          <w:sz w:val="20"/>
          <w:szCs w:val="20"/>
          <w:color w:val="auto"/>
        </w:rPr>
      </w:pPr>
      <w:r>
        <w:rPr>
          <w:rFonts w:ascii="Arial" w:cs="Arial" w:eastAsia="Arial" w:hAnsi="Arial"/>
          <w:sz w:val="18"/>
          <w:szCs w:val="18"/>
          <w:color w:val="3A4967"/>
        </w:rPr>
        <w:t>TRANSITION REPORT PURSUANT TO SECTION 13 OR 15 (d) OF THE SECURITIES EXCHANGE ACT OF 1934 For the transition period from ______________ to ______________</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3A4967"/>
        </w:rPr>
        <w:t>Commission file number: 1-14092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5080</wp:posOffset>
            </wp:positionV>
            <wp:extent cx="1381760" cy="704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81760" cy="70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40"/>
          <w:szCs w:val="40"/>
          <w:color w:val="3A4967"/>
        </w:rPr>
        <w:t>THE BOSTON BEER COMPANY, INC.</w:t>
      </w:r>
    </w:p>
    <w:p>
      <w:pPr>
        <w:jc w:val="center"/>
        <w:spacing w:after="0"/>
        <w:rPr>
          <w:sz w:val="20"/>
          <w:szCs w:val="20"/>
          <w:color w:val="auto"/>
        </w:rPr>
      </w:pPr>
      <w:r>
        <w:rPr>
          <w:rFonts w:ascii="Arial" w:cs="Arial" w:eastAsia="Arial" w:hAnsi="Arial"/>
          <w:sz w:val="18"/>
          <w:szCs w:val="18"/>
          <w:color w:val="3A4967"/>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6519545" cy="8140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9545" cy="81407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224"/>
        </w:trPr>
        <w:tc>
          <w:tcPr>
            <w:tcW w:w="5880" w:type="dxa"/>
            <w:vAlign w:val="bottom"/>
          </w:tcPr>
          <w:p>
            <w:pPr>
              <w:jc w:val="center"/>
              <w:ind w:right="890"/>
              <w:spacing w:after="0"/>
              <w:rPr>
                <w:sz w:val="20"/>
                <w:szCs w:val="20"/>
                <w:color w:val="auto"/>
              </w:rPr>
            </w:pPr>
            <w:r>
              <w:rPr>
                <w:rFonts w:ascii="Arial" w:cs="Arial" w:eastAsia="Arial" w:hAnsi="Arial"/>
                <w:sz w:val="18"/>
                <w:szCs w:val="18"/>
                <w:b w:val="1"/>
                <w:bCs w:val="1"/>
                <w:color w:val="3A4967"/>
                <w:w w:val="95"/>
              </w:rPr>
              <w:t>MASSACHUSETTS</w:t>
            </w:r>
          </w:p>
        </w:tc>
        <w:tc>
          <w:tcPr>
            <w:tcW w:w="2940" w:type="dxa"/>
            <w:vAlign w:val="bottom"/>
          </w:tcPr>
          <w:p>
            <w:pPr>
              <w:jc w:val="right"/>
              <w:ind w:right="710"/>
              <w:spacing w:after="0"/>
              <w:rPr>
                <w:sz w:val="20"/>
                <w:szCs w:val="20"/>
                <w:color w:val="auto"/>
              </w:rPr>
            </w:pPr>
            <w:r>
              <w:rPr>
                <w:rFonts w:ascii="Arial" w:cs="Arial" w:eastAsia="Arial" w:hAnsi="Arial"/>
                <w:sz w:val="18"/>
                <w:szCs w:val="18"/>
                <w:b w:val="1"/>
                <w:bCs w:val="1"/>
                <w:color w:val="3A4967"/>
              </w:rPr>
              <w:t>04-3284048</w:t>
            </w:r>
          </w:p>
        </w:tc>
      </w:tr>
      <w:tr>
        <w:trPr>
          <w:trHeight w:val="242"/>
        </w:trPr>
        <w:tc>
          <w:tcPr>
            <w:tcW w:w="5880" w:type="dxa"/>
            <w:vAlign w:val="bottom"/>
          </w:tcPr>
          <w:p>
            <w:pPr>
              <w:jc w:val="center"/>
              <w:ind w:right="890"/>
              <w:spacing w:after="0"/>
              <w:rPr>
                <w:sz w:val="20"/>
                <w:szCs w:val="20"/>
                <w:color w:val="auto"/>
              </w:rPr>
            </w:pPr>
            <w:r>
              <w:rPr>
                <w:rFonts w:ascii="Arial" w:cs="Arial" w:eastAsia="Arial" w:hAnsi="Arial"/>
                <w:sz w:val="18"/>
                <w:szCs w:val="18"/>
                <w:color w:val="3A4967"/>
                <w:w w:val="91"/>
              </w:rPr>
              <w:t>(State or other jurisdiction of incorporation or organization)</w:t>
            </w:r>
          </w:p>
        </w:tc>
        <w:tc>
          <w:tcPr>
            <w:tcW w:w="2940" w:type="dxa"/>
            <w:vAlign w:val="bottom"/>
          </w:tcPr>
          <w:p>
            <w:pPr>
              <w:jc w:val="center"/>
              <w:ind w:left="330"/>
              <w:spacing w:after="0"/>
              <w:rPr>
                <w:sz w:val="20"/>
                <w:szCs w:val="20"/>
                <w:color w:val="auto"/>
              </w:rPr>
            </w:pPr>
            <w:r>
              <w:rPr>
                <w:rFonts w:ascii="Arial" w:cs="Arial" w:eastAsia="Arial" w:hAnsi="Arial"/>
                <w:sz w:val="18"/>
                <w:szCs w:val="18"/>
                <w:color w:val="3A4967"/>
                <w:w w:val="90"/>
              </w:rPr>
              <w:t>(I.R.S. Employer Identification No.)</w:t>
            </w:r>
          </w:p>
        </w:tc>
      </w:tr>
      <w:tr>
        <w:trPr>
          <w:trHeight w:val="258"/>
        </w:trPr>
        <w:tc>
          <w:tcPr>
            <w:tcW w:w="5880" w:type="dxa"/>
            <w:vAlign w:val="bottom"/>
          </w:tcPr>
          <w:p>
            <w:pPr>
              <w:jc w:val="center"/>
              <w:ind w:right="890"/>
              <w:spacing w:after="0"/>
              <w:rPr>
                <w:sz w:val="20"/>
                <w:szCs w:val="20"/>
                <w:color w:val="auto"/>
              </w:rPr>
            </w:pPr>
            <w:r>
              <w:rPr>
                <w:rFonts w:ascii="Arial" w:cs="Arial" w:eastAsia="Arial" w:hAnsi="Arial"/>
                <w:sz w:val="18"/>
                <w:szCs w:val="18"/>
                <w:b w:val="1"/>
                <w:bCs w:val="1"/>
                <w:color w:val="3A4967"/>
                <w:w w:val="95"/>
              </w:rPr>
              <w:t>One Design Center Place, Suite 850, Boston, Massachusetts</w:t>
            </w:r>
          </w:p>
        </w:tc>
        <w:tc>
          <w:tcPr>
            <w:tcW w:w="2940" w:type="dxa"/>
            <w:vAlign w:val="bottom"/>
          </w:tcPr>
          <w:p>
            <w:pPr>
              <w:jc w:val="right"/>
              <w:ind w:right="930"/>
              <w:spacing w:after="0"/>
              <w:rPr>
                <w:sz w:val="20"/>
                <w:szCs w:val="20"/>
                <w:color w:val="auto"/>
              </w:rPr>
            </w:pPr>
            <w:r>
              <w:rPr>
                <w:rFonts w:ascii="Arial" w:cs="Arial" w:eastAsia="Arial" w:hAnsi="Arial"/>
                <w:sz w:val="18"/>
                <w:szCs w:val="18"/>
                <w:b w:val="1"/>
                <w:bCs w:val="1"/>
                <w:color w:val="3A4967"/>
              </w:rPr>
              <w:t>02210</w:t>
            </w:r>
          </w:p>
        </w:tc>
      </w:tr>
      <w:tr>
        <w:trPr>
          <w:trHeight w:val="242"/>
        </w:trPr>
        <w:tc>
          <w:tcPr>
            <w:tcW w:w="5880" w:type="dxa"/>
            <w:vAlign w:val="bottom"/>
          </w:tcPr>
          <w:p>
            <w:pPr>
              <w:jc w:val="center"/>
              <w:ind w:right="910"/>
              <w:spacing w:after="0"/>
              <w:rPr>
                <w:sz w:val="20"/>
                <w:szCs w:val="20"/>
                <w:color w:val="auto"/>
              </w:rPr>
            </w:pPr>
            <w:r>
              <w:rPr>
                <w:rFonts w:ascii="Arial" w:cs="Arial" w:eastAsia="Arial" w:hAnsi="Arial"/>
                <w:sz w:val="18"/>
                <w:szCs w:val="18"/>
                <w:color w:val="3A4967"/>
                <w:w w:val="90"/>
              </w:rPr>
              <w:t>(Address of principal executive offices)</w:t>
            </w:r>
          </w:p>
        </w:tc>
        <w:tc>
          <w:tcPr>
            <w:tcW w:w="2940" w:type="dxa"/>
            <w:vAlign w:val="bottom"/>
          </w:tcPr>
          <w:p>
            <w:pPr>
              <w:jc w:val="center"/>
              <w:ind w:left="330"/>
              <w:spacing w:after="0"/>
              <w:rPr>
                <w:sz w:val="20"/>
                <w:szCs w:val="20"/>
                <w:color w:val="auto"/>
              </w:rPr>
            </w:pPr>
            <w:r>
              <w:rPr>
                <w:rFonts w:ascii="Arial" w:cs="Arial" w:eastAsia="Arial" w:hAnsi="Arial"/>
                <w:sz w:val="18"/>
                <w:szCs w:val="18"/>
                <w:color w:val="3A4967"/>
                <w:w w:val="89"/>
              </w:rPr>
              <w:t>(Zip Code)</w:t>
            </w:r>
          </w:p>
        </w:tc>
      </w:tr>
      <w:tr>
        <w:trPr>
          <w:trHeight w:val="258"/>
        </w:trPr>
        <w:tc>
          <w:tcPr>
            <w:tcW w:w="5880" w:type="dxa"/>
            <w:vAlign w:val="bottom"/>
          </w:tcPr>
          <w:p>
            <w:pPr>
              <w:jc w:val="right"/>
              <w:ind w:right="350"/>
              <w:spacing w:after="0"/>
              <w:rPr>
                <w:sz w:val="20"/>
                <w:szCs w:val="20"/>
                <w:color w:val="auto"/>
              </w:rPr>
            </w:pPr>
            <w:r>
              <w:rPr>
                <w:rFonts w:ascii="Arial" w:cs="Arial" w:eastAsia="Arial" w:hAnsi="Arial"/>
                <w:sz w:val="18"/>
                <w:szCs w:val="18"/>
                <w:b w:val="1"/>
                <w:bCs w:val="1"/>
                <w:color w:val="3A4967"/>
              </w:rPr>
              <w:t>(617) 368-5000</w:t>
            </w:r>
          </w:p>
        </w:tc>
        <w:tc>
          <w:tcPr>
            <w:tcW w:w="2940" w:type="dxa"/>
            <w:vAlign w:val="bottom"/>
          </w:tcPr>
          <w:p>
            <w:pPr>
              <w:spacing w:after="0"/>
              <w:rPr>
                <w:sz w:val="22"/>
                <w:szCs w:val="22"/>
                <w:color w:val="auto"/>
              </w:rPr>
            </w:pPr>
          </w:p>
        </w:tc>
      </w:tr>
    </w:tbl>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3A4967"/>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6494145" cy="506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4145" cy="50673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A4967"/>
        </w:rPr>
        <w:t>SECURITIES REGISTERED PURSUANT TO SECTION 12(b) OF THE ACT:</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20" w:type="dxa"/>
            <w:vAlign w:val="bottom"/>
            <w:tcBorders>
              <w:top w:val="single" w:sz="8" w:color="3A4967"/>
              <w:bottom w:val="single" w:sz="8" w:color="3A4967"/>
              <w:right w:val="single" w:sz="8" w:color="3A4967"/>
            </w:tcBorders>
          </w:tcPr>
          <w:p>
            <w:pPr>
              <w:jc w:val="center"/>
              <w:spacing w:after="0"/>
              <w:rPr>
                <w:sz w:val="20"/>
                <w:szCs w:val="20"/>
                <w:color w:val="auto"/>
              </w:rPr>
            </w:pPr>
            <w:r>
              <w:rPr>
                <w:rFonts w:ascii="Arial" w:cs="Arial" w:eastAsia="Arial" w:hAnsi="Arial"/>
                <w:sz w:val="18"/>
                <w:szCs w:val="18"/>
                <w:color w:val="3A4967"/>
                <w:w w:val="91"/>
              </w:rPr>
              <w:t>Title of each class</w:t>
            </w:r>
          </w:p>
        </w:tc>
        <w:tc>
          <w:tcPr>
            <w:tcW w:w="3400" w:type="dxa"/>
            <w:vAlign w:val="bottom"/>
            <w:tcBorders>
              <w:top w:val="single" w:sz="8" w:color="3A4967"/>
              <w:bottom w:val="single" w:sz="8" w:color="3A4967"/>
              <w:right w:val="single" w:sz="8" w:color="3A4967"/>
            </w:tcBorders>
          </w:tcPr>
          <w:p>
            <w:pPr>
              <w:jc w:val="center"/>
              <w:spacing w:after="0"/>
              <w:rPr>
                <w:sz w:val="20"/>
                <w:szCs w:val="20"/>
                <w:color w:val="auto"/>
              </w:rPr>
            </w:pPr>
            <w:r>
              <w:rPr>
                <w:rFonts w:ascii="Arial" w:cs="Arial" w:eastAsia="Arial" w:hAnsi="Arial"/>
                <w:sz w:val="18"/>
                <w:szCs w:val="18"/>
                <w:color w:val="3A4967"/>
                <w:w w:val="88"/>
              </w:rPr>
              <w:t>Trading Symbol(s)</w:t>
            </w:r>
          </w:p>
        </w:tc>
        <w:tc>
          <w:tcPr>
            <w:tcW w:w="3400" w:type="dxa"/>
            <w:vAlign w:val="bottom"/>
            <w:tcBorders>
              <w:top w:val="single" w:sz="8" w:color="3A4967"/>
              <w:bottom w:val="single" w:sz="8" w:color="3A4967"/>
            </w:tcBorders>
          </w:tcPr>
          <w:p>
            <w:pPr>
              <w:jc w:val="center"/>
              <w:spacing w:after="0"/>
              <w:rPr>
                <w:sz w:val="20"/>
                <w:szCs w:val="20"/>
                <w:color w:val="auto"/>
              </w:rPr>
            </w:pPr>
            <w:r>
              <w:rPr>
                <w:rFonts w:ascii="Arial" w:cs="Arial" w:eastAsia="Arial" w:hAnsi="Arial"/>
                <w:sz w:val="18"/>
                <w:szCs w:val="18"/>
                <w:color w:val="3A4967"/>
                <w:w w:val="92"/>
              </w:rPr>
              <w:t>Name of each exchange on which registered</w:t>
            </w:r>
          </w:p>
        </w:tc>
      </w:tr>
      <w:tr>
        <w:trPr>
          <w:trHeight w:val="222"/>
        </w:trPr>
        <w:tc>
          <w:tcPr>
            <w:tcW w:w="3420" w:type="dxa"/>
            <w:vAlign w:val="bottom"/>
            <w:tcBorders>
              <w:bottom w:val="single" w:sz="8" w:color="3A4967"/>
              <w:right w:val="single" w:sz="8" w:color="3A4967"/>
            </w:tcBorders>
          </w:tcPr>
          <w:p>
            <w:pPr>
              <w:jc w:val="center"/>
              <w:spacing w:after="0"/>
              <w:rPr>
                <w:sz w:val="20"/>
                <w:szCs w:val="20"/>
                <w:color w:val="auto"/>
              </w:rPr>
            </w:pPr>
            <w:r>
              <w:rPr>
                <w:rFonts w:ascii="Arial" w:cs="Arial" w:eastAsia="Arial" w:hAnsi="Arial"/>
                <w:sz w:val="18"/>
                <w:szCs w:val="18"/>
                <w:b w:val="1"/>
                <w:bCs w:val="1"/>
                <w:color w:val="3A4967"/>
                <w:w w:val="94"/>
              </w:rPr>
              <w:t>Class A Common Stock. $0.01 par value</w:t>
            </w:r>
          </w:p>
        </w:tc>
        <w:tc>
          <w:tcPr>
            <w:tcW w:w="3400" w:type="dxa"/>
            <w:vAlign w:val="bottom"/>
            <w:tcBorders>
              <w:bottom w:val="single" w:sz="8" w:color="3A4967"/>
              <w:right w:val="single" w:sz="8" w:color="3A4967"/>
            </w:tcBorders>
          </w:tcPr>
          <w:p>
            <w:pPr>
              <w:jc w:val="center"/>
              <w:spacing w:after="0"/>
              <w:rPr>
                <w:sz w:val="20"/>
                <w:szCs w:val="20"/>
                <w:color w:val="auto"/>
              </w:rPr>
            </w:pPr>
            <w:r>
              <w:rPr>
                <w:rFonts w:ascii="Arial" w:cs="Arial" w:eastAsia="Arial" w:hAnsi="Arial"/>
                <w:sz w:val="18"/>
                <w:szCs w:val="18"/>
                <w:b w:val="1"/>
                <w:bCs w:val="1"/>
                <w:color w:val="3A4967"/>
                <w:w w:val="94"/>
              </w:rPr>
              <w:t>SAM</w:t>
            </w:r>
          </w:p>
        </w:tc>
        <w:tc>
          <w:tcPr>
            <w:tcW w:w="3400" w:type="dxa"/>
            <w:vAlign w:val="bottom"/>
            <w:tcBorders>
              <w:bottom w:val="single" w:sz="8" w:color="3A4967"/>
            </w:tcBorders>
          </w:tcPr>
          <w:p>
            <w:pPr>
              <w:jc w:val="center"/>
              <w:spacing w:after="0"/>
              <w:rPr>
                <w:sz w:val="20"/>
                <w:szCs w:val="20"/>
                <w:color w:val="auto"/>
              </w:rPr>
            </w:pPr>
            <w:r>
              <w:rPr>
                <w:rFonts w:ascii="Arial" w:cs="Arial" w:eastAsia="Arial" w:hAnsi="Arial"/>
                <w:sz w:val="18"/>
                <w:szCs w:val="18"/>
                <w:b w:val="1"/>
                <w:bCs w:val="1"/>
                <w:color w:val="3A4967"/>
                <w:w w:val="94"/>
              </w:rPr>
              <w:t>New York Stock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6494145" cy="333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4145" cy="33337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A4967"/>
        </w:rPr>
        <w:t>SECURITIES REGISTERED PURSUANT TO SECTION 12(g) OF THE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A4967"/>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6515735" cy="34226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5735" cy="3422650"/>
                    </a:xfrm>
                    <a:prstGeom prst="rect">
                      <a:avLst/>
                    </a:prstGeom>
                    <a:noFill/>
                  </pic:spPr>
                </pic:pic>
              </a:graphicData>
            </a:graphic>
          </wp:anchor>
        </w:drawing>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49"/>
        </w:trPr>
        <w:tc>
          <w:tcPr>
            <w:tcW w:w="5160" w:type="dxa"/>
            <w:vAlign w:val="bottom"/>
          </w:tcPr>
          <w:p>
            <w:pPr>
              <w:spacing w:after="0"/>
              <w:rPr>
                <w:sz w:val="20"/>
                <w:szCs w:val="20"/>
                <w:color w:val="auto"/>
              </w:rPr>
            </w:pPr>
            <w:r>
              <w:rPr>
                <w:rFonts w:ascii="Arial" w:cs="Arial" w:eastAsia="Arial" w:hAnsi="Arial"/>
                <w:sz w:val="20"/>
                <w:szCs w:val="20"/>
                <w:b w:val="1"/>
                <w:bCs w:val="1"/>
                <w:color w:val="3A4967"/>
              </w:rPr>
              <w:t>Indicate by check mark</w:t>
            </w:r>
          </w:p>
        </w:tc>
        <w:tc>
          <w:tcPr>
            <w:tcW w:w="3860" w:type="dxa"/>
            <w:vAlign w:val="bottom"/>
          </w:tcPr>
          <w:p>
            <w:pPr>
              <w:ind w:left="3060"/>
              <w:spacing w:after="0"/>
              <w:rPr>
                <w:sz w:val="20"/>
                <w:szCs w:val="20"/>
                <w:color w:val="auto"/>
              </w:rPr>
            </w:pPr>
            <w:r>
              <w:rPr>
                <w:rFonts w:ascii="Arial" w:cs="Arial" w:eastAsia="Arial" w:hAnsi="Arial"/>
                <w:sz w:val="18"/>
                <w:szCs w:val="18"/>
                <w:b w:val="1"/>
                <w:bCs w:val="1"/>
                <w:color w:val="3A4967"/>
              </w:rPr>
              <w:t>YES</w:t>
            </w:r>
          </w:p>
        </w:tc>
        <w:tc>
          <w:tcPr>
            <w:tcW w:w="700" w:type="dxa"/>
            <w:vAlign w:val="bottom"/>
          </w:tcPr>
          <w:p>
            <w:pPr>
              <w:ind w:left="440"/>
              <w:spacing w:after="0"/>
              <w:rPr>
                <w:sz w:val="20"/>
                <w:szCs w:val="20"/>
                <w:color w:val="auto"/>
              </w:rPr>
            </w:pPr>
            <w:r>
              <w:rPr>
                <w:rFonts w:ascii="Arial" w:cs="Arial" w:eastAsia="Arial" w:hAnsi="Arial"/>
                <w:sz w:val="18"/>
                <w:szCs w:val="18"/>
                <w:b w:val="1"/>
                <w:bCs w:val="1"/>
                <w:color w:val="3A4967"/>
                <w:w w:val="88"/>
              </w:rPr>
              <w:t>NO</w:t>
            </w:r>
          </w:p>
        </w:tc>
      </w:tr>
    </w:tbl>
    <w:p>
      <w:pPr>
        <w:spacing w:after="0" w:line="115" w:lineRule="exact"/>
        <w:rPr>
          <w:sz w:val="20"/>
          <w:szCs w:val="20"/>
          <w:color w:val="auto"/>
        </w:rPr>
      </w:pPr>
    </w:p>
    <w:p>
      <w:pPr>
        <w:ind w:left="60"/>
        <w:spacing w:after="0"/>
        <w:rPr>
          <w:sz w:val="20"/>
          <w:szCs w:val="20"/>
          <w:color w:val="auto"/>
        </w:rPr>
      </w:pPr>
      <w:r>
        <w:rPr>
          <w:rFonts w:ascii="Arial" w:cs="Arial" w:eastAsia="Arial" w:hAnsi="Arial"/>
          <w:sz w:val="17"/>
          <w:szCs w:val="17"/>
          <w:color w:val="3A4967"/>
        </w:rPr>
        <w:t>• if the registrant is a well-known seasoned issuer, as defined in Rule 405 of the Securities Act.</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color w:val="3A4967"/>
        </w:rPr>
        <w:t>• if the registrant is not required to file reports pursuant to Section 13 or Section 15(d) of the Exchange Act.</w:t>
      </w:r>
    </w:p>
    <w:p>
      <w:pPr>
        <w:spacing w:after="0" w:line="9" w:lineRule="exact"/>
        <w:rPr>
          <w:sz w:val="20"/>
          <w:szCs w:val="20"/>
          <w:color w:val="auto"/>
        </w:rPr>
      </w:pPr>
    </w:p>
    <w:p>
      <w:pPr>
        <w:jc w:val="both"/>
        <w:ind w:left="180" w:right="2460" w:hanging="121"/>
        <w:spacing w:after="0" w:line="230" w:lineRule="auto"/>
        <w:tabs>
          <w:tab w:leader="none" w:pos="180" w:val="left"/>
        </w:tabs>
        <w:numPr>
          <w:ilvl w:val="0"/>
          <w:numId w:val="2"/>
        </w:numPr>
        <w:rPr>
          <w:rFonts w:ascii="Arial" w:cs="Arial" w:eastAsia="Arial" w:hAnsi="Arial"/>
          <w:sz w:val="16"/>
          <w:szCs w:val="16"/>
          <w:color w:val="3A4967"/>
        </w:rPr>
      </w:pPr>
      <w:r>
        <w:rPr>
          <w:rFonts w:ascii="Arial" w:cs="Arial" w:eastAsia="Arial" w:hAnsi="Arial"/>
          <w:sz w:val="16"/>
          <w:szCs w:val="16"/>
          <w:color w:val="3A4967"/>
        </w:rPr>
        <w:t>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both"/>
        <w:ind w:left="180" w:right="2460" w:hanging="121"/>
        <w:spacing w:after="0" w:line="216" w:lineRule="auto"/>
        <w:tabs>
          <w:tab w:leader="none" w:pos="180" w:val="left"/>
        </w:tabs>
        <w:numPr>
          <w:ilvl w:val="0"/>
          <w:numId w:val="2"/>
        </w:numPr>
        <w:rPr>
          <w:rFonts w:ascii="Arial" w:cs="Arial" w:eastAsia="Arial" w:hAnsi="Arial"/>
          <w:sz w:val="17"/>
          <w:szCs w:val="17"/>
          <w:color w:val="3A4967"/>
        </w:rPr>
      </w:pPr>
      <w:r>
        <w:rPr>
          <w:rFonts w:ascii="Arial" w:cs="Arial" w:eastAsia="Arial" w:hAnsi="Arial"/>
          <w:sz w:val="17"/>
          <w:szCs w:val="17"/>
          <w:color w:val="3A4967"/>
        </w:rPr>
        <w:t>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rFonts w:ascii="Arial" w:cs="Arial" w:eastAsia="Arial" w:hAnsi="Arial"/>
          <w:sz w:val="17"/>
          <w:szCs w:val="17"/>
          <w:color w:val="3A4967"/>
        </w:rPr>
      </w:pPr>
    </w:p>
    <w:p>
      <w:pPr>
        <w:jc w:val="both"/>
        <w:ind w:left="180" w:right="40" w:hanging="121"/>
        <w:spacing w:after="0" w:line="220" w:lineRule="auto"/>
        <w:tabs>
          <w:tab w:leader="none" w:pos="180" w:val="left"/>
        </w:tabs>
        <w:numPr>
          <w:ilvl w:val="0"/>
          <w:numId w:val="2"/>
        </w:numPr>
        <w:rPr>
          <w:rFonts w:ascii="Arial" w:cs="Arial" w:eastAsia="Arial" w:hAnsi="Arial"/>
          <w:sz w:val="17"/>
          <w:szCs w:val="17"/>
          <w:color w:val="3A4967"/>
        </w:rPr>
      </w:pPr>
      <w:r>
        <w:rPr>
          <w:rFonts w:ascii="Arial" w:cs="Arial" w:eastAsia="Arial" w:hAnsi="Arial"/>
          <w:sz w:val="17"/>
          <w:szCs w:val="17"/>
          <w:color w:val="3A4967"/>
        </w:rPr>
        <w:t>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700" w:type="dxa"/>
            <w:vAlign w:val="bottom"/>
            <w:tcBorders>
              <w:top w:val="single" w:sz="8" w:color="3A4967"/>
              <w:bottom w:val="single" w:sz="8" w:color="3A4967"/>
            </w:tcBorders>
            <w:vMerge w:val="restart"/>
          </w:tcPr>
          <w:p>
            <w:pPr>
              <w:ind w:left="40"/>
              <w:spacing w:after="0"/>
              <w:rPr>
                <w:sz w:val="20"/>
                <w:szCs w:val="20"/>
                <w:color w:val="auto"/>
              </w:rPr>
            </w:pPr>
            <w:r>
              <w:rPr>
                <w:rFonts w:ascii="Arial" w:cs="Arial" w:eastAsia="Arial" w:hAnsi="Arial"/>
                <w:sz w:val="18"/>
                <w:szCs w:val="18"/>
                <w:color w:val="3A4967"/>
                <w:w w:val="90"/>
              </w:rPr>
              <w:t>Large accelerated filer</w:t>
            </w:r>
          </w:p>
        </w:tc>
        <w:tc>
          <w:tcPr>
            <w:tcW w:w="280" w:type="dxa"/>
            <w:vAlign w:val="bottom"/>
            <w:tcBorders>
              <w:top w:val="single" w:sz="8" w:color="3A4967"/>
              <w:bottom w:val="single" w:sz="8" w:color="5B6882"/>
            </w:tcBorders>
          </w:tcPr>
          <w:p>
            <w:pPr>
              <w:spacing w:after="0"/>
              <w:rPr>
                <w:sz w:val="3"/>
                <w:szCs w:val="3"/>
                <w:color w:val="auto"/>
              </w:rPr>
            </w:pPr>
          </w:p>
        </w:tc>
        <w:tc>
          <w:tcPr>
            <w:tcW w:w="40" w:type="dxa"/>
            <w:vAlign w:val="bottom"/>
            <w:tcBorders>
              <w:top w:val="single" w:sz="8" w:color="3A4967"/>
              <w:right w:val="single" w:sz="8" w:color="3A4967"/>
            </w:tcBorders>
          </w:tcPr>
          <w:p>
            <w:pPr>
              <w:spacing w:after="0"/>
              <w:rPr>
                <w:sz w:val="3"/>
                <w:szCs w:val="3"/>
                <w:color w:val="auto"/>
              </w:rPr>
            </w:pPr>
          </w:p>
        </w:tc>
        <w:tc>
          <w:tcPr>
            <w:tcW w:w="1260" w:type="dxa"/>
            <w:vAlign w:val="bottom"/>
            <w:tcBorders>
              <w:top w:val="single" w:sz="8" w:color="3A4967"/>
              <w:bottom w:val="single" w:sz="8" w:color="3A4967"/>
            </w:tcBorders>
            <w:vMerge w:val="restart"/>
          </w:tcPr>
          <w:p>
            <w:pPr>
              <w:ind w:left="40"/>
              <w:spacing w:after="0"/>
              <w:rPr>
                <w:sz w:val="20"/>
                <w:szCs w:val="20"/>
                <w:color w:val="auto"/>
              </w:rPr>
            </w:pPr>
            <w:r>
              <w:rPr>
                <w:rFonts w:ascii="Arial" w:cs="Arial" w:eastAsia="Arial" w:hAnsi="Arial"/>
                <w:sz w:val="18"/>
                <w:szCs w:val="18"/>
                <w:color w:val="3A4967"/>
                <w:w w:val="91"/>
              </w:rPr>
              <w:t>Accelerated filer</w:t>
            </w:r>
          </w:p>
        </w:tc>
        <w:tc>
          <w:tcPr>
            <w:tcW w:w="260" w:type="dxa"/>
            <w:vAlign w:val="bottom"/>
            <w:tcBorders>
              <w:top w:val="single" w:sz="8" w:color="3A4967"/>
              <w:bottom w:val="single" w:sz="8" w:color="5B6882"/>
            </w:tcBorders>
          </w:tcPr>
          <w:p>
            <w:pPr>
              <w:spacing w:after="0"/>
              <w:rPr>
                <w:sz w:val="3"/>
                <w:szCs w:val="3"/>
                <w:color w:val="auto"/>
              </w:rPr>
            </w:pPr>
          </w:p>
        </w:tc>
        <w:tc>
          <w:tcPr>
            <w:tcW w:w="80" w:type="dxa"/>
            <w:vAlign w:val="bottom"/>
            <w:tcBorders>
              <w:top w:val="single" w:sz="8" w:color="3A4967"/>
              <w:right w:val="single" w:sz="8" w:color="3A4967"/>
            </w:tcBorders>
          </w:tcPr>
          <w:p>
            <w:pPr>
              <w:spacing w:after="0"/>
              <w:rPr>
                <w:sz w:val="3"/>
                <w:szCs w:val="3"/>
                <w:color w:val="auto"/>
              </w:rPr>
            </w:pPr>
          </w:p>
        </w:tc>
        <w:tc>
          <w:tcPr>
            <w:tcW w:w="1600" w:type="dxa"/>
            <w:vAlign w:val="bottom"/>
            <w:tcBorders>
              <w:top w:val="single" w:sz="8" w:color="3A4967"/>
              <w:bottom w:val="single" w:sz="8" w:color="3A4967"/>
            </w:tcBorders>
            <w:vMerge w:val="restart"/>
          </w:tcPr>
          <w:p>
            <w:pPr>
              <w:ind w:left="40"/>
              <w:spacing w:after="0"/>
              <w:rPr>
                <w:sz w:val="20"/>
                <w:szCs w:val="20"/>
                <w:color w:val="auto"/>
              </w:rPr>
            </w:pPr>
            <w:r>
              <w:rPr>
                <w:rFonts w:ascii="Arial" w:cs="Arial" w:eastAsia="Arial" w:hAnsi="Arial"/>
                <w:sz w:val="18"/>
                <w:szCs w:val="18"/>
                <w:color w:val="3A4967"/>
                <w:w w:val="91"/>
              </w:rPr>
              <w:t>Non-accelerated filer</w:t>
            </w:r>
          </w:p>
        </w:tc>
        <w:tc>
          <w:tcPr>
            <w:tcW w:w="280" w:type="dxa"/>
            <w:vAlign w:val="bottom"/>
            <w:tcBorders>
              <w:top w:val="single" w:sz="8" w:color="3A4967"/>
              <w:bottom w:val="single" w:sz="8" w:color="5B6882"/>
            </w:tcBorders>
          </w:tcPr>
          <w:p>
            <w:pPr>
              <w:spacing w:after="0"/>
              <w:rPr>
                <w:sz w:val="3"/>
                <w:szCs w:val="3"/>
                <w:color w:val="auto"/>
              </w:rPr>
            </w:pPr>
          </w:p>
        </w:tc>
        <w:tc>
          <w:tcPr>
            <w:tcW w:w="60" w:type="dxa"/>
            <w:vAlign w:val="bottom"/>
            <w:tcBorders>
              <w:top w:val="single" w:sz="8" w:color="3A4967"/>
              <w:right w:val="single" w:sz="8" w:color="3A4967"/>
            </w:tcBorders>
          </w:tcPr>
          <w:p>
            <w:pPr>
              <w:spacing w:after="0"/>
              <w:rPr>
                <w:sz w:val="3"/>
                <w:szCs w:val="3"/>
                <w:color w:val="auto"/>
              </w:rPr>
            </w:pPr>
          </w:p>
        </w:tc>
        <w:tc>
          <w:tcPr>
            <w:tcW w:w="1960" w:type="dxa"/>
            <w:vAlign w:val="bottom"/>
            <w:tcBorders>
              <w:top w:val="single" w:sz="8" w:color="3A4967"/>
              <w:bottom w:val="single" w:sz="8" w:color="3A4967"/>
            </w:tcBorders>
            <w:vMerge w:val="restart"/>
          </w:tcPr>
          <w:p>
            <w:pPr>
              <w:ind w:left="40"/>
              <w:spacing w:after="0"/>
              <w:rPr>
                <w:sz w:val="20"/>
                <w:szCs w:val="20"/>
                <w:color w:val="auto"/>
              </w:rPr>
            </w:pPr>
            <w:r>
              <w:rPr>
                <w:rFonts w:ascii="Arial" w:cs="Arial" w:eastAsia="Arial" w:hAnsi="Arial"/>
                <w:sz w:val="18"/>
                <w:szCs w:val="18"/>
                <w:color w:val="3A4967"/>
                <w:w w:val="87"/>
              </w:rPr>
              <w:t>Smaller reporting company</w:t>
            </w:r>
          </w:p>
        </w:tc>
        <w:tc>
          <w:tcPr>
            <w:tcW w:w="260" w:type="dxa"/>
            <w:vAlign w:val="bottom"/>
            <w:tcBorders>
              <w:top w:val="single" w:sz="8" w:color="3A4967"/>
              <w:bottom w:val="single" w:sz="8" w:color="5B6882"/>
            </w:tcBorders>
          </w:tcPr>
          <w:p>
            <w:pPr>
              <w:spacing w:after="0"/>
              <w:rPr>
                <w:sz w:val="3"/>
                <w:szCs w:val="3"/>
                <w:color w:val="auto"/>
              </w:rPr>
            </w:pPr>
          </w:p>
        </w:tc>
        <w:tc>
          <w:tcPr>
            <w:tcW w:w="2140" w:type="dxa"/>
            <w:vAlign w:val="bottom"/>
            <w:tcBorders>
              <w:top w:val="single" w:sz="8" w:color="3A4967"/>
              <w:bottom w:val="single" w:sz="8" w:color="3A4967"/>
            </w:tcBorders>
            <w:gridSpan w:val="3"/>
            <w:vMerge w:val="restart"/>
          </w:tcPr>
          <w:p>
            <w:pPr>
              <w:ind w:left="100"/>
              <w:spacing w:after="0"/>
              <w:rPr>
                <w:sz w:val="20"/>
                <w:szCs w:val="20"/>
                <w:color w:val="auto"/>
              </w:rPr>
            </w:pPr>
            <w:r>
              <w:rPr>
                <w:rFonts w:ascii="Arial" w:cs="Arial" w:eastAsia="Arial" w:hAnsi="Arial"/>
                <w:sz w:val="18"/>
                <w:szCs w:val="18"/>
                <w:color w:val="3A4967"/>
                <w:w w:val="93"/>
              </w:rPr>
              <w:t>Emerging growth company</w:t>
            </w:r>
          </w:p>
        </w:tc>
        <w:tc>
          <w:tcPr>
            <w:tcW w:w="260" w:type="dxa"/>
            <w:vAlign w:val="bottom"/>
            <w:tcBorders>
              <w:top w:val="single" w:sz="8" w:color="3A4967"/>
              <w:bottom w:val="single" w:sz="8" w:color="5B6882"/>
            </w:tcBorders>
          </w:tcPr>
          <w:p>
            <w:pPr>
              <w:spacing w:after="0"/>
              <w:rPr>
                <w:sz w:val="3"/>
                <w:szCs w:val="3"/>
                <w:color w:val="auto"/>
              </w:rPr>
            </w:pPr>
          </w:p>
        </w:tc>
        <w:tc>
          <w:tcPr>
            <w:tcW w:w="60" w:type="dxa"/>
            <w:vAlign w:val="bottom"/>
            <w:tcBorders>
              <w:top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700" w:type="dxa"/>
            <w:vAlign w:val="bottom"/>
            <w:tcBorders>
              <w:bottom w:val="single" w:sz="8" w:color="3A4967"/>
            </w:tcBorders>
            <w:vMerge w:val="continue"/>
          </w:tcPr>
          <w:p>
            <w:pPr>
              <w:spacing w:after="0"/>
              <w:rPr>
                <w:sz w:val="18"/>
                <w:szCs w:val="18"/>
                <w:color w:val="auto"/>
              </w:rPr>
            </w:pPr>
          </w:p>
        </w:tc>
        <w:tc>
          <w:tcPr>
            <w:tcW w:w="280" w:type="dxa"/>
            <w:vAlign w:val="bottom"/>
            <w:tcBorders>
              <w:left w:val="single" w:sz="8" w:color="5B6882"/>
              <w:bottom w:val="single" w:sz="8" w:color="5B6882"/>
              <w:right w:val="single" w:sz="8" w:color="5B6882"/>
            </w:tcBorders>
          </w:tcPr>
          <w:p>
            <w:pPr>
              <w:spacing w:after="0"/>
              <w:rPr>
                <w:sz w:val="18"/>
                <w:szCs w:val="18"/>
                <w:color w:val="auto"/>
              </w:rPr>
            </w:pPr>
          </w:p>
        </w:tc>
        <w:tc>
          <w:tcPr>
            <w:tcW w:w="40" w:type="dxa"/>
            <w:vAlign w:val="bottom"/>
            <w:tcBorders>
              <w:right w:val="single" w:sz="8" w:color="3A4967"/>
            </w:tcBorders>
          </w:tcPr>
          <w:p>
            <w:pPr>
              <w:spacing w:after="0"/>
              <w:rPr>
                <w:sz w:val="18"/>
                <w:szCs w:val="18"/>
                <w:color w:val="auto"/>
              </w:rPr>
            </w:pPr>
          </w:p>
        </w:tc>
        <w:tc>
          <w:tcPr>
            <w:tcW w:w="1260" w:type="dxa"/>
            <w:vAlign w:val="bottom"/>
            <w:tcBorders>
              <w:bottom w:val="single" w:sz="8" w:color="3A4967"/>
            </w:tcBorders>
            <w:vMerge w:val="continue"/>
          </w:tcPr>
          <w:p>
            <w:pPr>
              <w:spacing w:after="0"/>
              <w:rPr>
                <w:sz w:val="18"/>
                <w:szCs w:val="18"/>
                <w:color w:val="auto"/>
              </w:rPr>
            </w:pPr>
          </w:p>
        </w:tc>
        <w:tc>
          <w:tcPr>
            <w:tcW w:w="260" w:type="dxa"/>
            <w:vAlign w:val="bottom"/>
            <w:tcBorders>
              <w:left w:val="single" w:sz="8" w:color="5B6882"/>
              <w:bottom w:val="single" w:sz="8" w:color="5B6882"/>
              <w:right w:val="single" w:sz="8" w:color="5B6882"/>
            </w:tcBorders>
          </w:tcPr>
          <w:p>
            <w:pPr>
              <w:spacing w:after="0"/>
              <w:rPr>
                <w:sz w:val="18"/>
                <w:szCs w:val="18"/>
                <w:color w:val="auto"/>
              </w:rPr>
            </w:pPr>
          </w:p>
        </w:tc>
        <w:tc>
          <w:tcPr>
            <w:tcW w:w="80" w:type="dxa"/>
            <w:vAlign w:val="bottom"/>
            <w:tcBorders>
              <w:right w:val="single" w:sz="8" w:color="3A4967"/>
            </w:tcBorders>
          </w:tcPr>
          <w:p>
            <w:pPr>
              <w:spacing w:after="0"/>
              <w:rPr>
                <w:sz w:val="18"/>
                <w:szCs w:val="18"/>
                <w:color w:val="auto"/>
              </w:rPr>
            </w:pPr>
          </w:p>
        </w:tc>
        <w:tc>
          <w:tcPr>
            <w:tcW w:w="1600" w:type="dxa"/>
            <w:vAlign w:val="bottom"/>
            <w:tcBorders>
              <w:bottom w:val="single" w:sz="8" w:color="3A4967"/>
            </w:tcBorders>
            <w:vMerge w:val="continue"/>
          </w:tcPr>
          <w:p>
            <w:pPr>
              <w:spacing w:after="0"/>
              <w:rPr>
                <w:sz w:val="18"/>
                <w:szCs w:val="18"/>
                <w:color w:val="auto"/>
              </w:rPr>
            </w:pPr>
          </w:p>
        </w:tc>
        <w:tc>
          <w:tcPr>
            <w:tcW w:w="280" w:type="dxa"/>
            <w:vAlign w:val="bottom"/>
            <w:tcBorders>
              <w:left w:val="single" w:sz="8" w:color="5B6882"/>
              <w:bottom w:val="single" w:sz="8" w:color="5B6882"/>
              <w:right w:val="single" w:sz="8" w:color="5B6882"/>
            </w:tcBorders>
          </w:tcPr>
          <w:p>
            <w:pPr>
              <w:spacing w:after="0"/>
              <w:rPr>
                <w:sz w:val="18"/>
                <w:szCs w:val="18"/>
                <w:color w:val="auto"/>
              </w:rPr>
            </w:pPr>
          </w:p>
        </w:tc>
        <w:tc>
          <w:tcPr>
            <w:tcW w:w="60" w:type="dxa"/>
            <w:vAlign w:val="bottom"/>
            <w:tcBorders>
              <w:right w:val="single" w:sz="8" w:color="3A4967"/>
            </w:tcBorders>
          </w:tcPr>
          <w:p>
            <w:pPr>
              <w:spacing w:after="0"/>
              <w:rPr>
                <w:sz w:val="18"/>
                <w:szCs w:val="18"/>
                <w:color w:val="auto"/>
              </w:rPr>
            </w:pPr>
          </w:p>
        </w:tc>
        <w:tc>
          <w:tcPr>
            <w:tcW w:w="1960" w:type="dxa"/>
            <w:vAlign w:val="bottom"/>
            <w:tcBorders>
              <w:bottom w:val="single" w:sz="8" w:color="3A4967"/>
            </w:tcBorders>
            <w:vMerge w:val="continue"/>
          </w:tcPr>
          <w:p>
            <w:pPr>
              <w:spacing w:after="0"/>
              <w:rPr>
                <w:sz w:val="18"/>
                <w:szCs w:val="18"/>
                <w:color w:val="auto"/>
              </w:rPr>
            </w:pPr>
          </w:p>
        </w:tc>
        <w:tc>
          <w:tcPr>
            <w:tcW w:w="260" w:type="dxa"/>
            <w:vAlign w:val="bottom"/>
            <w:tcBorders>
              <w:left w:val="single" w:sz="8" w:color="5B6882"/>
              <w:bottom w:val="single" w:sz="8" w:color="5B6882"/>
              <w:right w:val="single" w:sz="8" w:color="5B6882"/>
            </w:tcBorders>
          </w:tcPr>
          <w:p>
            <w:pPr>
              <w:spacing w:after="0"/>
              <w:rPr>
                <w:sz w:val="18"/>
                <w:szCs w:val="18"/>
                <w:color w:val="auto"/>
              </w:rPr>
            </w:pPr>
          </w:p>
        </w:tc>
        <w:tc>
          <w:tcPr>
            <w:tcW w:w="2140" w:type="dxa"/>
            <w:vAlign w:val="bottom"/>
            <w:tcBorders>
              <w:bottom w:val="single" w:sz="8" w:color="3A4967"/>
            </w:tcBorders>
            <w:gridSpan w:val="3"/>
            <w:vMerge w:val="continue"/>
          </w:tcPr>
          <w:p>
            <w:pPr>
              <w:spacing w:after="0"/>
              <w:rPr>
                <w:sz w:val="18"/>
                <w:szCs w:val="18"/>
                <w:color w:val="auto"/>
              </w:rPr>
            </w:pPr>
          </w:p>
        </w:tc>
        <w:tc>
          <w:tcPr>
            <w:tcW w:w="260" w:type="dxa"/>
            <w:vAlign w:val="bottom"/>
            <w:tcBorders>
              <w:left w:val="single" w:sz="8" w:color="5B6882"/>
              <w:bottom w:val="single" w:sz="8" w:color="5B6882"/>
              <w:right w:val="single" w:sz="8" w:color="5B6882"/>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700" w:type="dxa"/>
            <w:vAlign w:val="bottom"/>
            <w:tcBorders>
              <w:bottom w:val="single" w:sz="8" w:color="3A4967"/>
            </w:tcBorders>
          </w:tcPr>
          <w:p>
            <w:pPr>
              <w:spacing w:after="0"/>
              <w:rPr>
                <w:sz w:val="3"/>
                <w:szCs w:val="3"/>
                <w:color w:val="auto"/>
              </w:rPr>
            </w:pPr>
          </w:p>
        </w:tc>
        <w:tc>
          <w:tcPr>
            <w:tcW w:w="280" w:type="dxa"/>
            <w:vAlign w:val="bottom"/>
            <w:tcBorders>
              <w:bottom w:val="single" w:sz="8" w:color="3A4967"/>
            </w:tcBorders>
          </w:tcPr>
          <w:p>
            <w:pPr>
              <w:spacing w:after="0"/>
              <w:rPr>
                <w:sz w:val="3"/>
                <w:szCs w:val="3"/>
                <w:color w:val="auto"/>
              </w:rPr>
            </w:pPr>
          </w:p>
        </w:tc>
        <w:tc>
          <w:tcPr>
            <w:tcW w:w="40" w:type="dxa"/>
            <w:vAlign w:val="bottom"/>
            <w:tcBorders>
              <w:bottom w:val="single" w:sz="8" w:color="3A4967"/>
              <w:right w:val="single" w:sz="8" w:color="3A4967"/>
            </w:tcBorders>
          </w:tcPr>
          <w:p>
            <w:pPr>
              <w:spacing w:after="0"/>
              <w:rPr>
                <w:sz w:val="3"/>
                <w:szCs w:val="3"/>
                <w:color w:val="auto"/>
              </w:rPr>
            </w:pPr>
          </w:p>
        </w:tc>
        <w:tc>
          <w:tcPr>
            <w:tcW w:w="126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80" w:type="dxa"/>
            <w:vAlign w:val="bottom"/>
            <w:tcBorders>
              <w:bottom w:val="single" w:sz="8" w:color="3A4967"/>
              <w:right w:val="single" w:sz="8" w:color="3A4967"/>
            </w:tcBorders>
          </w:tcPr>
          <w:p>
            <w:pPr>
              <w:spacing w:after="0"/>
              <w:rPr>
                <w:sz w:val="3"/>
                <w:szCs w:val="3"/>
                <w:color w:val="auto"/>
              </w:rPr>
            </w:pPr>
          </w:p>
        </w:tc>
        <w:tc>
          <w:tcPr>
            <w:tcW w:w="1600" w:type="dxa"/>
            <w:vAlign w:val="bottom"/>
            <w:tcBorders>
              <w:bottom w:val="single" w:sz="8" w:color="3A4967"/>
            </w:tcBorders>
          </w:tcPr>
          <w:p>
            <w:pPr>
              <w:spacing w:after="0"/>
              <w:rPr>
                <w:sz w:val="3"/>
                <w:szCs w:val="3"/>
                <w:color w:val="auto"/>
              </w:rPr>
            </w:pPr>
          </w:p>
        </w:tc>
        <w:tc>
          <w:tcPr>
            <w:tcW w:w="280" w:type="dxa"/>
            <w:vAlign w:val="bottom"/>
            <w:tcBorders>
              <w:bottom w:val="single" w:sz="8" w:color="3A4967"/>
            </w:tcBorders>
          </w:tcPr>
          <w:p>
            <w:pPr>
              <w:spacing w:after="0"/>
              <w:rPr>
                <w:sz w:val="3"/>
                <w:szCs w:val="3"/>
                <w:color w:val="auto"/>
              </w:rPr>
            </w:pPr>
          </w:p>
        </w:tc>
        <w:tc>
          <w:tcPr>
            <w:tcW w:w="60" w:type="dxa"/>
            <w:vAlign w:val="bottom"/>
            <w:tcBorders>
              <w:bottom w:val="single" w:sz="8" w:color="3A4967"/>
              <w:right w:val="single" w:sz="8" w:color="3A4967"/>
            </w:tcBorders>
          </w:tcPr>
          <w:p>
            <w:pPr>
              <w:spacing w:after="0"/>
              <w:rPr>
                <w:sz w:val="3"/>
                <w:szCs w:val="3"/>
                <w:color w:val="auto"/>
              </w:rPr>
            </w:pPr>
          </w:p>
        </w:tc>
        <w:tc>
          <w:tcPr>
            <w:tcW w:w="196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56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132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6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7780" w:type="dxa"/>
            <w:vAlign w:val="bottom"/>
            <w:gridSpan w:val="11"/>
          </w:tcPr>
          <w:p>
            <w:pPr>
              <w:jc w:val="right"/>
              <w:spacing w:after="0" w:line="136" w:lineRule="exact"/>
              <w:rPr>
                <w:sz w:val="20"/>
                <w:szCs w:val="20"/>
                <w:color w:val="auto"/>
              </w:rPr>
            </w:pPr>
            <w:r>
              <w:rPr>
                <w:rFonts w:ascii="Arial" w:cs="Arial" w:eastAsia="Arial" w:hAnsi="Arial"/>
                <w:sz w:val="15"/>
                <w:szCs w:val="15"/>
                <w:color w:val="3A4967"/>
              </w:rPr>
              <w:t>• If an emerging growth company, indicate by check mark if the registrant has elected not to use the extended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780" w:type="dxa"/>
            <w:vAlign w:val="bottom"/>
            <w:gridSpan w:val="11"/>
            <w:vMerge w:val="restart"/>
          </w:tcPr>
          <w:p>
            <w:pPr>
              <w:jc w:val="right"/>
              <w:spacing w:after="0" w:line="170" w:lineRule="exact"/>
              <w:rPr>
                <w:sz w:val="20"/>
                <w:szCs w:val="20"/>
                <w:color w:val="auto"/>
              </w:rPr>
            </w:pPr>
            <w:r>
              <w:rPr>
                <w:rFonts w:ascii="Arial" w:cs="Arial" w:eastAsia="Arial" w:hAnsi="Arial"/>
                <w:sz w:val="17"/>
                <w:szCs w:val="17"/>
                <w:color w:val="3A4967"/>
                <w:w w:val="99"/>
              </w:rPr>
              <w:t>transition period for complying with any new or revised financial accounting standards provided pursuant</w:t>
            </w:r>
          </w:p>
        </w:tc>
        <w:tc>
          <w:tcPr>
            <w:tcW w:w="560" w:type="dxa"/>
            <w:vAlign w:val="bottom"/>
          </w:tcPr>
          <w:p>
            <w:pPr>
              <w:spacing w:after="0"/>
              <w:rPr>
                <w:sz w:val="6"/>
                <w:szCs w:val="6"/>
                <w:color w:val="auto"/>
              </w:rPr>
            </w:pPr>
          </w:p>
        </w:tc>
        <w:tc>
          <w:tcPr>
            <w:tcW w:w="260" w:type="dxa"/>
            <w:vAlign w:val="bottom"/>
            <w:tcBorders>
              <w:bottom w:val="single" w:sz="8" w:color="5B6882"/>
            </w:tcBorders>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7780" w:type="dxa"/>
            <w:vAlign w:val="bottom"/>
            <w:gridSpan w:val="11"/>
            <w:vMerge w:val="continue"/>
          </w:tcPr>
          <w:p>
            <w:pPr>
              <w:spacing w:after="0"/>
              <w:rPr>
                <w:sz w:val="6"/>
                <w:szCs w:val="6"/>
                <w:color w:val="auto"/>
              </w:rPr>
            </w:pPr>
          </w:p>
        </w:tc>
        <w:tc>
          <w:tcPr>
            <w:tcW w:w="560" w:type="dxa"/>
            <w:vAlign w:val="bottom"/>
            <w:tcBorders>
              <w:right w:val="single" w:sz="8" w:color="5B6882"/>
            </w:tcBorders>
          </w:tcPr>
          <w:p>
            <w:pPr>
              <w:spacing w:after="0"/>
              <w:rPr>
                <w:sz w:val="6"/>
                <w:szCs w:val="6"/>
                <w:color w:val="auto"/>
              </w:rPr>
            </w:pPr>
          </w:p>
        </w:tc>
        <w:tc>
          <w:tcPr>
            <w:tcW w:w="260" w:type="dxa"/>
            <w:vAlign w:val="bottom"/>
            <w:tcBorders>
              <w:right w:val="single" w:sz="8" w:color="5B6882"/>
            </w:tcBorders>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620" w:type="dxa"/>
            <w:vAlign w:val="bottom"/>
            <w:gridSpan w:val="6"/>
            <w:vMerge w:val="restart"/>
          </w:tcPr>
          <w:p>
            <w:pPr>
              <w:ind w:left="180"/>
              <w:spacing w:after="0"/>
              <w:rPr>
                <w:sz w:val="20"/>
                <w:szCs w:val="20"/>
                <w:color w:val="auto"/>
              </w:rPr>
            </w:pPr>
            <w:r>
              <w:rPr>
                <w:rFonts w:ascii="Arial" w:cs="Arial" w:eastAsia="Arial" w:hAnsi="Arial"/>
                <w:sz w:val="17"/>
                <w:szCs w:val="17"/>
                <w:color w:val="3A4967"/>
              </w:rPr>
              <w:t>to Section 13(a) of the Exchange Act.</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5B6882"/>
            </w:tcBorders>
          </w:tcPr>
          <w:p>
            <w:pPr>
              <w:spacing w:after="0"/>
              <w:rPr>
                <w:sz w:val="12"/>
                <w:szCs w:val="12"/>
                <w:color w:val="auto"/>
              </w:rPr>
            </w:pPr>
          </w:p>
        </w:tc>
        <w:tc>
          <w:tcPr>
            <w:tcW w:w="260" w:type="dxa"/>
            <w:vAlign w:val="bottom"/>
            <w:tcBorders>
              <w:bottom w:val="single" w:sz="8" w:color="5B6882"/>
              <w:right w:val="single" w:sz="8" w:color="5B6882"/>
            </w:tcBorders>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3620" w:type="dxa"/>
            <w:vAlign w:val="bottom"/>
            <w:tcBorders>
              <w:bottom w:val="single" w:sz="8" w:color="3A4967"/>
            </w:tcBorders>
            <w:gridSpan w:val="6"/>
            <w:vMerge w:val="continue"/>
          </w:tcPr>
          <w:p>
            <w:pPr>
              <w:spacing w:after="0"/>
              <w:rPr>
                <w:sz w:val="3"/>
                <w:szCs w:val="3"/>
                <w:color w:val="auto"/>
              </w:rPr>
            </w:pPr>
          </w:p>
        </w:tc>
        <w:tc>
          <w:tcPr>
            <w:tcW w:w="1600" w:type="dxa"/>
            <w:vAlign w:val="bottom"/>
            <w:tcBorders>
              <w:bottom w:val="single" w:sz="8" w:color="3A4967"/>
            </w:tcBorders>
          </w:tcPr>
          <w:p>
            <w:pPr>
              <w:spacing w:after="0"/>
              <w:rPr>
                <w:sz w:val="3"/>
                <w:szCs w:val="3"/>
                <w:color w:val="auto"/>
              </w:rPr>
            </w:pPr>
          </w:p>
        </w:tc>
        <w:tc>
          <w:tcPr>
            <w:tcW w:w="280" w:type="dxa"/>
            <w:vAlign w:val="bottom"/>
            <w:tcBorders>
              <w:bottom w:val="single" w:sz="8" w:color="3A4967"/>
            </w:tcBorders>
          </w:tcPr>
          <w:p>
            <w:pPr>
              <w:spacing w:after="0"/>
              <w:rPr>
                <w:sz w:val="3"/>
                <w:szCs w:val="3"/>
                <w:color w:val="auto"/>
              </w:rPr>
            </w:pPr>
          </w:p>
        </w:tc>
        <w:tc>
          <w:tcPr>
            <w:tcW w:w="60" w:type="dxa"/>
            <w:vAlign w:val="bottom"/>
            <w:tcBorders>
              <w:bottom w:val="single" w:sz="8" w:color="3A4967"/>
            </w:tcBorders>
          </w:tcPr>
          <w:p>
            <w:pPr>
              <w:spacing w:after="0"/>
              <w:rPr>
                <w:sz w:val="3"/>
                <w:szCs w:val="3"/>
                <w:color w:val="auto"/>
              </w:rPr>
            </w:pPr>
          </w:p>
        </w:tc>
        <w:tc>
          <w:tcPr>
            <w:tcW w:w="196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56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132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6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7780" w:type="dxa"/>
            <w:vAlign w:val="bottom"/>
            <w:gridSpan w:val="11"/>
          </w:tcPr>
          <w:p>
            <w:pPr>
              <w:jc w:val="right"/>
              <w:spacing w:after="0" w:line="136" w:lineRule="exact"/>
              <w:rPr>
                <w:sz w:val="20"/>
                <w:szCs w:val="20"/>
                <w:color w:val="auto"/>
              </w:rPr>
            </w:pPr>
            <w:r>
              <w:rPr>
                <w:rFonts w:ascii="Arial" w:cs="Arial" w:eastAsia="Arial" w:hAnsi="Arial"/>
                <w:sz w:val="15"/>
                <w:szCs w:val="15"/>
                <w:color w:val="3A4967"/>
              </w:rPr>
              <w:t>• whether the registrant has filed a report on and attestation to its management’s assessment of the</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780" w:type="dxa"/>
            <w:vAlign w:val="bottom"/>
            <w:gridSpan w:val="11"/>
            <w:vMerge w:val="restart"/>
          </w:tcPr>
          <w:p>
            <w:pPr>
              <w:jc w:val="right"/>
              <w:spacing w:after="0" w:line="170" w:lineRule="exact"/>
              <w:rPr>
                <w:sz w:val="20"/>
                <w:szCs w:val="20"/>
                <w:color w:val="auto"/>
              </w:rPr>
            </w:pPr>
            <w:r>
              <w:rPr>
                <w:rFonts w:ascii="Arial" w:cs="Arial" w:eastAsia="Arial" w:hAnsi="Arial"/>
                <w:sz w:val="17"/>
                <w:szCs w:val="17"/>
                <w:color w:val="3A4967"/>
              </w:rPr>
              <w:t>effectiveness of its internal control over financial reporting under Section 404(b) of the Sarbanes-Oxley</w:t>
            </w:r>
          </w:p>
        </w:tc>
        <w:tc>
          <w:tcPr>
            <w:tcW w:w="560" w:type="dxa"/>
            <w:vAlign w:val="bottom"/>
          </w:tcPr>
          <w:p>
            <w:pPr>
              <w:spacing w:after="0"/>
              <w:rPr>
                <w:sz w:val="6"/>
                <w:szCs w:val="6"/>
                <w:color w:val="auto"/>
              </w:rPr>
            </w:pPr>
          </w:p>
        </w:tc>
        <w:tc>
          <w:tcPr>
            <w:tcW w:w="260" w:type="dxa"/>
            <w:vAlign w:val="bottom"/>
            <w:tcBorders>
              <w:bottom w:val="single" w:sz="8" w:color="5B6882"/>
            </w:tcBorders>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7780" w:type="dxa"/>
            <w:vAlign w:val="bottom"/>
            <w:gridSpan w:val="11"/>
            <w:vMerge w:val="continue"/>
          </w:tcPr>
          <w:p>
            <w:pPr>
              <w:spacing w:after="0"/>
              <w:rPr>
                <w:sz w:val="6"/>
                <w:szCs w:val="6"/>
                <w:color w:val="auto"/>
              </w:rPr>
            </w:pPr>
          </w:p>
        </w:tc>
        <w:tc>
          <w:tcPr>
            <w:tcW w:w="560" w:type="dxa"/>
            <w:vAlign w:val="bottom"/>
            <w:tcBorders>
              <w:right w:val="single" w:sz="8" w:color="5B6882"/>
            </w:tcBorders>
          </w:tcPr>
          <w:p>
            <w:pPr>
              <w:spacing w:after="0"/>
              <w:rPr>
                <w:sz w:val="6"/>
                <w:szCs w:val="6"/>
                <w:color w:val="auto"/>
              </w:rPr>
            </w:pPr>
          </w:p>
        </w:tc>
        <w:tc>
          <w:tcPr>
            <w:tcW w:w="260" w:type="dxa"/>
            <w:vAlign w:val="bottom"/>
            <w:tcBorders>
              <w:right w:val="single" w:sz="8" w:color="5B6882"/>
            </w:tcBorders>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7780" w:type="dxa"/>
            <w:vAlign w:val="bottom"/>
            <w:gridSpan w:val="11"/>
          </w:tcPr>
          <w:p>
            <w:pPr>
              <w:ind w:left="180"/>
              <w:spacing w:after="0" w:line="149" w:lineRule="exact"/>
              <w:rPr>
                <w:sz w:val="20"/>
                <w:szCs w:val="20"/>
                <w:color w:val="auto"/>
              </w:rPr>
            </w:pPr>
            <w:r>
              <w:rPr>
                <w:rFonts w:ascii="Arial" w:cs="Arial" w:eastAsia="Arial" w:hAnsi="Arial"/>
                <w:sz w:val="17"/>
                <w:szCs w:val="17"/>
                <w:color w:val="3A4967"/>
                <w:w w:val="97"/>
              </w:rPr>
              <w:t>Act (15 U.S.C. 7262(b)) by the registered public accounting firm that prepared or issued its audit report.</w:t>
            </w:r>
          </w:p>
        </w:tc>
        <w:tc>
          <w:tcPr>
            <w:tcW w:w="560" w:type="dxa"/>
            <w:vAlign w:val="bottom"/>
            <w:tcBorders>
              <w:right w:val="single" w:sz="8" w:color="5B6882"/>
            </w:tcBorders>
          </w:tcPr>
          <w:p>
            <w:pPr>
              <w:spacing w:after="0"/>
              <w:rPr>
                <w:sz w:val="12"/>
                <w:szCs w:val="12"/>
                <w:color w:val="auto"/>
              </w:rPr>
            </w:pPr>
          </w:p>
        </w:tc>
        <w:tc>
          <w:tcPr>
            <w:tcW w:w="260" w:type="dxa"/>
            <w:vAlign w:val="bottom"/>
            <w:tcBorders>
              <w:bottom w:val="single" w:sz="8" w:color="5B6882"/>
              <w:right w:val="single" w:sz="8" w:color="5B6882"/>
            </w:tcBorders>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700" w:type="dxa"/>
            <w:vAlign w:val="bottom"/>
            <w:tcBorders>
              <w:bottom w:val="single" w:sz="8" w:color="3A4967"/>
            </w:tcBorders>
          </w:tcPr>
          <w:p>
            <w:pPr>
              <w:spacing w:after="0"/>
              <w:rPr>
                <w:sz w:val="3"/>
                <w:szCs w:val="3"/>
                <w:color w:val="auto"/>
              </w:rPr>
            </w:pPr>
          </w:p>
        </w:tc>
        <w:tc>
          <w:tcPr>
            <w:tcW w:w="280" w:type="dxa"/>
            <w:vAlign w:val="bottom"/>
            <w:tcBorders>
              <w:bottom w:val="single" w:sz="8" w:color="3A4967"/>
            </w:tcBorders>
          </w:tcPr>
          <w:p>
            <w:pPr>
              <w:spacing w:after="0"/>
              <w:rPr>
                <w:sz w:val="3"/>
                <w:szCs w:val="3"/>
                <w:color w:val="auto"/>
              </w:rPr>
            </w:pPr>
          </w:p>
        </w:tc>
        <w:tc>
          <w:tcPr>
            <w:tcW w:w="1300" w:type="dxa"/>
            <w:vAlign w:val="bottom"/>
            <w:tcBorders>
              <w:bottom w:val="single" w:sz="8" w:color="3A4967"/>
            </w:tcBorders>
            <w:gridSpan w:val="2"/>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1680" w:type="dxa"/>
            <w:vAlign w:val="bottom"/>
            <w:tcBorders>
              <w:bottom w:val="single" w:sz="8" w:color="3A4967"/>
            </w:tcBorders>
            <w:gridSpan w:val="2"/>
          </w:tcPr>
          <w:p>
            <w:pPr>
              <w:spacing w:after="0"/>
              <w:rPr>
                <w:sz w:val="3"/>
                <w:szCs w:val="3"/>
                <w:color w:val="auto"/>
              </w:rPr>
            </w:pPr>
          </w:p>
        </w:tc>
        <w:tc>
          <w:tcPr>
            <w:tcW w:w="280" w:type="dxa"/>
            <w:vAlign w:val="bottom"/>
            <w:tcBorders>
              <w:bottom w:val="single" w:sz="8" w:color="3A4967"/>
            </w:tcBorders>
          </w:tcPr>
          <w:p>
            <w:pPr>
              <w:spacing w:after="0"/>
              <w:rPr>
                <w:sz w:val="3"/>
                <w:szCs w:val="3"/>
                <w:color w:val="auto"/>
              </w:rPr>
            </w:pPr>
          </w:p>
        </w:tc>
        <w:tc>
          <w:tcPr>
            <w:tcW w:w="2020" w:type="dxa"/>
            <w:vAlign w:val="bottom"/>
            <w:tcBorders>
              <w:bottom w:val="single" w:sz="8" w:color="3A4967"/>
            </w:tcBorders>
            <w:gridSpan w:val="2"/>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56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132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6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7780" w:type="dxa"/>
            <w:vAlign w:val="bottom"/>
            <w:gridSpan w:val="11"/>
          </w:tcPr>
          <w:p>
            <w:pPr>
              <w:jc w:val="right"/>
              <w:spacing w:after="0" w:line="136" w:lineRule="exact"/>
              <w:rPr>
                <w:sz w:val="20"/>
                <w:szCs w:val="20"/>
                <w:color w:val="auto"/>
              </w:rPr>
            </w:pPr>
            <w:r>
              <w:rPr>
                <w:rFonts w:ascii="Arial" w:cs="Arial" w:eastAsia="Arial" w:hAnsi="Arial"/>
                <w:sz w:val="15"/>
                <w:szCs w:val="15"/>
                <w:color w:val="3A4967"/>
              </w:rPr>
              <w:t>• If securities are registered pursuant to Section 12(b) of the Act, indicate by check mark whether the</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780" w:type="dxa"/>
            <w:vAlign w:val="bottom"/>
            <w:gridSpan w:val="11"/>
            <w:vMerge w:val="restart"/>
          </w:tcPr>
          <w:p>
            <w:pPr>
              <w:jc w:val="right"/>
              <w:spacing w:after="0" w:line="170" w:lineRule="exact"/>
              <w:rPr>
                <w:sz w:val="20"/>
                <w:szCs w:val="20"/>
                <w:color w:val="auto"/>
              </w:rPr>
            </w:pPr>
            <w:r>
              <w:rPr>
                <w:rFonts w:ascii="Arial" w:cs="Arial" w:eastAsia="Arial" w:hAnsi="Arial"/>
                <w:sz w:val="17"/>
                <w:szCs w:val="17"/>
                <w:color w:val="3A4967"/>
              </w:rPr>
              <w:t>financial statements of the registrant included in the filing reflect the correction of an error to previously</w:t>
            </w:r>
          </w:p>
        </w:tc>
        <w:tc>
          <w:tcPr>
            <w:tcW w:w="560" w:type="dxa"/>
            <w:vAlign w:val="bottom"/>
          </w:tcPr>
          <w:p>
            <w:pPr>
              <w:spacing w:after="0"/>
              <w:rPr>
                <w:sz w:val="6"/>
                <w:szCs w:val="6"/>
                <w:color w:val="auto"/>
              </w:rPr>
            </w:pPr>
          </w:p>
        </w:tc>
        <w:tc>
          <w:tcPr>
            <w:tcW w:w="260" w:type="dxa"/>
            <w:vAlign w:val="bottom"/>
            <w:tcBorders>
              <w:bottom w:val="single" w:sz="8" w:color="5B6882"/>
            </w:tcBorders>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7780" w:type="dxa"/>
            <w:vAlign w:val="bottom"/>
            <w:gridSpan w:val="11"/>
            <w:vMerge w:val="continue"/>
          </w:tcPr>
          <w:p>
            <w:pPr>
              <w:spacing w:after="0"/>
              <w:rPr>
                <w:sz w:val="6"/>
                <w:szCs w:val="6"/>
                <w:color w:val="auto"/>
              </w:rPr>
            </w:pPr>
          </w:p>
        </w:tc>
        <w:tc>
          <w:tcPr>
            <w:tcW w:w="560" w:type="dxa"/>
            <w:vAlign w:val="bottom"/>
            <w:tcBorders>
              <w:right w:val="single" w:sz="8" w:color="5B6882"/>
            </w:tcBorders>
          </w:tcPr>
          <w:p>
            <w:pPr>
              <w:spacing w:after="0"/>
              <w:rPr>
                <w:sz w:val="6"/>
                <w:szCs w:val="6"/>
                <w:color w:val="auto"/>
              </w:rPr>
            </w:pPr>
          </w:p>
        </w:tc>
        <w:tc>
          <w:tcPr>
            <w:tcW w:w="260" w:type="dxa"/>
            <w:vAlign w:val="bottom"/>
            <w:tcBorders>
              <w:right w:val="single" w:sz="8" w:color="5B6882"/>
            </w:tcBorders>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620" w:type="dxa"/>
            <w:vAlign w:val="bottom"/>
            <w:gridSpan w:val="6"/>
          </w:tcPr>
          <w:p>
            <w:pPr>
              <w:ind w:left="180"/>
              <w:spacing w:after="0" w:line="149" w:lineRule="exact"/>
              <w:rPr>
                <w:sz w:val="20"/>
                <w:szCs w:val="20"/>
                <w:color w:val="auto"/>
              </w:rPr>
            </w:pPr>
            <w:r>
              <w:rPr>
                <w:rFonts w:ascii="Arial" w:cs="Arial" w:eastAsia="Arial" w:hAnsi="Arial"/>
                <w:sz w:val="17"/>
                <w:szCs w:val="17"/>
                <w:color w:val="3A4967"/>
              </w:rPr>
              <w:t>issued financial statements.</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5B6882"/>
            </w:tcBorders>
          </w:tcPr>
          <w:p>
            <w:pPr>
              <w:spacing w:after="0"/>
              <w:rPr>
                <w:sz w:val="12"/>
                <w:szCs w:val="12"/>
                <w:color w:val="auto"/>
              </w:rPr>
            </w:pPr>
          </w:p>
        </w:tc>
        <w:tc>
          <w:tcPr>
            <w:tcW w:w="260" w:type="dxa"/>
            <w:vAlign w:val="bottom"/>
            <w:tcBorders>
              <w:bottom w:val="single" w:sz="8" w:color="5B6882"/>
              <w:right w:val="single" w:sz="8" w:color="5B6882"/>
            </w:tcBorders>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700" w:type="dxa"/>
            <w:vAlign w:val="bottom"/>
            <w:tcBorders>
              <w:bottom w:val="single" w:sz="8" w:color="3A4967"/>
            </w:tcBorders>
          </w:tcPr>
          <w:p>
            <w:pPr>
              <w:spacing w:after="0"/>
              <w:rPr>
                <w:sz w:val="3"/>
                <w:szCs w:val="3"/>
                <w:color w:val="auto"/>
              </w:rPr>
            </w:pPr>
          </w:p>
        </w:tc>
        <w:tc>
          <w:tcPr>
            <w:tcW w:w="280" w:type="dxa"/>
            <w:vAlign w:val="bottom"/>
            <w:tcBorders>
              <w:bottom w:val="single" w:sz="8" w:color="3A4967"/>
            </w:tcBorders>
          </w:tcPr>
          <w:p>
            <w:pPr>
              <w:spacing w:after="0"/>
              <w:rPr>
                <w:sz w:val="3"/>
                <w:szCs w:val="3"/>
                <w:color w:val="auto"/>
              </w:rPr>
            </w:pPr>
          </w:p>
        </w:tc>
        <w:tc>
          <w:tcPr>
            <w:tcW w:w="1300" w:type="dxa"/>
            <w:vAlign w:val="bottom"/>
            <w:tcBorders>
              <w:bottom w:val="single" w:sz="8" w:color="3A4967"/>
            </w:tcBorders>
            <w:gridSpan w:val="2"/>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1680" w:type="dxa"/>
            <w:vAlign w:val="bottom"/>
            <w:tcBorders>
              <w:bottom w:val="single" w:sz="8" w:color="3A4967"/>
            </w:tcBorders>
            <w:gridSpan w:val="2"/>
          </w:tcPr>
          <w:p>
            <w:pPr>
              <w:spacing w:after="0"/>
              <w:rPr>
                <w:sz w:val="3"/>
                <w:szCs w:val="3"/>
                <w:color w:val="auto"/>
              </w:rPr>
            </w:pPr>
          </w:p>
        </w:tc>
        <w:tc>
          <w:tcPr>
            <w:tcW w:w="280" w:type="dxa"/>
            <w:vAlign w:val="bottom"/>
            <w:tcBorders>
              <w:bottom w:val="single" w:sz="8" w:color="3A4967"/>
            </w:tcBorders>
          </w:tcPr>
          <w:p>
            <w:pPr>
              <w:spacing w:after="0"/>
              <w:rPr>
                <w:sz w:val="3"/>
                <w:szCs w:val="3"/>
                <w:color w:val="auto"/>
              </w:rPr>
            </w:pPr>
          </w:p>
        </w:tc>
        <w:tc>
          <w:tcPr>
            <w:tcW w:w="2020" w:type="dxa"/>
            <w:vAlign w:val="bottom"/>
            <w:tcBorders>
              <w:bottom w:val="single" w:sz="8" w:color="3A4967"/>
            </w:tcBorders>
            <w:gridSpan w:val="2"/>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56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132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6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7780" w:type="dxa"/>
            <w:vAlign w:val="bottom"/>
            <w:gridSpan w:val="11"/>
          </w:tcPr>
          <w:p>
            <w:pPr>
              <w:jc w:val="right"/>
              <w:spacing w:after="0" w:line="136" w:lineRule="exact"/>
              <w:rPr>
                <w:sz w:val="20"/>
                <w:szCs w:val="20"/>
                <w:color w:val="auto"/>
              </w:rPr>
            </w:pPr>
            <w:r>
              <w:rPr>
                <w:rFonts w:ascii="Arial" w:cs="Arial" w:eastAsia="Arial" w:hAnsi="Arial"/>
                <w:sz w:val="15"/>
                <w:szCs w:val="15"/>
                <w:color w:val="3A4967"/>
              </w:rPr>
              <w:t>• whether any of those error corrections are restatements that required a recovery analysis of incentive-based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780" w:type="dxa"/>
            <w:vAlign w:val="bottom"/>
            <w:gridSpan w:val="11"/>
            <w:vMerge w:val="restart"/>
          </w:tcPr>
          <w:p>
            <w:pPr>
              <w:jc w:val="right"/>
              <w:spacing w:after="0" w:line="170" w:lineRule="exact"/>
              <w:rPr>
                <w:sz w:val="20"/>
                <w:szCs w:val="20"/>
                <w:color w:val="auto"/>
              </w:rPr>
            </w:pPr>
            <w:r>
              <w:rPr>
                <w:rFonts w:ascii="Arial" w:cs="Arial" w:eastAsia="Arial" w:hAnsi="Arial"/>
                <w:sz w:val="17"/>
                <w:szCs w:val="17"/>
                <w:color w:val="3A4967"/>
              </w:rPr>
              <w:t>compensation received by any of the registrant’s executive officers during the relevant recovery period</w:t>
            </w:r>
          </w:p>
        </w:tc>
        <w:tc>
          <w:tcPr>
            <w:tcW w:w="560" w:type="dxa"/>
            <w:vAlign w:val="bottom"/>
          </w:tcPr>
          <w:p>
            <w:pPr>
              <w:spacing w:after="0"/>
              <w:rPr>
                <w:sz w:val="6"/>
                <w:szCs w:val="6"/>
                <w:color w:val="auto"/>
              </w:rPr>
            </w:pPr>
          </w:p>
        </w:tc>
        <w:tc>
          <w:tcPr>
            <w:tcW w:w="260" w:type="dxa"/>
            <w:vAlign w:val="bottom"/>
            <w:tcBorders>
              <w:bottom w:val="single" w:sz="8" w:color="5B6882"/>
            </w:tcBorders>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7780" w:type="dxa"/>
            <w:vAlign w:val="bottom"/>
            <w:gridSpan w:val="11"/>
            <w:vMerge w:val="continue"/>
          </w:tcPr>
          <w:p>
            <w:pPr>
              <w:spacing w:after="0"/>
              <w:rPr>
                <w:sz w:val="6"/>
                <w:szCs w:val="6"/>
                <w:color w:val="auto"/>
              </w:rPr>
            </w:pPr>
          </w:p>
        </w:tc>
        <w:tc>
          <w:tcPr>
            <w:tcW w:w="560" w:type="dxa"/>
            <w:vAlign w:val="bottom"/>
            <w:tcBorders>
              <w:right w:val="single" w:sz="8" w:color="5B6882"/>
            </w:tcBorders>
          </w:tcPr>
          <w:p>
            <w:pPr>
              <w:spacing w:after="0"/>
              <w:rPr>
                <w:sz w:val="6"/>
                <w:szCs w:val="6"/>
                <w:color w:val="auto"/>
              </w:rPr>
            </w:pPr>
          </w:p>
        </w:tc>
        <w:tc>
          <w:tcPr>
            <w:tcW w:w="260" w:type="dxa"/>
            <w:vAlign w:val="bottom"/>
            <w:tcBorders>
              <w:right w:val="single" w:sz="8" w:color="5B6882"/>
            </w:tcBorders>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620" w:type="dxa"/>
            <w:vAlign w:val="bottom"/>
            <w:gridSpan w:val="6"/>
            <w:vMerge w:val="restart"/>
          </w:tcPr>
          <w:p>
            <w:pPr>
              <w:ind w:left="180"/>
              <w:spacing w:after="0"/>
              <w:rPr>
                <w:sz w:val="20"/>
                <w:szCs w:val="20"/>
                <w:color w:val="auto"/>
              </w:rPr>
            </w:pPr>
            <w:r>
              <w:rPr>
                <w:rFonts w:ascii="Arial" w:cs="Arial" w:eastAsia="Arial" w:hAnsi="Arial"/>
                <w:sz w:val="17"/>
                <w:szCs w:val="17"/>
                <w:color w:val="3A4967"/>
              </w:rPr>
              <w:t>pursuant to §240.10D-1(b).</w:t>
            </w: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5B6882"/>
            </w:tcBorders>
          </w:tcPr>
          <w:p>
            <w:pPr>
              <w:spacing w:after="0"/>
              <w:rPr>
                <w:sz w:val="12"/>
                <w:szCs w:val="12"/>
                <w:color w:val="auto"/>
              </w:rPr>
            </w:pPr>
          </w:p>
        </w:tc>
        <w:tc>
          <w:tcPr>
            <w:tcW w:w="260" w:type="dxa"/>
            <w:vAlign w:val="bottom"/>
            <w:tcBorders>
              <w:bottom w:val="single" w:sz="8" w:color="5B6882"/>
              <w:right w:val="single" w:sz="8" w:color="5B6882"/>
            </w:tcBorders>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620" w:type="dxa"/>
            <w:vAlign w:val="bottom"/>
            <w:gridSpan w:val="6"/>
            <w:vMerge w:val="continue"/>
          </w:tcPr>
          <w:p>
            <w:pPr>
              <w:spacing w:after="0"/>
              <w:rPr>
                <w:sz w:val="3"/>
                <w:szCs w:val="3"/>
                <w:color w:val="auto"/>
              </w:rPr>
            </w:pPr>
          </w:p>
        </w:tc>
        <w:tc>
          <w:tcPr>
            <w:tcW w:w="1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0"/>
        <w:spacing w:after="0"/>
        <w:rPr>
          <w:sz w:val="20"/>
          <w:szCs w:val="20"/>
          <w:color w:val="auto"/>
        </w:rPr>
      </w:pPr>
      <w:r>
        <w:rPr>
          <w:rFonts w:ascii="Arial" w:cs="Arial" w:eastAsia="Arial" w:hAnsi="Arial"/>
          <w:sz w:val="17"/>
          <w:szCs w:val="17"/>
          <w:color w:val="3A4967"/>
        </w:rPr>
        <w:t>• whether the registrant is a shell company (as defined in Rule 12b-2 of the Exchange Act).</w:t>
      </w:r>
    </w:p>
    <w:p>
      <w:pPr>
        <w:spacing w:after="0" w:line="25" w:lineRule="exact"/>
        <w:rPr>
          <w:sz w:val="20"/>
          <w:szCs w:val="20"/>
          <w:color w:val="auto"/>
        </w:rPr>
      </w:pPr>
    </w:p>
    <w:p>
      <w:pPr>
        <w:ind w:left="20"/>
        <w:spacing w:after="0" w:line="224" w:lineRule="auto"/>
        <w:rPr>
          <w:sz w:val="20"/>
          <w:szCs w:val="20"/>
          <w:color w:val="auto"/>
        </w:rPr>
      </w:pPr>
      <w:r>
        <w:rPr>
          <w:rFonts w:ascii="Arial" w:cs="Arial" w:eastAsia="Arial" w:hAnsi="Arial"/>
          <w:sz w:val="18"/>
          <w:szCs w:val="18"/>
          <w:color w:val="3A4967"/>
        </w:rPr>
        <w:t>The aggregate market value of the Class A Common Stock ($0.01 par value) held by non-affiliates of the registrant totaled $2,737.76 million (based on the closing price of the Company’s Class A Common Stock on the New York Stock Exchange on June 28, 2024). All of the registrant’s Class B Common Stock ($0.01 par value) is held by an affiliate.</w:t>
      </w:r>
    </w:p>
    <w:p>
      <w:pPr>
        <w:spacing w:after="0" w:line="45" w:lineRule="exact"/>
        <w:rPr>
          <w:sz w:val="20"/>
          <w:szCs w:val="20"/>
          <w:color w:val="auto"/>
        </w:rPr>
      </w:pPr>
    </w:p>
    <w:p>
      <w:pPr>
        <w:ind w:left="20" w:right="620"/>
        <w:spacing w:after="0" w:line="233" w:lineRule="auto"/>
        <w:rPr>
          <w:sz w:val="20"/>
          <w:szCs w:val="20"/>
          <w:color w:val="auto"/>
        </w:rPr>
      </w:pPr>
      <w:r>
        <w:rPr>
          <w:rFonts w:ascii="Arial" w:cs="Arial" w:eastAsia="Arial" w:hAnsi="Arial"/>
          <w:sz w:val="18"/>
          <w:szCs w:val="18"/>
          <w:color w:val="3A4967"/>
        </w:rPr>
        <w:t>As of February 21, 2025 there were 9,175,801 shares outstanding of the Company’s Class A Common Stock ($0.01 par value) and 2,068,000 shares outstanding of the Company’s Class B Common Stock ($0.01 par value).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A4967"/>
        </w:rPr>
        <w:t>DOCUMENTS INCORPORATED BY REFERENCE</w:t>
      </w:r>
    </w:p>
    <w:p>
      <w:pPr>
        <w:ind w:left="20" w:right="380"/>
        <w:spacing w:after="0" w:line="230" w:lineRule="auto"/>
        <w:rPr>
          <w:sz w:val="20"/>
          <w:szCs w:val="20"/>
          <w:color w:val="auto"/>
        </w:rPr>
      </w:pPr>
      <w:r>
        <w:rPr>
          <w:rFonts w:ascii="Arial" w:cs="Arial" w:eastAsia="Arial" w:hAnsi="Arial"/>
          <w:sz w:val="18"/>
          <w:szCs w:val="18"/>
          <w:color w:val="3A4967"/>
        </w:rPr>
        <w:t>Certain parts of the registrant’s definitive Proxy Statement for its 2025 Annual Meeting to be held on May 14, 2025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196850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196850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240"/>
          </w:cols>
          <w:pgMar w:left="840" w:top="323" w:right="801" w:bottom="0" w:gutter="0" w:footer="0" w:header="0"/>
        </w:sectPr>
      </w:pPr>
    </w:p>
    <w:bookmarkStart w:id="9" w:name="page10"/>
    <w:bookmarkEnd w:id="9"/>
    <w:p>
      <w:pPr>
        <w:spacing w:after="0"/>
        <w:rPr>
          <w:sz w:val="20"/>
          <w:szCs w:val="20"/>
          <w:color w:val="auto"/>
        </w:rPr>
      </w:pPr>
      <w:r>
        <w:rPr>
          <w:rFonts w:ascii="Arial" w:cs="Arial" w:eastAsia="Arial" w:hAnsi="Arial"/>
          <w:sz w:val="42"/>
          <w:szCs w:val="42"/>
          <w:b w:val="1"/>
          <w:bCs w:val="1"/>
          <w:color w:val="3A4967"/>
        </w:rPr>
        <w:t xml:space="preserve">Table </w:t>
      </w:r>
      <w:r>
        <w:rPr>
          <w:rFonts w:ascii="Arial" w:cs="Arial" w:eastAsia="Arial" w:hAnsi="Arial"/>
          <w:sz w:val="30"/>
          <w:szCs w:val="30"/>
          <w:b w:val="1"/>
          <w:bCs w:val="1"/>
          <w:color w:val="939AAD"/>
        </w:rPr>
        <w:t>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980" w:type="dxa"/>
            <w:vAlign w:val="bottom"/>
          </w:tcPr>
          <w:p>
            <w:pPr>
              <w:spacing w:after="0"/>
              <w:rPr>
                <w:sz w:val="20"/>
                <w:szCs w:val="20"/>
                <w:color w:val="auto"/>
              </w:rPr>
            </w:pPr>
            <w:r>
              <w:rPr>
                <w:rFonts w:ascii="Arial" w:cs="Arial" w:eastAsia="Arial" w:hAnsi="Arial"/>
                <w:sz w:val="24"/>
                <w:szCs w:val="24"/>
                <w:b w:val="1"/>
                <w:bCs w:val="1"/>
                <w:color w:val="3A4967"/>
              </w:rPr>
              <w:t>PART I</w:t>
            </w:r>
          </w:p>
        </w:tc>
        <w:tc>
          <w:tcPr>
            <w:tcW w:w="8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4"/>
                <w:szCs w:val="24"/>
                <w:color w:val="3A4967"/>
                <w:w w:val="99"/>
              </w:rPr>
              <w:t>Page</w:t>
            </w:r>
          </w:p>
        </w:tc>
      </w:tr>
      <w:tr>
        <w:trPr>
          <w:trHeight w:val="483"/>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1.</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Business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1</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1A.</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Risk Factors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11</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1B.</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Unresolved Staff Comments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19</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1C.</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Cybersecurity</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19</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2.</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Properties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20</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3.</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Legal Proceedings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21</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4.</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Mine Safety Disclosures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21</w:t>
            </w:r>
          </w:p>
        </w:tc>
      </w:tr>
      <w:tr>
        <w:trPr>
          <w:trHeight w:val="825"/>
        </w:trPr>
        <w:tc>
          <w:tcPr>
            <w:tcW w:w="980" w:type="dxa"/>
            <w:vAlign w:val="bottom"/>
          </w:tcPr>
          <w:p>
            <w:pPr>
              <w:spacing w:after="0"/>
              <w:rPr>
                <w:sz w:val="20"/>
                <w:szCs w:val="20"/>
                <w:color w:val="auto"/>
              </w:rPr>
            </w:pPr>
            <w:r>
              <w:rPr>
                <w:rFonts w:ascii="Arial" w:cs="Arial" w:eastAsia="Arial" w:hAnsi="Arial"/>
                <w:sz w:val="24"/>
                <w:szCs w:val="24"/>
                <w:b w:val="1"/>
                <w:bCs w:val="1"/>
                <w:color w:val="3A4967"/>
              </w:rPr>
              <w:t>PART II</w:t>
            </w:r>
          </w:p>
        </w:tc>
        <w:tc>
          <w:tcPr>
            <w:tcW w:w="8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76"/>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5.</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Market for Registrant’s Common Equity, Related Stockholder Matters</w:t>
            </w:r>
          </w:p>
        </w:tc>
        <w:tc>
          <w:tcPr>
            <w:tcW w:w="580" w:type="dxa"/>
            <w:vAlign w:val="bottom"/>
          </w:tcPr>
          <w:p>
            <w:pPr>
              <w:spacing w:after="0"/>
              <w:rPr>
                <w:sz w:val="24"/>
                <w:szCs w:val="24"/>
                <w:color w:val="auto"/>
              </w:rPr>
            </w:pPr>
          </w:p>
        </w:tc>
      </w:tr>
      <w:tr>
        <w:trPr>
          <w:trHeight w:val="249"/>
        </w:trPr>
        <w:tc>
          <w:tcPr>
            <w:tcW w:w="980" w:type="dxa"/>
            <w:vAlign w:val="bottom"/>
          </w:tcPr>
          <w:p>
            <w:pPr>
              <w:spacing w:after="0"/>
              <w:rPr>
                <w:sz w:val="21"/>
                <w:szCs w:val="21"/>
                <w:color w:val="auto"/>
              </w:rPr>
            </w:pP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and Issuer Purchases of Equity Securities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22</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6.</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[Reserved]</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25</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7.</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w w:val="99"/>
              </w:rPr>
              <w:t>Management’s Discussion and Analysis of Financial Condition and Results of Operations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25</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7A.</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32</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8.</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Financial Statements and Supplementary Data</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33</w:t>
            </w:r>
          </w:p>
        </w:tc>
      </w:tr>
      <w:tr>
        <w:trPr>
          <w:trHeight w:val="288"/>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9.</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Changes in and Disagreements With Accountants on Accounting</w:t>
            </w:r>
          </w:p>
        </w:tc>
        <w:tc>
          <w:tcPr>
            <w:tcW w:w="580" w:type="dxa"/>
            <w:vAlign w:val="bottom"/>
          </w:tcPr>
          <w:p>
            <w:pPr>
              <w:spacing w:after="0"/>
              <w:rPr>
                <w:sz w:val="24"/>
                <w:szCs w:val="24"/>
                <w:color w:val="auto"/>
              </w:rPr>
            </w:pPr>
          </w:p>
        </w:tc>
      </w:tr>
      <w:tr>
        <w:trPr>
          <w:trHeight w:val="249"/>
        </w:trPr>
        <w:tc>
          <w:tcPr>
            <w:tcW w:w="980" w:type="dxa"/>
            <w:vAlign w:val="bottom"/>
          </w:tcPr>
          <w:p>
            <w:pPr>
              <w:spacing w:after="0"/>
              <w:rPr>
                <w:sz w:val="21"/>
                <w:szCs w:val="21"/>
                <w:color w:val="auto"/>
              </w:rPr>
            </w:pP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and Financial Disclosures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61</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9A.</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Controls and Procedures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61</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9B.</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Other Information</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63</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9C.</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Disclosure Regarding Foreign Jurisdictions that Prevent Inspections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63</w:t>
            </w:r>
          </w:p>
        </w:tc>
      </w:tr>
      <w:tr>
        <w:trPr>
          <w:trHeight w:val="825"/>
        </w:trPr>
        <w:tc>
          <w:tcPr>
            <w:tcW w:w="980" w:type="dxa"/>
            <w:vAlign w:val="bottom"/>
          </w:tcPr>
          <w:p>
            <w:pPr>
              <w:spacing w:after="0"/>
              <w:rPr>
                <w:sz w:val="20"/>
                <w:szCs w:val="20"/>
                <w:color w:val="auto"/>
              </w:rPr>
            </w:pPr>
            <w:r>
              <w:rPr>
                <w:rFonts w:ascii="Arial" w:cs="Arial" w:eastAsia="Arial" w:hAnsi="Arial"/>
                <w:sz w:val="24"/>
                <w:szCs w:val="24"/>
                <w:b w:val="1"/>
                <w:bCs w:val="1"/>
                <w:color w:val="3A4967"/>
              </w:rPr>
              <w:t>PART III</w:t>
            </w:r>
          </w:p>
        </w:tc>
        <w:tc>
          <w:tcPr>
            <w:tcW w:w="8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85"/>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10.</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Directors, Executive Officers and Corporate Governance</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64</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11.</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Executive Compensation</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64</w:t>
            </w:r>
          </w:p>
        </w:tc>
      </w:tr>
      <w:tr>
        <w:trPr>
          <w:trHeight w:val="288"/>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12.</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Security Ownership of Certain Beneficial Owners and Management and</w:t>
            </w:r>
          </w:p>
        </w:tc>
        <w:tc>
          <w:tcPr>
            <w:tcW w:w="580" w:type="dxa"/>
            <w:vAlign w:val="bottom"/>
          </w:tcPr>
          <w:p>
            <w:pPr>
              <w:spacing w:after="0"/>
              <w:rPr>
                <w:sz w:val="24"/>
                <w:szCs w:val="24"/>
                <w:color w:val="auto"/>
              </w:rPr>
            </w:pPr>
          </w:p>
        </w:tc>
      </w:tr>
      <w:tr>
        <w:trPr>
          <w:trHeight w:val="249"/>
        </w:trPr>
        <w:tc>
          <w:tcPr>
            <w:tcW w:w="980" w:type="dxa"/>
            <w:vAlign w:val="bottom"/>
          </w:tcPr>
          <w:p>
            <w:pPr>
              <w:spacing w:after="0"/>
              <w:rPr>
                <w:sz w:val="21"/>
                <w:szCs w:val="21"/>
                <w:color w:val="auto"/>
              </w:rPr>
            </w:pP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Related Stockholder Matters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64</w:t>
            </w:r>
          </w:p>
        </w:tc>
      </w:tr>
      <w:tr>
        <w:trPr>
          <w:trHeight w:val="288"/>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13.</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Certain Relationships and Related Transactions, and Director</w:t>
            </w:r>
          </w:p>
        </w:tc>
        <w:tc>
          <w:tcPr>
            <w:tcW w:w="580" w:type="dxa"/>
            <w:vAlign w:val="bottom"/>
          </w:tcPr>
          <w:p>
            <w:pPr>
              <w:spacing w:after="0"/>
              <w:rPr>
                <w:sz w:val="24"/>
                <w:szCs w:val="24"/>
                <w:color w:val="auto"/>
              </w:rPr>
            </w:pPr>
          </w:p>
        </w:tc>
      </w:tr>
      <w:tr>
        <w:trPr>
          <w:trHeight w:val="249"/>
        </w:trPr>
        <w:tc>
          <w:tcPr>
            <w:tcW w:w="980" w:type="dxa"/>
            <w:vAlign w:val="bottom"/>
          </w:tcPr>
          <w:p>
            <w:pPr>
              <w:spacing w:after="0"/>
              <w:rPr>
                <w:sz w:val="21"/>
                <w:szCs w:val="21"/>
                <w:color w:val="auto"/>
              </w:rPr>
            </w:pP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Independence</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65</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14.</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Principal Accountant Fees and Services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65</w:t>
            </w:r>
          </w:p>
        </w:tc>
      </w:tr>
      <w:tr>
        <w:trPr>
          <w:trHeight w:val="825"/>
        </w:trPr>
        <w:tc>
          <w:tcPr>
            <w:tcW w:w="980" w:type="dxa"/>
            <w:vAlign w:val="bottom"/>
          </w:tcPr>
          <w:p>
            <w:pPr>
              <w:spacing w:after="0"/>
              <w:rPr>
                <w:sz w:val="20"/>
                <w:szCs w:val="20"/>
                <w:color w:val="auto"/>
              </w:rPr>
            </w:pPr>
            <w:r>
              <w:rPr>
                <w:rFonts w:ascii="Arial" w:cs="Arial" w:eastAsia="Arial" w:hAnsi="Arial"/>
                <w:sz w:val="24"/>
                <w:szCs w:val="24"/>
                <w:b w:val="1"/>
                <w:bCs w:val="1"/>
                <w:color w:val="3A4967"/>
              </w:rPr>
              <w:t>PART IV</w:t>
            </w:r>
          </w:p>
        </w:tc>
        <w:tc>
          <w:tcPr>
            <w:tcW w:w="8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85"/>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15.</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Exhibits and Financial Statement Schedules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66</w:t>
            </w:r>
          </w:p>
        </w:tc>
      </w:tr>
      <w:tr>
        <w:trPr>
          <w:trHeight w:val="297"/>
        </w:trPr>
        <w:tc>
          <w:tcPr>
            <w:tcW w:w="980" w:type="dxa"/>
            <w:vAlign w:val="bottom"/>
          </w:tcPr>
          <w:p>
            <w:pPr>
              <w:spacing w:after="0"/>
              <w:rPr>
                <w:sz w:val="20"/>
                <w:szCs w:val="20"/>
                <w:color w:val="auto"/>
              </w:rPr>
            </w:pPr>
            <w:r>
              <w:rPr>
                <w:rFonts w:ascii="Arial" w:cs="Arial" w:eastAsia="Arial" w:hAnsi="Arial"/>
                <w:sz w:val="20"/>
                <w:szCs w:val="20"/>
                <w:b w:val="1"/>
                <w:bCs w:val="1"/>
                <w:color w:val="3A4967"/>
              </w:rPr>
              <w:t>ITEM 16.</w:t>
            </w:r>
          </w:p>
        </w:tc>
        <w:tc>
          <w:tcPr>
            <w:tcW w:w="8660" w:type="dxa"/>
            <w:vAlign w:val="bottom"/>
          </w:tcPr>
          <w:p>
            <w:pPr>
              <w:ind w:left="160"/>
              <w:spacing w:after="0"/>
              <w:rPr>
                <w:sz w:val="20"/>
                <w:szCs w:val="20"/>
                <w:color w:val="auto"/>
              </w:rPr>
            </w:pPr>
            <w:r>
              <w:rPr>
                <w:rFonts w:ascii="Arial" w:cs="Arial" w:eastAsia="Arial" w:hAnsi="Arial"/>
                <w:sz w:val="20"/>
                <w:szCs w:val="20"/>
                <w:b w:val="1"/>
                <w:bCs w:val="1"/>
                <w:color w:val="5B6882"/>
              </w:rPr>
              <w:t>Form 10-K Summary</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68</w:t>
            </w:r>
          </w:p>
        </w:tc>
      </w:tr>
      <w:tr>
        <w:trPr>
          <w:trHeight w:val="297"/>
        </w:trPr>
        <w:tc>
          <w:tcPr>
            <w:tcW w:w="9640" w:type="dxa"/>
            <w:vAlign w:val="bottom"/>
            <w:gridSpan w:val="2"/>
          </w:tcPr>
          <w:p>
            <w:pPr>
              <w:spacing w:after="0"/>
              <w:rPr>
                <w:sz w:val="20"/>
                <w:szCs w:val="20"/>
                <w:color w:val="auto"/>
              </w:rPr>
            </w:pPr>
            <w:r>
              <w:rPr>
                <w:rFonts w:ascii="Arial" w:cs="Arial" w:eastAsia="Arial" w:hAnsi="Arial"/>
                <w:sz w:val="20"/>
                <w:szCs w:val="20"/>
                <w:b w:val="1"/>
                <w:bCs w:val="1"/>
                <w:color w:val="3A4967"/>
              </w:rPr>
              <w:t>SIGNATURES</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5B6882"/>
              </w:rPr>
              <w:t>69</w:t>
            </w:r>
          </w:p>
        </w:tc>
      </w:tr>
    </w:tbl>
    <w:p>
      <w:pPr>
        <w:spacing w:after="0" w:line="20" w:lineRule="exact"/>
        <w:rPr>
          <w:sz w:val="20"/>
          <w:szCs w:val="20"/>
          <w:color w:val="auto"/>
        </w:rPr>
      </w:pPr>
    </w:p>
    <w:p>
      <w:pPr>
        <w:sectPr>
          <w:pgSz w:w="11880" w:h="15481" w:orient="portrait"/>
          <w:cols w:equalWidth="0" w:num="1">
            <w:col w:w="10220"/>
          </w:cols>
          <w:pgMar w:left="800" w:top="1249" w:right="861" w:bottom="1072" w:gutter="0" w:footer="0" w:header="0"/>
        </w:sectPr>
      </w:pPr>
    </w:p>
    <w:bookmarkStart w:id="10" w:name="page11"/>
    <w:bookmarkEnd w:id="10"/>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rPr>
          <w:sz w:val="20"/>
          <w:szCs w:val="20"/>
          <w:color w:val="auto"/>
        </w:rPr>
      </w:pPr>
      <w:r>
        <w:rPr>
          <w:rFonts w:ascii="Arial" w:cs="Arial" w:eastAsia="Arial" w:hAnsi="Arial"/>
          <w:sz w:val="51"/>
          <w:szCs w:val="51"/>
          <w:b w:val="1"/>
          <w:bCs w:val="1"/>
          <w:color w:val="3A4967"/>
        </w:rPr>
        <w:t>PART I</w:t>
      </w:r>
    </w:p>
    <w:p>
      <w:pPr>
        <w:sectPr>
          <w:pgSz w:w="11880" w:h="15481" w:orient="portrait"/>
          <w:cols w:equalWidth="0" w:num="1">
            <w:col w:w="10460"/>
          </w:cols>
          <w:pgMar w:left="860" w:top="1440" w:right="5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680" w:val="left"/>
        </w:tabs>
        <w:rPr>
          <w:sz w:val="20"/>
          <w:szCs w:val="20"/>
          <w:color w:val="auto"/>
        </w:rPr>
      </w:pPr>
      <w:r>
        <w:rPr>
          <w:rFonts w:ascii="Arial" w:cs="Arial" w:eastAsia="Arial" w:hAnsi="Arial"/>
          <w:sz w:val="35"/>
          <w:szCs w:val="35"/>
          <w:b w:val="1"/>
          <w:bCs w:val="1"/>
          <w:color w:val="3A4967"/>
        </w:rPr>
        <w:t>Item 1.</w:t>
      </w:r>
      <w:r>
        <w:rPr>
          <w:rFonts w:ascii="Arial" w:cs="Arial" w:eastAsia="Arial" w:hAnsi="Arial"/>
          <w:sz w:val="35"/>
          <w:szCs w:val="35"/>
          <w:b w:val="1"/>
          <w:bCs w:val="1"/>
          <w:color w:val="6D7890"/>
        </w:rPr>
        <w:tab/>
        <w:t>Business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General</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3A4967"/>
        </w:rPr>
        <w:t>The Boston Beer Company, Inc. and certain subsidiaries (the “Company”) are engaged in the business of selling alcohol beverages throughout the United States and in selected international markets, under the trademarks “The Boston Beer Company</w:t>
      </w:r>
      <w:r>
        <w:rPr>
          <w:rFonts w:ascii="Arial" w:cs="Arial" w:eastAsia="Arial" w:hAnsi="Arial"/>
          <w:sz w:val="9"/>
          <w:szCs w:val="9"/>
          <w:color w:val="3A4967"/>
        </w:rPr>
        <w:t>®</w:t>
      </w:r>
      <w:r>
        <w:rPr>
          <w:rFonts w:ascii="Arial" w:cs="Arial" w:eastAsia="Arial" w:hAnsi="Arial"/>
          <w:sz w:val="16"/>
          <w:szCs w:val="16"/>
          <w:color w:val="3A4967"/>
        </w:rPr>
        <w:t>”, “Twisted Tea Brewing Company</w:t>
      </w:r>
      <w:r>
        <w:rPr>
          <w:rFonts w:ascii="Arial" w:cs="Arial" w:eastAsia="Arial" w:hAnsi="Arial"/>
          <w:sz w:val="9"/>
          <w:szCs w:val="9"/>
          <w:color w:val="3A4967"/>
        </w:rPr>
        <w:t>®</w:t>
      </w:r>
      <w:r>
        <w:rPr>
          <w:rFonts w:ascii="Arial" w:cs="Arial" w:eastAsia="Arial" w:hAnsi="Arial"/>
          <w:sz w:val="16"/>
          <w:szCs w:val="16"/>
          <w:color w:val="3A4967"/>
        </w:rPr>
        <w:t>”, “Hard Seltzer Beverage Company”, “Angry Orchard</w:t>
      </w:r>
      <w:r>
        <w:rPr>
          <w:rFonts w:ascii="Arial" w:cs="Arial" w:eastAsia="Arial" w:hAnsi="Arial"/>
          <w:sz w:val="9"/>
          <w:szCs w:val="9"/>
          <w:color w:val="3A4967"/>
        </w:rPr>
        <w:t>®</w:t>
      </w:r>
      <w:r>
        <w:rPr>
          <w:rFonts w:ascii="Arial" w:cs="Arial" w:eastAsia="Arial" w:hAnsi="Arial"/>
          <w:sz w:val="16"/>
          <w:szCs w:val="16"/>
          <w:color w:val="3A4967"/>
        </w:rPr>
        <w:t xml:space="preserve"> Cider Company”, “Dogfish Head</w:t>
      </w:r>
      <w:r>
        <w:rPr>
          <w:rFonts w:ascii="Arial" w:cs="Arial" w:eastAsia="Arial" w:hAnsi="Arial"/>
          <w:sz w:val="9"/>
          <w:szCs w:val="9"/>
          <w:color w:val="3A4967"/>
        </w:rPr>
        <w:t>®</w:t>
      </w:r>
      <w:r>
        <w:rPr>
          <w:rFonts w:ascii="Arial" w:cs="Arial" w:eastAsia="Arial" w:hAnsi="Arial"/>
          <w:sz w:val="16"/>
          <w:szCs w:val="16"/>
          <w:color w:val="3A4967"/>
        </w:rPr>
        <w:t xml:space="preserve"> Craft Brewery”, “Dogfish Head Distilling Co.”, “Angel City</w:t>
      </w:r>
      <w:r>
        <w:rPr>
          <w:rFonts w:ascii="Arial" w:cs="Arial" w:eastAsia="Arial" w:hAnsi="Arial"/>
          <w:sz w:val="9"/>
          <w:szCs w:val="9"/>
          <w:color w:val="3A4967"/>
        </w:rPr>
        <w:t>®</w:t>
      </w:r>
      <w:r>
        <w:rPr>
          <w:rFonts w:ascii="Arial" w:cs="Arial" w:eastAsia="Arial" w:hAnsi="Arial"/>
          <w:sz w:val="16"/>
          <w:szCs w:val="16"/>
          <w:color w:val="3A4967"/>
        </w:rPr>
        <w:t xml:space="preserve"> Brewing Company”, “Coney Island</w:t>
      </w:r>
      <w:r>
        <w:rPr>
          <w:rFonts w:ascii="Arial" w:cs="Arial" w:eastAsia="Arial" w:hAnsi="Arial"/>
          <w:sz w:val="9"/>
          <w:szCs w:val="9"/>
          <w:color w:val="3A4967"/>
        </w:rPr>
        <w:t>®</w:t>
      </w:r>
      <w:r>
        <w:rPr>
          <w:rFonts w:ascii="Arial" w:cs="Arial" w:eastAsia="Arial" w:hAnsi="Arial"/>
          <w:sz w:val="16"/>
          <w:szCs w:val="16"/>
          <w:color w:val="3A4967"/>
        </w:rPr>
        <w:t xml:space="preserve"> Brewing Company”, “Green Rebel Brewing Co.”, “TeaPot Worldwide”, and “Sun Cruiser Beverage Co.”</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The Company produces alcohol beverages, including flavored malt beverages, hard seltzer, beer, hard cider, spirits based ready to drink beverages (“spirits RTDs”) and distilled spirits at Company-owned breweries and its cidery and under contract arrangements at other production facilities. The four primary Company-owned breweries are focused on production and research and development, including breweries located in Boston, Massachusetts (the “Boston Brewery”), Cincinnati, Ohio (the “Cincinnati Brewery”), Milton, Delaware (the “Milton Brewery”) and Breinigsville, Pennsylvania (the “Pennsylvania Brewery”). These breweries, with the exception of the Pennsylvania Brewery, have tap rooms for retail sales on site.</w:t>
      </w:r>
    </w:p>
    <w:p>
      <w:pPr>
        <w:spacing w:after="0" w:line="86"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3A4967"/>
        </w:rPr>
        <w:t>The Company also operates three smaller local breweries that are mainly focused on brewing and packaging beers for retail sales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80"/>
        <w:spacing w:after="0" w:line="269" w:lineRule="auto"/>
        <w:rPr>
          <w:sz w:val="20"/>
          <w:szCs w:val="20"/>
          <w:color w:val="auto"/>
        </w:rPr>
      </w:pPr>
      <w:r>
        <w:rPr>
          <w:rFonts w:ascii="Arial" w:cs="Arial" w:eastAsia="Arial" w:hAnsi="Arial"/>
          <w:sz w:val="17"/>
          <w:szCs w:val="17"/>
          <w:color w:val="3A4967"/>
        </w:rPr>
        <w:t>site at tap rooms and gift shops, restaurant activities, developing innovative and traditional beers and in some cases, supporting draft and package accounts in the respective local market areas. These local breweries are located in Boston, Massachusetts (the “Samuel Adams Boston Downtown Tap Room”), Rehoboth, Delaware (“Dogfish Head Brewings and Eats”), Los Angeles, California (the “Angel City Brewery” and “Truly LA”), and Cincinnati, Ohio (“Cincinnati Tap Room”).</w:t>
      </w:r>
    </w:p>
    <w:p>
      <w:pPr>
        <w:spacing w:after="0" w:line="89"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3A4967"/>
        </w:rPr>
        <w:t>In addition, the Company owns an apple orchard and cidery located in Walden, New York (the “Orchard” and “Cidery”), a restaurant in Rehoboth, Delaware (“Chesapeake &amp; Maine”) and a boutique inn in Lewes, Delaware (the “Dogfish Inn”).</w:t>
      </w:r>
    </w:p>
    <w:p>
      <w:pPr>
        <w:spacing w:after="0" w:line="94" w:lineRule="exact"/>
        <w:rPr>
          <w:sz w:val="20"/>
          <w:szCs w:val="20"/>
          <w:color w:val="auto"/>
        </w:rPr>
      </w:pPr>
    </w:p>
    <w:p>
      <w:pPr>
        <w:jc w:val="both"/>
        <w:ind w:right="280"/>
        <w:spacing w:after="0" w:line="271" w:lineRule="auto"/>
        <w:rPr>
          <w:sz w:val="20"/>
          <w:szCs w:val="20"/>
          <w:color w:val="auto"/>
        </w:rPr>
      </w:pPr>
      <w:r>
        <w:rPr>
          <w:rFonts w:ascii="Arial" w:cs="Arial" w:eastAsia="Arial" w:hAnsi="Arial"/>
          <w:sz w:val="17"/>
          <w:szCs w:val="17"/>
          <w:color w:val="3A4967"/>
        </w:rPr>
        <w:t>The Company sells its beverages in various packages. Sleek cans, standard cans and bottles are sold primarily for off-premise retailers, which include grocery stores, club stores, convenience stores, liquor stores, and other traditional and e-commerce retail outlets. Kegs are sold primarily for on- premise retailers, which include bars, restaurants, stadiums and other venues.</w:t>
      </w:r>
    </w:p>
    <w:p>
      <w:pPr>
        <w:spacing w:after="0" w:line="8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3A4967"/>
        </w:rPr>
        <w:t>The Company’s principal executive offices are located at One Design Center Place, Suite 850, Boston, Massachusetts 02210, and its telephone number is (617) 368-5000.</w:t>
      </w:r>
    </w:p>
    <w:p>
      <w:pPr>
        <w:spacing w:after="0" w:line="571" w:lineRule="exact"/>
        <w:rPr>
          <w:sz w:val="20"/>
          <w:szCs w:val="20"/>
          <w:color w:val="auto"/>
        </w:rPr>
      </w:pPr>
    </w:p>
    <w:p>
      <w:pPr>
        <w:sectPr>
          <w:pgSz w:w="11880" w:h="15481" w:orient="portrait"/>
          <w:cols w:equalWidth="0" w:num="2">
            <w:col w:w="4920" w:space="340"/>
            <w:col w:w="5200"/>
          </w:cols>
          <w:pgMar w:left="860" w:top="1440" w:right="561" w:bottom="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Industry Background</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3A4967"/>
        </w:rPr>
        <w:t>Most of the Company’s products are sold through off-premise retailers and the Company estimates the size of its markets using third-party metrics from measured off-premise channels, which is standard in the United States beer industry.</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3A4967"/>
        </w:rPr>
        <w:t>The Company competes primarily in the United States in the combined Beyond beer and Traditional beer market (“US Beer Market”). Beyond beer includes flavored malt beverages, hard seltzer, hard cider, spirits RTDs and other emerging beverages.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both"/>
        <w:ind w:right="280"/>
        <w:spacing w:after="0" w:line="267" w:lineRule="auto"/>
        <w:rPr>
          <w:sz w:val="20"/>
          <w:szCs w:val="20"/>
          <w:color w:val="auto"/>
        </w:rPr>
      </w:pPr>
      <w:r>
        <w:rPr>
          <w:rFonts w:ascii="Arial" w:cs="Arial" w:eastAsia="Arial" w:hAnsi="Arial"/>
          <w:sz w:val="18"/>
          <w:szCs w:val="18"/>
          <w:color w:val="3A4967"/>
        </w:rPr>
        <w:t>Traditional beer generally includes mass domestics, imports, domestic specialties and craft beer.</w:t>
      </w:r>
    </w:p>
    <w:p>
      <w:pPr>
        <w:spacing w:after="0" w:line="85"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3A4967"/>
        </w:rPr>
        <w:t>In measured off-premise channels in 2024, the US Beer Market increased 0.4% to $47.6 billion with Beyond beer increasing 4.4% to $10.3 billion and Traditional beer declining 0.7% to $37.3 billion. Beyond beer is 22% of the US Beer Market and the Company believes Beyond beer is positioned to continue to grow and gain share from Traditional beer.</w:t>
      </w:r>
    </w:p>
    <w:p>
      <w:pPr>
        <w:spacing w:after="0" w:line="222" w:lineRule="exact"/>
        <w:rPr>
          <w:sz w:val="20"/>
          <w:szCs w:val="20"/>
          <w:color w:val="auto"/>
        </w:rPr>
      </w:pPr>
    </w:p>
    <w:p>
      <w:pPr>
        <w:sectPr>
          <w:pgSz w:w="11880" w:h="15481" w:orient="portrait"/>
          <w:cols w:equalWidth="0" w:num="2">
            <w:col w:w="4920" w:space="340"/>
            <w:col w:w="5200"/>
          </w:cols>
          <w:pgMar w:left="860" w:top="1440" w:right="561" w:bottom="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Description of the Company’s Business</w:t>
      </w:r>
    </w:p>
    <w:p>
      <w:pPr>
        <w:spacing w:after="0" w:line="164" w:lineRule="exact"/>
        <w:rPr>
          <w:sz w:val="20"/>
          <w:szCs w:val="20"/>
          <w:color w:val="auto"/>
        </w:rPr>
      </w:pPr>
    </w:p>
    <w:p>
      <w:pPr>
        <w:jc w:val="both"/>
        <w:ind w:right="200"/>
        <w:spacing w:after="0" w:line="291" w:lineRule="auto"/>
        <w:rPr>
          <w:sz w:val="20"/>
          <w:szCs w:val="20"/>
          <w:color w:val="auto"/>
        </w:rPr>
      </w:pPr>
      <w:r>
        <w:rPr>
          <w:rFonts w:ascii="Arial" w:cs="Arial" w:eastAsia="Arial" w:hAnsi="Arial"/>
          <w:sz w:val="16"/>
          <w:szCs w:val="16"/>
          <w:color w:val="3A4967"/>
        </w:rPr>
        <w:t>The Company was founded in 1984 as a craft brewery and competes in the craft beer category primarily with its Samuel Adams and Dogfish Head brands. The Company has a strong history of innovation and has internally developed brands outside of the craft beer category that are among the leaders in their respective categories. These brands include Twisted Tea, a flavored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257810</wp:posOffset>
            </wp:positionV>
            <wp:extent cx="2584450" cy="191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both"/>
        <w:ind w:right="280"/>
        <w:spacing w:after="0" w:line="291" w:lineRule="auto"/>
        <w:rPr>
          <w:sz w:val="20"/>
          <w:szCs w:val="20"/>
          <w:color w:val="auto"/>
        </w:rPr>
      </w:pPr>
      <w:r>
        <w:rPr>
          <w:rFonts w:ascii="Arial" w:cs="Arial" w:eastAsia="Arial" w:hAnsi="Arial"/>
          <w:sz w:val="16"/>
          <w:szCs w:val="16"/>
          <w:color w:val="3A4967"/>
        </w:rPr>
        <w:t>malt beverage introduced in 2001, Angry Orchard, a hard cider introduced in 2011, Truly Hard Seltzer, a hard seltzer introduced in 2016 and Sun Cruiser, a vodka spirits RTD introduced in 2024. In 2024, approximately 85% of the Company’s 2024 volume is in Beyond beer with the remainder in Traditional beer. The Company is the second largest supplier in Beyond beer at a 21% market share.</w:t>
      </w:r>
    </w:p>
    <w:p>
      <w:pPr>
        <w:spacing w:after="0" w:line="200" w:lineRule="exact"/>
        <w:rPr>
          <w:sz w:val="20"/>
          <w:szCs w:val="20"/>
          <w:color w:val="auto"/>
        </w:rPr>
      </w:pPr>
    </w:p>
    <w:p>
      <w:pPr>
        <w:sectPr>
          <w:pgSz w:w="11880" w:h="15481" w:orient="portrait"/>
          <w:cols w:equalWidth="0" w:num="2">
            <w:col w:w="5120" w:space="140"/>
            <w:col w:w="5200"/>
          </w:cols>
          <w:pgMar w:left="860" w:top="1440" w:right="561" w:bottom="0" w:gutter="0" w:footer="0" w:header="0"/>
          <w:type w:val="continuous"/>
        </w:sectPr>
      </w:pPr>
    </w:p>
    <w:p>
      <w:pPr>
        <w:spacing w:after="0" w:line="277"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b w:val="1"/>
          <w:bCs w:val="1"/>
          <w:color w:val="3A4967"/>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460"/>
          </w:cols>
          <w:pgMar w:left="860" w:top="1440" w:right="561" w:bottom="0" w:gutter="0" w:footer="0" w:header="0"/>
          <w:type w:val="continuous"/>
        </w:sectPr>
      </w:pPr>
    </w:p>
    <w:bookmarkStart w:id="11" w:name="page12"/>
    <w:bookmarkEnd w:id="11"/>
    <w:p>
      <w:pPr>
        <w:ind w:left="3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42545</wp:posOffset>
            </wp:positionV>
            <wp:extent cx="6463665" cy="4763"/>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3"/>
          <w:szCs w:val="13"/>
          <w:color w:val="3A4967"/>
        </w:rPr>
        <w:t xml:space="preserve">Item 1 </w:t>
      </w:r>
      <w:r>
        <w:rPr>
          <w:rFonts w:ascii="Arial" w:cs="Arial" w:eastAsia="Arial" w:hAnsi="Arial"/>
          <w:sz w:val="13"/>
          <w:szCs w:val="13"/>
          <w:color w:val="6D7890"/>
        </w:rPr>
        <w:t>Business</w:t>
      </w:r>
    </w:p>
    <w:p>
      <w:pPr>
        <w:sectPr>
          <w:pgSz w:w="11880" w:h="15481" w:orient="portrait"/>
          <w:cols w:equalWidth="0" w:num="1">
            <w:col w:w="10480"/>
          </w:cols>
          <w:pgMar w:left="5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3A4967"/>
        </w:rPr>
        <w:t>The Company’s business goal is to grow market share in the US Beer Market by creating and offering high quality alcohol beverages. With the support of a large, well-trained sales organization and world-class brewers, the Company strives to achieve this goal by offering consumer-responsive beverages, increasing brand availability and awareness through traditional media and digital advertising, point-of-sale, promotional programs, and drinker education and engagement.</w:t>
      </w:r>
    </w:p>
    <w:p>
      <w:pPr>
        <w:spacing w:after="0" w:line="89" w:lineRule="exact"/>
        <w:rPr>
          <w:sz w:val="20"/>
          <w:szCs w:val="20"/>
          <w:color w:val="auto"/>
        </w:rPr>
      </w:pPr>
    </w:p>
    <w:p>
      <w:pPr>
        <w:jc w:val="both"/>
        <w:ind w:left="300"/>
        <w:spacing w:after="0" w:line="253" w:lineRule="auto"/>
        <w:rPr>
          <w:sz w:val="20"/>
          <w:szCs w:val="20"/>
          <w:color w:val="auto"/>
        </w:rPr>
      </w:pPr>
      <w:r>
        <w:rPr>
          <w:rFonts w:ascii="Arial" w:cs="Arial" w:eastAsia="Arial" w:hAnsi="Arial"/>
          <w:sz w:val="18"/>
          <w:szCs w:val="18"/>
          <w:color w:val="3A4967"/>
        </w:rPr>
        <w:t>The Company’s beverages are sold by the Company’s sales force to the same types of customers and drinkers in similar size quantities, at similar price points and through substantially the same channels of distribution. These beverages are manufactured using similar production processes, have comparable alcohol content and generally fall within the same regulatory environment.</w:t>
      </w:r>
    </w:p>
    <w:p>
      <w:pPr>
        <w:spacing w:after="0" w:line="98" w:lineRule="exact"/>
        <w:rPr>
          <w:sz w:val="20"/>
          <w:szCs w:val="20"/>
          <w:color w:val="auto"/>
        </w:rPr>
      </w:pPr>
    </w:p>
    <w:p>
      <w:pPr>
        <w:jc w:val="both"/>
        <w:ind w:left="300"/>
        <w:spacing w:after="0" w:line="266" w:lineRule="auto"/>
        <w:rPr>
          <w:sz w:val="20"/>
          <w:szCs w:val="20"/>
          <w:color w:val="auto"/>
        </w:rPr>
      </w:pPr>
      <w:r>
        <w:rPr>
          <w:rFonts w:ascii="Arial" w:cs="Arial" w:eastAsia="Arial" w:hAnsi="Arial"/>
          <w:sz w:val="17"/>
          <w:szCs w:val="17"/>
          <w:color w:val="3A4967"/>
        </w:rPr>
        <w:t>The Company’s strategy is to create and offer a world-class variety of traditional and innovative alcohol beverages. The Company’s primary brands which include the Twisted Tea, Truly Hard Seltzer, Samuel Adams, Angry Orchard, Dogfish Head and Sun Cruiser brands are all available nationally. The Twisted Tea brand family has grown each year since the product was first introduced in 2001 and has established a loyal drinker following and has become the largest selling flavored malt beverage brand. In 2016, the Company began national distribution of the Truly Hard Seltzer brand and it maintained its place as one of the leading brands in the hard seltzer category in 2024. The Samuel Adams brand began in 1984 and the brand is recognized as one of the largest and most respected craft beer brands with a particular focus on lagers and seasonal beers. The Angry Orchard brand was launched in 2011 and since 2013, Angry Orchard has been the largest selling hard cider in the United States. The Dogfish Head brand began in 1995 and is recognized as one of the most innovative and respected craft beer and spirits brand with a particular focus on India Pale Ales (“IPAs”) and spirits RTDs. In addition to its primary brands, the Company has two local brands, Angel City</w:t>
      </w:r>
      <w:r>
        <w:rPr>
          <w:rFonts w:ascii="Arial" w:cs="Arial" w:eastAsia="Arial" w:hAnsi="Arial"/>
          <w:sz w:val="10"/>
          <w:szCs w:val="10"/>
          <w:color w:val="3A4967"/>
        </w:rPr>
        <w:t>®</w:t>
      </w:r>
      <w:r>
        <w:rPr>
          <w:rFonts w:ascii="Arial" w:cs="Arial" w:eastAsia="Arial" w:hAnsi="Arial"/>
          <w:sz w:val="17"/>
          <w:szCs w:val="17"/>
          <w:color w:val="3A4967"/>
        </w:rPr>
        <w:t xml:space="preserve"> and Coney Island</w:t>
      </w:r>
      <w:r>
        <w:rPr>
          <w:rFonts w:ascii="Arial" w:cs="Arial" w:eastAsia="Arial" w:hAnsi="Arial"/>
          <w:sz w:val="10"/>
          <w:szCs w:val="10"/>
          <w:color w:val="3A4967"/>
        </w:rPr>
        <w:t>®</w:t>
      </w:r>
      <w:r>
        <w:rPr>
          <w:rFonts w:ascii="Arial" w:cs="Arial" w:eastAsia="Arial" w:hAnsi="Arial"/>
          <w:sz w:val="17"/>
          <w:szCs w:val="17"/>
          <w:color w:val="3A4967"/>
        </w:rPr>
        <w:t>, that primarily focus on local distribution.</w:t>
      </w:r>
    </w:p>
    <w:p>
      <w:pPr>
        <w:spacing w:after="0" w:line="99" w:lineRule="exact"/>
        <w:rPr>
          <w:sz w:val="20"/>
          <w:szCs w:val="20"/>
          <w:color w:val="auto"/>
        </w:rPr>
      </w:pPr>
    </w:p>
    <w:p>
      <w:pPr>
        <w:jc w:val="both"/>
        <w:ind w:left="300"/>
        <w:spacing w:after="0" w:line="276" w:lineRule="auto"/>
        <w:rPr>
          <w:sz w:val="20"/>
          <w:szCs w:val="20"/>
          <w:color w:val="auto"/>
        </w:rPr>
      </w:pPr>
      <w:r>
        <w:rPr>
          <w:rFonts w:ascii="Arial" w:cs="Arial" w:eastAsia="Arial" w:hAnsi="Arial"/>
          <w:sz w:val="17"/>
          <w:szCs w:val="17"/>
          <w:color w:val="3A4967"/>
        </w:rPr>
        <w:t>The Company entered the market for spirits RTDs through its Dogfish Head brand in 2021 followed by its Truly spirits brands beginning in 2022 and Sun Cruiser in 2024. The Company discontinued its Truly spirits RTD brands in early 2025.</w:t>
      </w:r>
    </w:p>
    <w:p>
      <w:pPr>
        <w:spacing w:after="0" w:line="78"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3A4967"/>
        </w:rPr>
        <w:t>In 2021, the Company entered separate licensing agreements with PepsiCo, Inc . (“Pepsi”) and Jim Beam Brands Co . (“Jim Beam”) to develop, market and sell alcohol beverages. Beginning in 2022, the Company sold products under the brand names ‘Hard Mountain Dew’ under the Pepsi agreements and certain other brands under the Jim Beam agreements that have since been discontinued. Also, the Company collected royalties under the Jim Beam agreement on Jim Beam shipments of ‘Truly Vodka’ and ‘Twisted Tea Whiskey’. While the Company believes these agreements represent strategic opportunities to increase volume in the longer term, these combined brands represented approximately 2% of net revenue in 2023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737235</wp:posOffset>
            </wp:positionV>
            <wp:extent cx="2584450" cy="191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Twisted Tea</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The Company’s Twisted Tea products generally compete within the flavored malt beverage (“FMB”) category of Beyond beer. The FMB category is $4.6 billion in measured off- premise channels and comprises approximately 45% of Beyond beer and the FMB category grew in dollars approximately 20% in 2023 and 6% in 2024. This category is highly competitive due to, among other factors, the presence of large brewers and spirits companies in the category as well as many smaller national and regional competitors and a fast pace of product innovation.</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The Company offers over ten styles of flavored malt beverages in the Twisted Tea brand family, most of which are available nationally in both the United States and Canada. Most styles are available in standard cans and some are available in 24 ounce cans and bottles. The majority of the promotional and distribution efforts for the Twisted Tea brand family are focused on Twisted Tea Original, Twisted Tea Half and Half and variety packs in various standard can packages. During 2023 and 2024, the Company increased its promotional efforts related to Twisted Tea Light, and in 2023 and 2024, the style grew significantly off a relatively small base.</w:t>
      </w:r>
    </w:p>
    <w:p>
      <w:pPr>
        <w:spacing w:after="0" w:line="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A4967"/>
        </w:rPr>
        <w:t>In 2024, the Company launched in certain test markets, Twisted Tea Extreme, an 8% Alcohol By Volume (“ABV”) flavored malt beverage in 2 styles, primarily sold in 24 ounce cans. Based on the results of the test markets, the Company anticipates launching Twisted Tea Extreme nationally during 2025.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Truly Hard Seltzer</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3A4967"/>
        </w:rPr>
        <w:t>The Company’s Truly Hard Seltzer brand generally competes within the hard seltzer category. This category grew rapidly in the early stages of its development and is highly competitive and includes large international and domestic competitors as well as many smaller national, regional and local hard seltzer companies. Beginning in the latter half of 2021 and continuing into 2023, the category saw sharp declines in volume. The Hard Seltzer category is $3.1 billion in measured off-premise channels and comprises approximately 30% of Beyond beer and the hard seltzer category declined in dollars approximately 16% in 2023 and 8% in 2024.</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The Company offers over thirty styles of hard seltzer in the Truly Hard Seltzer brand family, most of which are available nationally in the United States. Most styles are available in sleek cans and some are available in 24 ounce cans. In 2024, the Company introduced Truly Unruly, an 8% ABV hard seltzer in a sleek can variety pack. In 2024, Truly Unruly was the top growth driver among higher ABV brands in the US Beer Market. The Company expects Truly Unruly to be a significant source of growth in 2025. The majority of the promotional and distribution efforts for the Truly brand family in 2024 were focused on sleek can variety packages which include, Truly Berry Mix Pack, Truly Party Pack, Truly Unruly Mix Pack, Truly Citrus Mix Pack, Truly Lemonade Seltzer Mix Pack and Truly Fruit Punch Mix Pack.</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3A4967"/>
        </w:rPr>
        <w:t>In early 2025, the Company anticipates launching nationally a new Truly Unruly Lemonade Mix Pack.</w:t>
      </w:r>
    </w:p>
    <w:p>
      <w:pPr>
        <w:spacing w:after="0" w:line="200" w:lineRule="exact"/>
        <w:rPr>
          <w:sz w:val="20"/>
          <w:szCs w:val="20"/>
          <w:color w:val="auto"/>
        </w:rPr>
      </w:pPr>
    </w:p>
    <w:p>
      <w:pPr>
        <w:sectPr>
          <w:pgSz w:w="11880" w:h="15481" w:orient="portrait"/>
          <w:cols w:equalWidth="0" w:num="2">
            <w:col w:w="5220" w:space="340"/>
            <w:col w:w="4920"/>
          </w:cols>
          <w:pgMar w:left="5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3420" w:val="left"/>
          <w:tab w:leader="none" w:pos="9040" w:val="left"/>
        </w:tabs>
        <w:rPr>
          <w:sz w:val="20"/>
          <w:szCs w:val="20"/>
          <w:color w:val="auto"/>
        </w:rPr>
      </w:pPr>
      <w:r>
        <w:rPr>
          <w:rFonts w:ascii="Arial" w:cs="Arial" w:eastAsia="Arial" w:hAnsi="Arial"/>
          <w:sz w:val="16"/>
          <w:szCs w:val="16"/>
          <w:b w:val="1"/>
          <w:bCs w:val="1"/>
          <w:color w:val="3A4967"/>
        </w:rPr>
        <w:t>2</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-97155</wp:posOffset>
            </wp:positionV>
            <wp:extent cx="1939925" cy="4763"/>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-138430</wp:posOffset>
            </wp:positionV>
            <wp:extent cx="1939925" cy="63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205740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7180580</wp:posOffset>
            </wp:positionH>
            <wp:positionV relativeFrom="paragraph">
              <wp:posOffset>205740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480"/>
          </w:cols>
          <w:pgMar w:left="560" w:top="579" w:right="841" w:bottom="0" w:gutter="0" w:footer="0" w:header="0"/>
          <w:type w:val="continuous"/>
        </w:sectPr>
      </w:pPr>
    </w:p>
    <w:bookmarkStart w:id="12" w:name="page13"/>
    <w:bookmarkEnd w:id="12"/>
    <w:p>
      <w:pPr>
        <w:ind w:left="972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460"/>
          </w:cols>
          <w:pgMar w:left="860" w:top="579" w:right="5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Samuel Adams and Dogfish Head Beers</w:t>
      </w:r>
    </w:p>
    <w:p>
      <w:pPr>
        <w:spacing w:after="0" w:line="1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3A4967"/>
        </w:rPr>
        <w:t>The Company’s Samuel Adams and Dogfish Head beers generally compete within the craft beer and domestic specialty beer category. The craft beer category is $3.6 billion in measured off -premise channels and comprises approximately 10% of traditional beer and the craft beer category in dollars was approximately flat in 2023 and declined 2% in 2024. This category is highly competitive and includes large international and domestic competitors, as well as many smaller national, regional and local craft breweries.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The Company offers over twenty styles of beer in the Samuel Adams brand family and the brand is recognized for helping launch the craft beer industry. Samuel Adams Boston Lager</w:t>
      </w:r>
      <w:r>
        <w:rPr>
          <w:rFonts w:ascii="Arial" w:cs="Arial" w:eastAsia="Arial" w:hAnsi="Arial"/>
          <w:sz w:val="10"/>
          <w:szCs w:val="10"/>
          <w:color w:val="3A4967"/>
        </w:rPr>
        <w:t>®</w:t>
      </w:r>
      <w:r>
        <w:rPr>
          <w:rFonts w:ascii="Arial" w:cs="Arial" w:eastAsia="Arial" w:hAnsi="Arial"/>
          <w:sz w:val="17"/>
          <w:szCs w:val="17"/>
          <w:color w:val="3A4967"/>
        </w:rPr>
        <w:t xml:space="preserve"> is the Company’s flagship beer that was introduced in 1984. The Samuel Adams Seasonal program of beers was originally introduced in the late 1980’s and includes various limited availability seasonal beers and variety packs. Samuel Adams American Light was introduced in 2024 and is made with high quality American ingredients and recently earned the title of Best Light Beer in America in the World Beer Awards.</w:t>
      </w:r>
    </w:p>
    <w:p>
      <w:pPr>
        <w:spacing w:after="0" w:line="9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A4967"/>
        </w:rPr>
        <w:t>Samuel Adams Just the Haze, a non-alcoholic hazy IPA, was released in early 2021 and Samuel Adams Golden, a non-alcoholic golden lager, was released in early 2023. The two Samuel Adams non-alcoholic beers combined in dollars grew 84% in 2023 and 27% in 2024 and represent 8% of the brands total.</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A4967"/>
        </w:rPr>
        <w:t>The majority of the promotional and distribution efforts for the Samuel Adams brand family are focused on the Samuel Adams Seasonal program, Samuel Adams Boston Lager and Samuel Adams American Light. Most Samuel Adams beers are available nationally in various bottle, standard can, and keg packages.</w:t>
      </w:r>
    </w:p>
    <w:p>
      <w:pPr>
        <w:spacing w:after="0" w:line="8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3A4967"/>
        </w:rPr>
        <w:t>The Samuel Adams brand also releases a variety of specialty package and draft beers brewed in limited quantities at its Samuel Adams Downtown Boston Tap Room, Samuel Adams Boston Brewery Tap Room, and Samuel Adams Cincinnati Brewery Tap Room.</w:t>
      </w:r>
    </w:p>
    <w:p>
      <w:pPr>
        <w:spacing w:after="0" w:line="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3A4967"/>
        </w:rPr>
        <w:t>The Company offers over twenty-five styles of beer in the Dogfish Head brand family. The Dogfish Head brand began in 1995 and it is recognized as an early leader in bringing culinary innovations to the U.S. craft beer market. The majority of the promotional and distribution efforts for the Dogfish Head brand family are focused on continually-hopped Dogfish Head 60 Minute and 90 Minute IPAs, along with seasonal variety packs. These styles are offered in various can, bottle and keg packages. The Dogfish Head brand also releases a variety of specialty package and draft beers brewed in limited quantities at its Dogfish Head Brewings and Eats and Milton Brewery tasting room locations. The Company does not own distribution rights to the Dogfish Head beer and distilled spirits brands outside of the United States and Canada.</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Angry Orchard Hard Cider</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3A4967"/>
        </w:rPr>
        <w:t>The Company’s Angry Orchard ciders compete within the hard cider category. The hard cider category is $0.5 billion in measured off-premise channels and comprises approximately 5% of Beyond beer and the cider category in dollars increased 2% in 2023 and declined 2% in 2024. This category is small and highly competitive and the competition consists mostly of many small regional and local hard cider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191770</wp:posOffset>
            </wp:positionV>
            <wp:extent cx="2584450" cy="191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920"/>
        <w:spacing w:after="0"/>
        <w:rPr>
          <w:sz w:val="20"/>
          <w:szCs w:val="20"/>
          <w:color w:val="auto"/>
        </w:rPr>
      </w:pPr>
      <w:r>
        <w:rPr>
          <w:rFonts w:ascii="Arial" w:cs="Arial" w:eastAsia="Arial" w:hAnsi="Arial"/>
          <w:sz w:val="14"/>
          <w:szCs w:val="14"/>
          <w:color w:val="3A4967"/>
        </w:rPr>
        <w:t xml:space="preserve">Item 1 </w:t>
      </w:r>
      <w:r>
        <w:rPr>
          <w:rFonts w:ascii="Arial" w:cs="Arial" w:eastAsia="Arial" w:hAnsi="Arial"/>
          <w:sz w:val="14"/>
          <w:szCs w:val="14"/>
          <w:color w:val="6D7890"/>
        </w:rPr>
        <w:t>Business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80"/>
        <w:spacing w:after="0" w:line="252" w:lineRule="auto"/>
        <w:rPr>
          <w:sz w:val="20"/>
          <w:szCs w:val="20"/>
          <w:color w:val="auto"/>
        </w:rPr>
      </w:pPr>
      <w:r>
        <w:rPr>
          <w:rFonts w:ascii="Arial" w:cs="Arial" w:eastAsia="Arial" w:hAnsi="Arial"/>
          <w:sz w:val="18"/>
          <w:szCs w:val="18"/>
          <w:color w:val="3A4967"/>
        </w:rPr>
        <w:t>The Company offers over ten styles of hard cider in the Angry Orchard brand family, most of which are available nationally in the United States in various bottle, can, and keg packages. The majority of the promotional and distribution efforts for the Angry Orchard brand family are focused on Angry Orchard Crisp Apple. The Angry Orchard brand also releases a variety of specialty package and draft ciders fermented in limited quantities at its Company-owned Orchard and Cidery in Walden, New York.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Dogfish Head Spirit RTDs and Sun Cruiser</w:t>
      </w:r>
    </w:p>
    <w:p>
      <w:pPr>
        <w:spacing w:after="0" w:line="114" w:lineRule="exact"/>
        <w:rPr>
          <w:sz w:val="20"/>
          <w:szCs w:val="20"/>
          <w:color w:val="auto"/>
        </w:rPr>
      </w:pPr>
    </w:p>
    <w:p>
      <w:pPr>
        <w:jc w:val="both"/>
        <w:ind w:right="280"/>
        <w:spacing w:after="0" w:line="269" w:lineRule="auto"/>
        <w:rPr>
          <w:sz w:val="20"/>
          <w:szCs w:val="20"/>
          <w:color w:val="auto"/>
        </w:rPr>
      </w:pPr>
      <w:r>
        <w:rPr>
          <w:rFonts w:ascii="Arial" w:cs="Arial" w:eastAsia="Arial" w:hAnsi="Arial"/>
          <w:sz w:val="17"/>
          <w:szCs w:val="17"/>
          <w:color w:val="3A4967"/>
        </w:rPr>
        <w:t>The Company’s Dogfish Head Canned Cocktails and Sun Cruiser brands compete in the spirits RTD category. The spirits RTD category is $1.3 billion in measured off -premise channels and comprises approximately 13% of Beyond beer and the spirits RTD category in dollars increased approximately 54% in 2023 and 24% in 2024. This category is highly competitive and includes large international and domestic competitors, as well as many small regional and local craft distilling companies.</w:t>
      </w:r>
    </w:p>
    <w:p>
      <w:pPr>
        <w:spacing w:after="0" w:line="89" w:lineRule="exact"/>
        <w:rPr>
          <w:sz w:val="20"/>
          <w:szCs w:val="20"/>
          <w:color w:val="auto"/>
        </w:rPr>
      </w:pPr>
    </w:p>
    <w:p>
      <w:pPr>
        <w:jc w:val="both"/>
        <w:ind w:right="280"/>
        <w:spacing w:after="0" w:line="269" w:lineRule="auto"/>
        <w:rPr>
          <w:sz w:val="20"/>
          <w:szCs w:val="20"/>
          <w:color w:val="auto"/>
        </w:rPr>
      </w:pPr>
      <w:r>
        <w:rPr>
          <w:rFonts w:ascii="Arial" w:cs="Arial" w:eastAsia="Arial" w:hAnsi="Arial"/>
          <w:sz w:val="17"/>
          <w:szCs w:val="17"/>
          <w:color w:val="3A4967"/>
        </w:rPr>
        <w:t>The Dogfish Head brand began distilling spirits in 2002 and is considered one of the original craft distilleries. The Company offers over 15 styles of distilled spirits under the Dogfish Head brand in small quantities that are sold in limited markets. In 2021, the Company entered the market for spirits RTDs through its Dogfish Head brand. The Company currently offers over 7 styles of spirits RTDs under the Dogfish Head brand that are available in sleek can and sleek can variety packages.</w:t>
      </w:r>
    </w:p>
    <w:p>
      <w:pPr>
        <w:spacing w:after="0" w:line="89"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3A4967"/>
        </w:rPr>
        <w:t>The Sun Cruiser brand was launched in early 2024. The Company offers eight styles of vodka iced tea and lemonade RTDs in the Sun Cruiser brand family, that will be available nationally in the first half of 2025. All styles are available in sleek cans and some are available in 700 ml cans.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Product Innovations</w:t>
      </w:r>
    </w:p>
    <w:p>
      <w:pPr>
        <w:spacing w:after="0" w:line="114" w:lineRule="exact"/>
        <w:rPr>
          <w:sz w:val="20"/>
          <w:szCs w:val="20"/>
          <w:color w:val="auto"/>
        </w:rPr>
      </w:pPr>
    </w:p>
    <w:p>
      <w:pPr>
        <w:jc w:val="both"/>
        <w:ind w:right="280"/>
        <w:spacing w:after="0" w:line="287" w:lineRule="auto"/>
        <w:rPr>
          <w:sz w:val="20"/>
          <w:szCs w:val="20"/>
          <w:color w:val="auto"/>
        </w:rPr>
      </w:pPr>
      <w:r>
        <w:rPr>
          <w:rFonts w:ascii="Arial" w:cs="Arial" w:eastAsia="Arial" w:hAnsi="Arial"/>
          <w:sz w:val="16"/>
          <w:szCs w:val="16"/>
          <w:color w:val="3A4967"/>
        </w:rPr>
        <w:t>The Company has a proven track record of innovation and building new brands and is committed to maintaining its position as a leading innovator. To that end, the Company continually tests new alcohol beverages and may sell them under various brand labels for evaluation of drinker interest. The Boston Brewery, the Milton Brewery and the Cidery, along with its other larger breweries and brewery tap rooms spend significant time ideating, testing and developing alcohol beverages for the Company’s potential future commercial development and evaluating ingredients and process improvements for existing beverages.</w:t>
      </w:r>
    </w:p>
    <w:p>
      <w:pPr>
        <w:spacing w:after="0" w:line="73" w:lineRule="exact"/>
        <w:rPr>
          <w:sz w:val="20"/>
          <w:szCs w:val="20"/>
          <w:color w:val="auto"/>
        </w:rPr>
      </w:pPr>
    </w:p>
    <w:p>
      <w:pPr>
        <w:jc w:val="both"/>
        <w:ind w:right="280"/>
        <w:spacing w:after="0" w:line="268" w:lineRule="auto"/>
        <w:rPr>
          <w:sz w:val="20"/>
          <w:szCs w:val="20"/>
          <w:color w:val="auto"/>
        </w:rPr>
      </w:pPr>
      <w:r>
        <w:rPr>
          <w:rFonts w:ascii="Arial" w:cs="Arial" w:eastAsia="Arial" w:hAnsi="Arial"/>
          <w:sz w:val="17"/>
          <w:szCs w:val="17"/>
          <w:color w:val="3A4967"/>
        </w:rPr>
        <w:t>The Company’s most significant innovations in 2024 were the introduction of the Sun Cruiser brand, a new iced tea vodka based RTD, as well as the launch of Truly Unruly Mix Pack and Twisted Tea Extreme. Also, in 2024 the Company launched Samuel Adams American Light. In the first quarter of 2025, the Company is planning to launch Truly Unruly Lemonade Mix Pack, Sun Cruiser vodka based lemonade and Dogfish Head Grateful Dead Juicy Pale Ale. During the rest of 2025, the Company has plans to add new brands, new beverage styles and may reformulate existing styles of beverages.</w:t>
      </w:r>
    </w:p>
    <w:p>
      <w:pPr>
        <w:spacing w:after="0" w:line="617" w:lineRule="exact"/>
        <w:rPr>
          <w:sz w:val="20"/>
          <w:szCs w:val="20"/>
          <w:color w:val="auto"/>
        </w:rPr>
      </w:pPr>
    </w:p>
    <w:p>
      <w:pPr>
        <w:sectPr>
          <w:pgSz w:w="11880" w:h="15481" w:orient="portrait"/>
          <w:cols w:equalWidth="0" w:num="2">
            <w:col w:w="4920" w:space="340"/>
            <w:col w:w="5200"/>
          </w:cols>
          <w:pgMar w:left="860" w:top="579" w:right="561" w:bottom="0" w:gutter="0" w:footer="0" w:header="0"/>
          <w:type w:val="continuous"/>
        </w:sectPr>
      </w:pPr>
    </w:p>
    <w:p>
      <w:pPr>
        <w:spacing w:after="0" w:line="172"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b w:val="1"/>
          <w:bCs w:val="1"/>
          <w:color w:val="3A4967"/>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460"/>
          </w:cols>
          <w:pgMar w:left="860" w:top="579" w:right="561" w:bottom="0" w:gutter="0" w:footer="0" w:header="0"/>
          <w:type w:val="continuous"/>
        </w:sectPr>
      </w:pPr>
    </w:p>
    <w:bookmarkStart w:id="13" w:name="page14"/>
    <w:bookmarkEnd w:id="13"/>
    <w:p>
      <w:pPr>
        <w:ind w:left="3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42545</wp:posOffset>
            </wp:positionV>
            <wp:extent cx="6463665" cy="4763"/>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3"/>
          <w:szCs w:val="13"/>
          <w:color w:val="3A4967"/>
        </w:rPr>
        <w:t xml:space="preserve">Item 1 </w:t>
      </w:r>
      <w:r>
        <w:rPr>
          <w:rFonts w:ascii="Arial" w:cs="Arial" w:eastAsia="Arial" w:hAnsi="Arial"/>
          <w:sz w:val="13"/>
          <w:szCs w:val="13"/>
          <w:color w:val="6D7890"/>
        </w:rPr>
        <w:t>Business</w:t>
      </w:r>
    </w:p>
    <w:p>
      <w:pPr>
        <w:sectPr>
          <w:pgSz w:w="11880" w:h="15481" w:orient="portrait"/>
          <w:cols w:equalWidth="0" w:num="1">
            <w:col w:w="10480"/>
          </w:cols>
          <w:pgMar w:left="5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00"/>
        <w:spacing w:after="0" w:line="267" w:lineRule="auto"/>
        <w:rPr>
          <w:sz w:val="20"/>
          <w:szCs w:val="20"/>
          <w:color w:val="auto"/>
        </w:rPr>
      </w:pPr>
      <w:r>
        <w:rPr>
          <w:rFonts w:ascii="Arial" w:cs="Arial" w:eastAsia="Arial" w:hAnsi="Arial"/>
          <w:sz w:val="17"/>
          <w:szCs w:val="17"/>
          <w:color w:val="3A4967"/>
        </w:rPr>
        <w:t>In May 2021, the Company announced that it was establishing a subsidiary to serve as a dedicated research and innovation hub in the federally regulated market of Canada focused on non-alcoholic cannabis beverages. This subsidiary enables the Company to develop and pilot unique cannabis beverages, while cannabis regulations continue to evolve in the United States and worldwide. The Company began selling limited quantities of cannabis beverage products in Canada under the TeaPot brand during the second half of 2022. In late 2024, the Company began the launch of a new cannabis beverage brand of hand-crafted non-alcoholic cannabis cocktails named Emerald Hour. The Company currently does not have plans to produce or sell any cannabis products outside of Canada.</w:t>
      </w:r>
    </w:p>
    <w:p>
      <w:pPr>
        <w:spacing w:after="0" w:line="94" w:lineRule="exact"/>
        <w:rPr>
          <w:sz w:val="20"/>
          <w:szCs w:val="20"/>
          <w:color w:val="auto"/>
        </w:rPr>
      </w:pPr>
    </w:p>
    <w:p>
      <w:pPr>
        <w:jc w:val="both"/>
        <w:ind w:left="300"/>
        <w:spacing w:after="0" w:line="252" w:lineRule="auto"/>
        <w:rPr>
          <w:sz w:val="20"/>
          <w:szCs w:val="20"/>
          <w:color w:val="auto"/>
        </w:rPr>
      </w:pPr>
      <w:r>
        <w:rPr>
          <w:rFonts w:ascii="Arial" w:cs="Arial" w:eastAsia="Arial" w:hAnsi="Arial"/>
          <w:sz w:val="18"/>
          <w:szCs w:val="18"/>
          <w:color w:val="3A4967"/>
        </w:rPr>
        <w:t>The Company continually evaluates the performance of its beverages and the rationalization of its product lines as a whole. Periodically, the Company discontinues certain styles and packages. For example, the Company discontinued Truly Margarita Style Variety Pack and Truly Tropical Variety Pack during the first half of 2024. Also late in 2024, the Company discontinued its Slingers and General Admission brands. In early 2025, Truly Vodka Soda and Truly Tequila Soda were discontinued. Certain styles or brands put on hiatus or discontinued in previous years may be produced for the Company’s variety packs or reintroduced.</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6D7890"/>
        </w:rPr>
        <w:t>Sales, Distribution, and Marketing</w:t>
      </w:r>
    </w:p>
    <w:p>
      <w:pPr>
        <w:spacing w:after="0" w:line="114"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3A4967"/>
        </w:rPr>
        <w:t>As dictated by the legal and regulatory environment, most all the Company’s sales are made to a network of over 300 wholesalers in the United States and to a network of foreign wholesalers, importers or other agencies (collectively referred to as “Distributors”). These Distributors, in turn, sell the products to retailers, such as grocery stores, club stores, convenience stores, liquor stores, bars, restaurants, stadiums and other traditional and e-commerce retail outlets, where the products are sold to drinkers, and in some limited circumstances to parties who act as sub-distributors. The Company sells its products predominantly in the United States, but also has markets in Canada, Mexico and other international markets.</w:t>
      </w:r>
    </w:p>
    <w:p>
      <w:pPr>
        <w:spacing w:after="0" w:line="86" w:lineRule="exact"/>
        <w:rPr>
          <w:sz w:val="20"/>
          <w:szCs w:val="20"/>
          <w:color w:val="auto"/>
        </w:rPr>
      </w:pPr>
    </w:p>
    <w:p>
      <w:pPr>
        <w:jc w:val="both"/>
        <w:ind w:left="300"/>
        <w:spacing w:after="0" w:line="267" w:lineRule="auto"/>
        <w:rPr>
          <w:sz w:val="20"/>
          <w:szCs w:val="20"/>
          <w:color w:val="auto"/>
        </w:rPr>
      </w:pPr>
      <w:r>
        <w:rPr>
          <w:rFonts w:ascii="Arial" w:cs="Arial" w:eastAsia="Arial" w:hAnsi="Arial"/>
          <w:sz w:val="17"/>
          <w:szCs w:val="17"/>
          <w:color w:val="3A4967"/>
        </w:rPr>
        <w:t>With few exceptions, the Company’s products are not the primary brands in its Distributors’ portfolios. Thus, the Company, in addition to competing with other beverages for a share of the drinker’s business, competes with other beverage companies for a share of the Distributor’s attention, time and selling efforts. During 2024, the Company’s largest individual Distributor accounted for approximately 3% of the Company’s gross sales. The top three individual Distributors collectively accounted for approximately 7% of the Company’s gross sales. In some states and countries, the Company’s contracts with its Distributors may be affected by laws that restrict the enforcement of some contract terms, especially those related to the Company’s right to terminate the relationship.</w:t>
      </w:r>
    </w:p>
    <w:p>
      <w:pPr>
        <w:spacing w:after="0" w:line="94" w:lineRule="exact"/>
        <w:rPr>
          <w:sz w:val="20"/>
          <w:szCs w:val="20"/>
          <w:color w:val="auto"/>
        </w:rPr>
      </w:pPr>
    </w:p>
    <w:p>
      <w:pPr>
        <w:jc w:val="both"/>
        <w:ind w:left="300"/>
        <w:spacing w:after="0" w:line="281" w:lineRule="auto"/>
        <w:rPr>
          <w:sz w:val="20"/>
          <w:szCs w:val="20"/>
          <w:color w:val="auto"/>
        </w:rPr>
      </w:pPr>
      <w:r>
        <w:rPr>
          <w:rFonts w:ascii="Arial" w:cs="Arial" w:eastAsia="Arial" w:hAnsi="Arial"/>
          <w:sz w:val="17"/>
          <w:szCs w:val="17"/>
          <w:color w:val="3A4967"/>
        </w:rPr>
        <w:t>Most of the Company’s products are shipped within days of packaging, resulting in limited finished goods at the Company’s breweries and third-party production facilities.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555625</wp:posOffset>
            </wp:positionV>
            <wp:extent cx="2584450" cy="191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works with its distributors closely and has designed its internal supply chain systems and process to manage and maintain distributor inventories at between three and five weeks of sales on hand. These levels are designed to result in high customer service levels, limit distributor and retailer out of stocks and reduce the risk of inventory obsolescence.</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3A4967"/>
        </w:rPr>
        <w:t>During 2022, the Company produced and sourced materials for Truly Hard seltzer and some of its newer brands at the upper end of its projections to avoid out of stocks at retail. This led to improved customer service levels and significantly fewer out of stocks but resulted in write-offs of excess inventory at the Company’s breweries and warehouses. During 2023, the Company significantly improved its supply chain functions which led to reduced inventories internally and at distributors, while improving customer service levels and significantly reducing write-offs of excess inventory. During 2024, the Company’s distributor out of stocks improved significantly from prior years and were limited to some relatively minor out of stocks on its Truly brand during peak summer months. The Company continues to work on its supply chain improvement initiatives to better manage inventory and further reduce inventory obsolescence.</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A4967"/>
        </w:rPr>
        <w:t>The Company believes distributor inventory as of December 28, 2024 and December 30, 2023 was at an appropriate level for each of its brands and averaged approximately four weeks on hand.</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Boston Beer has a sales force of over 475 people, which the Company believes is one of the largest in the US Beer Market industry. The Company’s sales organization is designed to develop and strengthen relations at the Distributor, retailer and drinker levels by providing educational and promotional programs. The Company’s sales force has a high level of product knowledge and is trained in the details of the brewing and selling processes. Sales representatives typically carry samples of the Company’s beverages and other promotional materials to educate wholesale and retail buyers about the quality and taste of the Company’s products. The Company has developed strong relationships with its Distributors and retailers, many of which have benefited from the Company’s premium pricing strategy and growth.</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The Company also engages in media campaigns, including television, digital and social media, radio, billboards, and print. These media efforts are complemented by participation in sponsorships, which currently include the United States Soccer Federation, Barstool Sports, the Boston Red Sox, and other professional sports teams, the Boston Marathon, local concert and festivals, and industry-related trade shows and promotional events at local establishments, to the extent permitted under local laws and regulations. The Company uses a wide array of point-of-sale items (banners, neon signs, umbrellas, glassware, display pieces, signs and menu stands) designed to stimulate impulse sales and continued awareness, where legal.</w:t>
      </w:r>
    </w:p>
    <w:p>
      <w:pPr>
        <w:spacing w:after="0" w:line="702" w:lineRule="exact"/>
        <w:rPr>
          <w:sz w:val="20"/>
          <w:szCs w:val="20"/>
          <w:color w:val="auto"/>
        </w:rPr>
      </w:pPr>
    </w:p>
    <w:p>
      <w:pPr>
        <w:sectPr>
          <w:pgSz w:w="11880" w:h="15481" w:orient="portrait"/>
          <w:cols w:equalWidth="0" w:num="2">
            <w:col w:w="5220" w:space="340"/>
            <w:col w:w="4920"/>
          </w:cols>
          <w:pgMar w:left="5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20" w:val="left"/>
          <w:tab w:leader="none" w:pos="9040" w:val="left"/>
        </w:tabs>
        <w:rPr>
          <w:sz w:val="20"/>
          <w:szCs w:val="20"/>
          <w:color w:val="auto"/>
        </w:rPr>
      </w:pPr>
      <w:r>
        <w:rPr>
          <w:rFonts w:ascii="Arial" w:cs="Arial" w:eastAsia="Arial" w:hAnsi="Arial"/>
          <w:sz w:val="16"/>
          <w:szCs w:val="16"/>
          <w:b w:val="1"/>
          <w:bCs w:val="1"/>
          <w:color w:val="3A4967"/>
        </w:rPr>
        <w:t>4</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-97155</wp:posOffset>
            </wp:positionV>
            <wp:extent cx="1939925" cy="4763"/>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-138430</wp:posOffset>
            </wp:positionV>
            <wp:extent cx="1939925" cy="635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205740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7180580</wp:posOffset>
            </wp:positionH>
            <wp:positionV relativeFrom="paragraph">
              <wp:posOffset>205740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480"/>
          </w:cols>
          <w:pgMar w:left="560" w:top="579" w:right="841" w:bottom="0" w:gutter="0" w:footer="0" w:header="0"/>
          <w:type w:val="continuous"/>
        </w:sectPr>
      </w:pPr>
    </w:p>
    <w:bookmarkStart w:id="14" w:name="page15"/>
    <w:bookmarkEnd w:id="14"/>
    <w:p>
      <w:pPr>
        <w:ind w:left="972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460"/>
          </w:cols>
          <w:pgMar w:left="860" w:top="579" w:right="5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Packaging and Ingredients</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3A4967"/>
        </w:rPr>
        <w:t>Historically, the Company has been successful in obtaining sufficient quantities of the packaging materials and ingredients used in the production of its beverages. During 2020 and 2021, the Company experienced some supply chain constraints in packaging materials, primarily cans, that impacted the Company’s production schedules and increased can costs as a result of using a more expensive can supplier. The Company enters into limited-term supply agreements with certain vendors in order to receive preferential pricing. The Company maintains competitive sources for most packaging materials and ingredients. In 2024, certain flavorings, crowns and labels were each supplied by a single source; however, the Company believes that, given time to adjust, alternative suppliers are available. The most significant packaging and ingredients include: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Cans</w:t>
      </w:r>
    </w:p>
    <w:p>
      <w:pPr>
        <w:spacing w:after="0" w:line="11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3A4967"/>
        </w:rPr>
        <w:t>Truly Hard Seltzer brand beverages are primarily packaged in sleek cans and Twisted Tea brand beverages are primarily packaged in standard cans. In 2024, approximately 79% of the Company’s total volume was packaged in cans and the Company expects that percentage to increase further in 2025. The demand for cans in the beverage industry significantly increased during 2020 and 2021 and there was a shortage of capacity, as can manufacturers adjusted their supply chains to keep up with the increased demand which had accelerated beginning in 2020 as alcohol consumption shifted from on-premise to off-premise. In 2021, as the Truly and the Twisted Tea brand families grew, the Company experienced supply shortages and these supply shortages impacted the Company’s production schedules and increased can costs as a result of using a more expensive can supplier. During 2022, 2023 and 2024 the Company did not have any significant disruptions in its can supply and the Company currently believes that it will have a sufficient supply of cans in 2025.</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Flavorings and Fruit Juice</w:t>
      </w:r>
    </w:p>
    <w:p>
      <w:pPr>
        <w:spacing w:after="0" w:line="1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3A4967"/>
        </w:rPr>
        <w:t>The Company’s beverages include many unique and proprietary flavors and combinations of flavors and most of these flavorings are single sourced. Truly Hard Seltzer and Twisted Tea brand beverages are particularly reliant on the use of flavorings and a variety of flavors as part of their appeal to drinkers. The Company is working closely with various flavoring and fruit juice suppliers to ensure it has an adequate supply and currently believes that it will have sufficient supply of flavorings and fruit juice in 2025.</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Cardboard</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A4967"/>
        </w:rPr>
        <w:t>The Company’s beverages are packaged primarily in cardboard wraps, carriers and cardboard shipping cases. Since 2020, the Company has not had any significant disruptions in its supply of cardboard and the Company currently believes that it will have a sufficient supply of cardboard wraps in 2025.</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Glass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A4967"/>
        </w:rPr>
        <w:t>Some of the Company’s beverages are sold in glass bottles. Since 2020, the Company has not had any significant disruptions in its supply of glass and the Company currently believes that it will have a sufficient supply of glass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153035</wp:posOffset>
            </wp:positionV>
            <wp:extent cx="2584450" cy="1917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920"/>
        <w:spacing w:after="0"/>
        <w:rPr>
          <w:sz w:val="20"/>
          <w:szCs w:val="20"/>
          <w:color w:val="auto"/>
        </w:rPr>
      </w:pPr>
      <w:r>
        <w:rPr>
          <w:rFonts w:ascii="Arial" w:cs="Arial" w:eastAsia="Arial" w:hAnsi="Arial"/>
          <w:sz w:val="14"/>
          <w:szCs w:val="14"/>
          <w:color w:val="3A4967"/>
        </w:rPr>
        <w:t xml:space="preserve">Item 1 </w:t>
      </w:r>
      <w:r>
        <w:rPr>
          <w:rFonts w:ascii="Arial" w:cs="Arial" w:eastAsia="Arial" w:hAnsi="Arial"/>
          <w:sz w:val="14"/>
          <w:szCs w:val="14"/>
          <w:color w:val="6D7890"/>
        </w:rPr>
        <w:t>Business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Malt</w:t>
      </w:r>
    </w:p>
    <w:p>
      <w:pPr>
        <w:spacing w:after="0" w:line="118" w:lineRule="exact"/>
        <w:rPr>
          <w:sz w:val="20"/>
          <w:szCs w:val="20"/>
          <w:color w:val="auto"/>
        </w:rPr>
      </w:pPr>
    </w:p>
    <w:p>
      <w:pPr>
        <w:jc w:val="both"/>
        <w:ind w:right="280"/>
        <w:spacing w:after="0" w:line="252" w:lineRule="auto"/>
        <w:rPr>
          <w:sz w:val="20"/>
          <w:szCs w:val="20"/>
          <w:color w:val="auto"/>
        </w:rPr>
      </w:pPr>
      <w:r>
        <w:rPr>
          <w:rFonts w:ascii="Arial" w:cs="Arial" w:eastAsia="Arial" w:hAnsi="Arial"/>
          <w:sz w:val="18"/>
          <w:szCs w:val="18"/>
          <w:color w:val="3A4967"/>
        </w:rPr>
        <w:t>The two-row varieties of barley used in the Company’s malt are mainly grown in the United States and Canada. The 2024 North American barley crop, which will support 2025 malt needs, was generally consistent with historical long-term averages with regard to both quality and quantity. The Company purchased most of the malt used in the production of its beers from four suppliers during 2024. The Company also believes that there are other malt suppliers available that are capable of supplying its needs.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Hops</w:t>
      </w:r>
    </w:p>
    <w:p>
      <w:pPr>
        <w:spacing w:after="0" w:line="118" w:lineRule="exact"/>
        <w:rPr>
          <w:sz w:val="20"/>
          <w:szCs w:val="20"/>
          <w:color w:val="auto"/>
        </w:rPr>
      </w:pPr>
    </w:p>
    <w:p>
      <w:pPr>
        <w:jc w:val="both"/>
        <w:ind w:right="280"/>
        <w:spacing w:after="0" w:line="249" w:lineRule="auto"/>
        <w:rPr>
          <w:sz w:val="20"/>
          <w:szCs w:val="20"/>
          <w:color w:val="auto"/>
        </w:rPr>
      </w:pPr>
      <w:r>
        <w:rPr>
          <w:rFonts w:ascii="Arial" w:cs="Arial" w:eastAsia="Arial" w:hAnsi="Arial"/>
          <w:sz w:val="18"/>
          <w:szCs w:val="18"/>
          <w:color w:val="3A4967"/>
        </w:rPr>
        <w:t xml:space="preserve">The Company uses Noble hop varieties from Europe for many of its Samuel Adams beers and also uses hops grown in other areas of Europe, the United States, and New Zealand. Noble hops are grown in several specific areas in Germany and the Czech Republic that are recognized for growing hops with superior taste and aroma properties. The Company uses hops in various formats including T-90 hop pellets, T-45 hop pellets and CO </w:t>
      </w:r>
      <w:r>
        <w:rPr>
          <w:rFonts w:ascii="Arial" w:cs="Arial" w:eastAsia="Arial" w:hAnsi="Arial"/>
          <w:sz w:val="20"/>
          <w:szCs w:val="20"/>
          <w:color w:val="3A4967"/>
          <w:vertAlign w:val="subscript"/>
        </w:rPr>
        <w:t>2</w:t>
      </w:r>
      <w:r>
        <w:rPr>
          <w:rFonts w:ascii="Arial" w:cs="Arial" w:eastAsia="Arial" w:hAnsi="Arial"/>
          <w:sz w:val="18"/>
          <w:szCs w:val="18"/>
          <w:color w:val="3A4967"/>
        </w:rPr>
        <w:t xml:space="preserve"> Extract. The Company stores its hops in multiple cold storage warehouses to minimize the impact of a catastrophe at a single site.</w:t>
      </w:r>
    </w:p>
    <w:p>
      <w:pPr>
        <w:spacing w:after="0" w:line="102" w:lineRule="exact"/>
        <w:rPr>
          <w:sz w:val="20"/>
          <w:szCs w:val="20"/>
          <w:color w:val="auto"/>
        </w:rPr>
      </w:pPr>
    </w:p>
    <w:p>
      <w:pPr>
        <w:jc w:val="both"/>
        <w:ind w:right="280"/>
        <w:spacing w:after="0" w:line="270" w:lineRule="auto"/>
        <w:rPr>
          <w:sz w:val="20"/>
          <w:szCs w:val="20"/>
          <w:color w:val="auto"/>
        </w:rPr>
      </w:pPr>
      <w:r>
        <w:rPr>
          <w:rFonts w:ascii="Arial" w:cs="Arial" w:eastAsia="Arial" w:hAnsi="Arial"/>
          <w:sz w:val="17"/>
          <w:szCs w:val="17"/>
          <w:color w:val="3A4967"/>
        </w:rPr>
        <w:t>The Company enters into purchase commitments with seven primary hop dealers, attempts to maintain a one to two-year supply of essential hop varieties on-hand in order to limit the risk of an unexpected reduction in supply, and procures hops needed for new beers, based on its best estimate of likely short-term demand. The Company classifies hops inventory in excess of two years of forecasted usage as other long term assets.</w:t>
      </w:r>
    </w:p>
    <w:p>
      <w:pPr>
        <w:spacing w:after="0" w:line="86" w:lineRule="exact"/>
        <w:rPr>
          <w:sz w:val="20"/>
          <w:szCs w:val="20"/>
          <w:color w:val="auto"/>
        </w:rPr>
      </w:pPr>
    </w:p>
    <w:p>
      <w:pPr>
        <w:jc w:val="both"/>
        <w:ind w:right="280"/>
        <w:spacing w:after="0" w:line="267" w:lineRule="auto"/>
        <w:rPr>
          <w:sz w:val="20"/>
          <w:szCs w:val="20"/>
          <w:color w:val="auto"/>
        </w:rPr>
      </w:pPr>
      <w:r>
        <w:rPr>
          <w:rFonts w:ascii="Arial" w:cs="Arial" w:eastAsia="Arial" w:hAnsi="Arial"/>
          <w:sz w:val="18"/>
          <w:szCs w:val="18"/>
          <w:color w:val="3A4967"/>
        </w:rPr>
        <w:t>Variations to usage plans could result in hops shortages for specific beers or an excess of certain hops varieties.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Yeast</w:t>
      </w:r>
    </w:p>
    <w:p>
      <w:pPr>
        <w:spacing w:after="0" w:line="118" w:lineRule="exact"/>
        <w:rPr>
          <w:sz w:val="20"/>
          <w:szCs w:val="20"/>
          <w:color w:val="auto"/>
        </w:rPr>
      </w:pPr>
    </w:p>
    <w:p>
      <w:pPr>
        <w:jc w:val="both"/>
        <w:ind w:right="280"/>
        <w:spacing w:after="0" w:line="271" w:lineRule="auto"/>
        <w:rPr>
          <w:sz w:val="20"/>
          <w:szCs w:val="20"/>
          <w:color w:val="auto"/>
        </w:rPr>
      </w:pPr>
      <w:r>
        <w:rPr>
          <w:rFonts w:ascii="Arial" w:cs="Arial" w:eastAsia="Arial" w:hAnsi="Arial"/>
          <w:sz w:val="17"/>
          <w:szCs w:val="17"/>
          <w:color w:val="3A4967"/>
        </w:rPr>
        <w:t>The Company uses multiple yeast strains for production of its beverages. While some strains are commercially available, other strains are proprietary. Since the proprietary strains cannot be replaced if destroyed, the Company protects these strains by storing multiple cultures of the same strain at different production locations and in several independent laboratories.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Apples</w:t>
      </w:r>
    </w:p>
    <w:p>
      <w:pPr>
        <w:spacing w:after="0" w:line="118" w:lineRule="exact"/>
        <w:rPr>
          <w:sz w:val="20"/>
          <w:szCs w:val="20"/>
          <w:color w:val="auto"/>
        </w:rPr>
      </w:pPr>
    </w:p>
    <w:p>
      <w:pPr>
        <w:jc w:val="both"/>
        <w:ind w:right="280"/>
        <w:spacing w:after="0" w:line="268" w:lineRule="auto"/>
        <w:rPr>
          <w:sz w:val="20"/>
          <w:szCs w:val="20"/>
          <w:color w:val="auto"/>
        </w:rPr>
      </w:pPr>
      <w:r>
        <w:rPr>
          <w:rFonts w:ascii="Arial" w:cs="Arial" w:eastAsia="Arial" w:hAnsi="Arial"/>
          <w:sz w:val="17"/>
          <w:szCs w:val="17"/>
          <w:color w:val="3A4967"/>
        </w:rPr>
        <w:t>The Company uses special varieties and origins of apples in its hard ciders that it believes are important for their flavor profiles. In 2024, these apples were sourced primarily from Europe and the United States and include bittersweet apples from France and culinary apples from Italy, Washington State and New York. Purchases and commitments are denominated in Euros for European apples and US Dollars for American apples. There is limited availability of some of these apple varieties, and many outside factors, including weather conditions, growers rotating from apples to other crops, competitor demand, government regulation and legislation affecting agriculture could affect both price and supply.</w:t>
      </w:r>
    </w:p>
    <w:p>
      <w:pPr>
        <w:spacing w:after="0" w:line="775" w:lineRule="exact"/>
        <w:rPr>
          <w:sz w:val="20"/>
          <w:szCs w:val="20"/>
          <w:color w:val="auto"/>
        </w:rPr>
      </w:pPr>
    </w:p>
    <w:p>
      <w:pPr>
        <w:sectPr>
          <w:pgSz w:w="11880" w:h="15481" w:orient="portrait"/>
          <w:cols w:equalWidth="0" w:num="2">
            <w:col w:w="4920" w:space="340"/>
            <w:col w:w="5200"/>
          </w:cols>
          <w:pgMar w:left="860" w:top="579" w:right="561" w:bottom="0" w:gutter="0" w:footer="0" w:header="0"/>
          <w:type w:val="continuous"/>
        </w:sectPr>
      </w:pPr>
    </w:p>
    <w:p>
      <w:pPr>
        <w:spacing w:after="0" w:line="111"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b w:val="1"/>
          <w:bCs w:val="1"/>
          <w:color w:val="3A4967"/>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460"/>
          </w:cols>
          <w:pgMar w:left="860" w:top="579" w:right="561" w:bottom="0" w:gutter="0" w:footer="0" w:header="0"/>
          <w:type w:val="continuous"/>
        </w:sectPr>
      </w:pPr>
    </w:p>
    <w:bookmarkStart w:id="15" w:name="page16"/>
    <w:bookmarkEnd w:id="15"/>
    <w:p>
      <w:pPr>
        <w:ind w:left="3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42545</wp:posOffset>
            </wp:positionV>
            <wp:extent cx="6463665" cy="4763"/>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3"/>
          <w:szCs w:val="13"/>
          <w:color w:val="3A4967"/>
        </w:rPr>
        <w:t xml:space="preserve">Item 1 </w:t>
      </w:r>
      <w:r>
        <w:rPr>
          <w:rFonts w:ascii="Arial" w:cs="Arial" w:eastAsia="Arial" w:hAnsi="Arial"/>
          <w:sz w:val="13"/>
          <w:szCs w:val="13"/>
          <w:color w:val="6D7890"/>
        </w:rPr>
        <w:t>Business</w:t>
      </w:r>
    </w:p>
    <w:p>
      <w:pPr>
        <w:sectPr>
          <w:pgSz w:w="11880" w:h="15481" w:orient="portrait"/>
          <w:cols w:equalWidth="0" w:num="1">
            <w:col w:w="10480"/>
          </w:cols>
          <w:pgMar w:left="5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6D7890"/>
        </w:rPr>
        <w:t>Quality Assurance</w:t>
      </w:r>
    </w:p>
    <w:p>
      <w:pPr>
        <w:spacing w:after="0" w:line="114"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3A4967"/>
        </w:rPr>
        <w:t>The Company employs a quality assurance team and brewmasters to monitor the Company’s brewing operations and control the production of its beverages both at Company-owned breweries and at the third-party production facilities at which the Company’s products are produced. Extensive tests, tastings and evaluations are typically required to ensure that each batch of the Company’s beverages conforms to the Company’s standards. The Company has on-site quality control labs at each of the Company-owned breweries and supports the smaller tap rooms and local breweries with additional centralized lab services.</w:t>
      </w:r>
    </w:p>
    <w:p>
      <w:pPr>
        <w:spacing w:after="0" w:line="91"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3A4967"/>
        </w:rPr>
        <w:t>With the exception of certain specialty and distilled products, the Company includes a clearly legible “freshness” date on every bottle, can and keg of its beverages, in order to ensure that its drinkers enjoy only the freshest products. Boston Beer was the first American brewer to use this practice.</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6D7890"/>
        </w:rPr>
        <w:t>Production Strategy</w:t>
      </w:r>
    </w:p>
    <w:p>
      <w:pPr>
        <w:spacing w:after="0" w:line="114" w:lineRule="exact"/>
        <w:rPr>
          <w:sz w:val="20"/>
          <w:szCs w:val="20"/>
          <w:color w:val="auto"/>
        </w:rPr>
      </w:pPr>
    </w:p>
    <w:p>
      <w:pPr>
        <w:jc w:val="both"/>
        <w:ind w:left="300"/>
        <w:spacing w:after="0" w:line="267" w:lineRule="auto"/>
        <w:rPr>
          <w:sz w:val="20"/>
          <w:szCs w:val="20"/>
          <w:color w:val="auto"/>
        </w:rPr>
      </w:pPr>
      <w:r>
        <w:rPr>
          <w:rFonts w:ascii="Arial" w:cs="Arial" w:eastAsia="Arial" w:hAnsi="Arial"/>
          <w:sz w:val="17"/>
          <w:szCs w:val="17"/>
          <w:color w:val="3A4967"/>
        </w:rPr>
        <w:t>The Company continues to pursue a production strategy that includes production at breweries owned by the Company and production facilities owned by others. The Company made capital investments in 2024 of approximately $76.8 million, most of which represented investments in breweries owned by the Company. These investments were made to drive efficiencies and cost reductions and support product innovation. Based on its current estimates of future volumes and mix, the Company expects to invest between $90 million and $110 million in 2025 to meet those estimates. The increase in 2025 estimated capital expenditures compared to 2024 is driven by an investment in our Pennsylvania Brewery infrastructure for wastewater treatment. Because actual capital investments are highly dependent on meeting demand, the actual amount spent may well be significantly different from the Company’s current expectations.</w:t>
      </w:r>
    </w:p>
    <w:p>
      <w:pPr>
        <w:spacing w:after="0" w:line="91" w:lineRule="exact"/>
        <w:rPr>
          <w:sz w:val="20"/>
          <w:szCs w:val="20"/>
          <w:color w:val="auto"/>
        </w:rPr>
      </w:pPr>
    </w:p>
    <w:p>
      <w:pPr>
        <w:jc w:val="both"/>
        <w:ind w:left="300"/>
        <w:spacing w:after="0" w:line="256" w:lineRule="auto"/>
        <w:rPr>
          <w:sz w:val="20"/>
          <w:szCs w:val="20"/>
          <w:color w:val="auto"/>
        </w:rPr>
      </w:pPr>
      <w:r>
        <w:rPr>
          <w:rFonts w:ascii="Arial" w:cs="Arial" w:eastAsia="Arial" w:hAnsi="Arial"/>
          <w:sz w:val="18"/>
          <w:szCs w:val="18"/>
          <w:color w:val="3A4967"/>
        </w:rPr>
        <w:t>The Pennsylvania Brewery, the Cincinnati Brewery and the Milton Brewery produced most of the Company’s shipment volume from Company owned breweries during 2024. The Pennsylvania Brewery is the Company’s largest brewery.</w:t>
      </w:r>
    </w:p>
    <w:p>
      <w:pPr>
        <w:spacing w:after="0" w:line="94" w:lineRule="exact"/>
        <w:rPr>
          <w:sz w:val="20"/>
          <w:szCs w:val="20"/>
          <w:color w:val="auto"/>
        </w:rPr>
      </w:pPr>
    </w:p>
    <w:p>
      <w:pPr>
        <w:jc w:val="both"/>
        <w:ind w:left="300"/>
        <w:spacing w:after="0" w:line="253" w:lineRule="auto"/>
        <w:rPr>
          <w:sz w:val="20"/>
          <w:szCs w:val="20"/>
          <w:color w:val="auto"/>
        </w:rPr>
      </w:pPr>
      <w:r>
        <w:rPr>
          <w:rFonts w:ascii="Arial" w:cs="Arial" w:eastAsia="Arial" w:hAnsi="Arial"/>
          <w:sz w:val="18"/>
          <w:szCs w:val="18"/>
          <w:color w:val="3A4967"/>
        </w:rPr>
        <w:t>Production and retail activities at the Company’s local breweries and tap rooms are mainly for brewing and packaging beers for retail sales on site at tap rooms and gift shops, restaurant activities, developing innovative and traditional beers and in some cases supporting draft and package accounts in the respective local market areas.</w:t>
      </w:r>
    </w:p>
    <w:p>
      <w:pPr>
        <w:spacing w:after="0" w:line="100" w:lineRule="exact"/>
        <w:rPr>
          <w:sz w:val="20"/>
          <w:szCs w:val="20"/>
          <w:color w:val="auto"/>
        </w:rPr>
      </w:pPr>
    </w:p>
    <w:p>
      <w:pPr>
        <w:jc w:val="both"/>
        <w:ind w:left="300"/>
        <w:spacing w:after="0" w:line="256" w:lineRule="auto"/>
        <w:rPr>
          <w:sz w:val="20"/>
          <w:szCs w:val="20"/>
          <w:color w:val="auto"/>
        </w:rPr>
      </w:pPr>
      <w:r>
        <w:rPr>
          <w:rFonts w:ascii="Arial" w:cs="Arial" w:eastAsia="Arial" w:hAnsi="Arial"/>
          <w:sz w:val="18"/>
          <w:szCs w:val="18"/>
          <w:color w:val="3A4967"/>
        </w:rPr>
        <w:t>The Cidery’s production is mainly for developing new types of innovative hard ciders and fermenting and packaging ciders for retail sales on site at the Cidery and supporting draft and package accounts in the local market area.</w:t>
      </w:r>
    </w:p>
    <w:p>
      <w:pPr>
        <w:spacing w:after="0" w:line="94" w:lineRule="exact"/>
        <w:rPr>
          <w:sz w:val="20"/>
          <w:szCs w:val="20"/>
          <w:color w:val="auto"/>
        </w:rPr>
      </w:pPr>
    </w:p>
    <w:p>
      <w:pPr>
        <w:jc w:val="both"/>
        <w:ind w:left="300"/>
        <w:spacing w:after="0" w:line="288" w:lineRule="auto"/>
        <w:rPr>
          <w:sz w:val="20"/>
          <w:szCs w:val="20"/>
          <w:color w:val="auto"/>
        </w:rPr>
      </w:pPr>
      <w:r>
        <w:rPr>
          <w:rFonts w:ascii="Arial" w:cs="Arial" w:eastAsia="Arial" w:hAnsi="Arial"/>
          <w:sz w:val="16"/>
          <w:szCs w:val="16"/>
          <w:color w:val="3A4967"/>
        </w:rPr>
        <w:t>During each of the years ended December 28, 2024 and December 30, 2023, the Company produced approximately 74% of its domestic volume at Company-owned breweries. In the normal course of its business, the Company has historically entered into various production arrangements with other production companies. Pursuant to these arrangements, the Company generally supplies raw materials and packaging to those production companies and incurs conversion fees for labor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184785</wp:posOffset>
            </wp:positionV>
            <wp:extent cx="2584450" cy="1917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A4967"/>
        </w:rPr>
        <w:t>the time the liquid is produced and packaged. The Company has made up-front payments that were used for capital improvements at these third-party production facilities that it expenses over the period of the contracts.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The Company currently has production services agreements with subsidiaries of City Brewing Company, LLC (“City Brewing”). During 2024 and 2023, City Brewing supplied approximately 26% and 22%, respectively, of the Company’s annual domestic shipment volume. In accordance with the production services agreements, the Company has paid to City Brewing for capital improvements at its facilities and other pre -payments. These payments are being expensed over the terms of the agreements. Currently, certain of these production services agreements expire on December 31, 2025 and others on December 31, 2028. The Company has the contractual right to extend its agreements with City Brewing beyond the current termination dates on an annual basis through December 31, 2035. The remaining net book value of these third-party production prepayments is $14.5 million at December 28, 2024 of which $10.3 million is expected to be expensed to cost of goods sold during 2025 and the remainder thereafter.</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A4967"/>
        </w:rPr>
        <w:t>These agreements include minimum capacity availability commitments by City Brewing and the Company is obligated to meet annual minimum volume commitments and is subject to contractual shortfall fees, if these annual minimum volume commitments are not met.</w:t>
      </w:r>
    </w:p>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In January of 2024, the Company and City Brewing entered into a Loan and Security Agreement at which time payment of $20 million was made by the Company to City Brewing. Repayment of the note receivable plus an agreed investment return for a combined total of $22.4 million shall be repaid to the company subject to annual repayment limits. As of December 28, 2024, the balance of the note receivable is $16.7 million and the final maturity date is December 31, 2028.</w:t>
      </w:r>
    </w:p>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In December of 2024 the Company entered into an amendment and restatement in its entirety of an existing production agreement with a third-party supplier, Rauch North America Inc (“Rauch”). This amendment and restatement adjusted the existing production agreement to better match the Company’s future capacity requirements and resulted in increased production flexibility and more favorable termination rights to the Company in exchange for a $26 million cash payment to Rauch which was paid on December 23, 2024. As a result of the payment, the Company recorded a pre-tax contract settlement expense of $26 million in the fourth quarter of 2024.</w:t>
      </w:r>
    </w:p>
    <w:p>
      <w:pPr>
        <w:spacing w:after="0" w:line="8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3A4967"/>
        </w:rPr>
        <w:t>The amended and restated Rauch agreement includes quarterly minimum payments that generally total $4.1 million annually at zero volume and a termination fee of $5 million with 12 months written notice. The initial term of the agreement expires December 31, 2031 with provisions to extend.</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3A4967"/>
        </w:rPr>
        <w:t>At current production volume projections, the Company believes that it will fall short of its future annual volume commitments under the City Brewing and Rauch agreements and will incur shortfall fees. The Company expenses the shortfall fees during the contractual period when such fees are incurred as a component of cost of goods sold. During 2024 and 2023, the Company</w:t>
      </w:r>
    </w:p>
    <w:p>
      <w:pPr>
        <w:spacing w:after="0" w:line="200" w:lineRule="exact"/>
        <w:rPr>
          <w:sz w:val="20"/>
          <w:szCs w:val="20"/>
          <w:color w:val="auto"/>
        </w:rPr>
      </w:pPr>
    </w:p>
    <w:p>
      <w:pPr>
        <w:sectPr>
          <w:pgSz w:w="11880" w:h="15481" w:orient="portrait"/>
          <w:cols w:equalWidth="0" w:num="2">
            <w:col w:w="5220" w:space="340"/>
            <w:col w:w="4920"/>
          </w:cols>
          <w:pgMar w:left="560" w:top="579" w:right="841" w:bottom="0" w:gutter="0" w:footer="0" w:header="0"/>
          <w:type w:val="continuous"/>
        </w:sectPr>
      </w:pPr>
    </w:p>
    <w:p>
      <w:pPr>
        <w:spacing w:after="0" w:line="138" w:lineRule="exact"/>
        <w:rPr>
          <w:sz w:val="20"/>
          <w:szCs w:val="20"/>
          <w:color w:val="auto"/>
        </w:rPr>
      </w:pPr>
    </w:p>
    <w:p>
      <w:pPr>
        <w:spacing w:after="0"/>
        <w:tabs>
          <w:tab w:leader="none" w:pos="3420" w:val="left"/>
          <w:tab w:leader="none" w:pos="9040" w:val="left"/>
        </w:tabs>
        <w:rPr>
          <w:sz w:val="20"/>
          <w:szCs w:val="20"/>
          <w:color w:val="auto"/>
        </w:rPr>
      </w:pPr>
      <w:r>
        <w:rPr>
          <w:rFonts w:ascii="Arial" w:cs="Arial" w:eastAsia="Arial" w:hAnsi="Arial"/>
          <w:sz w:val="16"/>
          <w:szCs w:val="16"/>
          <w:b w:val="1"/>
          <w:bCs w:val="1"/>
          <w:color w:val="3A4967"/>
        </w:rPr>
        <w:t>6</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-97155</wp:posOffset>
            </wp:positionV>
            <wp:extent cx="1939925" cy="4763"/>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-138430</wp:posOffset>
            </wp:positionV>
            <wp:extent cx="1939925" cy="63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205740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7180580</wp:posOffset>
            </wp:positionH>
            <wp:positionV relativeFrom="paragraph">
              <wp:posOffset>205740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480"/>
          </w:cols>
          <w:pgMar w:left="560" w:top="579" w:right="841" w:bottom="0" w:gutter="0" w:footer="0" w:header="0"/>
          <w:type w:val="continuous"/>
        </w:sectPr>
      </w:pPr>
    </w:p>
    <w:bookmarkStart w:id="16" w:name="page17"/>
    <w:bookmarkEnd w:id="16"/>
    <w:p>
      <w:pPr>
        <w:ind w:left="9729"/>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463665" cy="4763"/>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469"/>
          </w:cols>
          <w:pgMar w:left="851" w:top="579" w:right="5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9"/>
        <w:spacing w:after="0" w:line="273" w:lineRule="auto"/>
        <w:rPr>
          <w:sz w:val="20"/>
          <w:szCs w:val="20"/>
          <w:color w:val="auto"/>
        </w:rPr>
      </w:pPr>
      <w:r>
        <w:rPr>
          <w:rFonts w:ascii="Arial" w:cs="Arial" w:eastAsia="Arial" w:hAnsi="Arial"/>
          <w:sz w:val="17"/>
          <w:szCs w:val="17"/>
          <w:color w:val="3A4967"/>
        </w:rPr>
        <w:t>recorded $13.0 million and $9.5 million, respectively, in shortfall fees. At current volume projections, the Company anticipates that it will recognize approximately $30 million of shortfall fees in future years with $14 million forecasted to be expensed in 2025 and the remainder expected to be expensed primarily in 2026.</w:t>
      </w:r>
    </w:p>
    <w:p>
      <w:pPr>
        <w:spacing w:after="0" w:line="82" w:lineRule="exact"/>
        <w:rPr>
          <w:sz w:val="20"/>
          <w:szCs w:val="20"/>
          <w:color w:val="auto"/>
        </w:rPr>
      </w:pPr>
    </w:p>
    <w:p>
      <w:pPr>
        <w:jc w:val="both"/>
        <w:ind w:left="9"/>
        <w:spacing w:after="0" w:line="253" w:lineRule="auto"/>
        <w:rPr>
          <w:sz w:val="20"/>
          <w:szCs w:val="20"/>
          <w:color w:val="auto"/>
        </w:rPr>
      </w:pPr>
      <w:r>
        <w:rPr>
          <w:rFonts w:ascii="Arial" w:cs="Arial" w:eastAsia="Arial" w:hAnsi="Arial"/>
          <w:sz w:val="18"/>
          <w:szCs w:val="18"/>
          <w:color w:val="3A4967"/>
        </w:rPr>
        <w:t>As of December 28, 2024, if volume for the remaining term of the production arrangements was zero, the total contractual shortfall and termination fees, with advance notice as specified in the related contractual agreements, would total approximately $37 million with $27 million due in 2025 and $10 million due in future years thereafter.</w:t>
      </w:r>
    </w:p>
    <w:p>
      <w:pPr>
        <w:spacing w:after="0" w:line="100" w:lineRule="exact"/>
        <w:rPr>
          <w:sz w:val="20"/>
          <w:szCs w:val="20"/>
          <w:color w:val="auto"/>
        </w:rPr>
      </w:pPr>
    </w:p>
    <w:p>
      <w:pPr>
        <w:jc w:val="both"/>
        <w:ind w:left="9"/>
        <w:spacing w:after="0" w:line="253" w:lineRule="auto"/>
        <w:rPr>
          <w:sz w:val="20"/>
          <w:szCs w:val="20"/>
          <w:color w:val="auto"/>
        </w:rPr>
      </w:pPr>
      <w:r>
        <w:rPr>
          <w:rFonts w:ascii="Arial" w:cs="Arial" w:eastAsia="Arial" w:hAnsi="Arial"/>
          <w:sz w:val="18"/>
          <w:szCs w:val="18"/>
          <w:color w:val="3A4967"/>
        </w:rPr>
        <w:t>The Company has regular discussions with its third-party production suppliers related to its future capacity needs and the terms of its contracts. Changes to volume estimates, future amendments or cancellations of existing contracts could accelerate or change total shortfall fees expected to be incurred.</w:t>
      </w:r>
    </w:p>
    <w:p>
      <w:pPr>
        <w:spacing w:after="0" w:line="100" w:lineRule="exact"/>
        <w:rPr>
          <w:sz w:val="20"/>
          <w:szCs w:val="20"/>
          <w:color w:val="auto"/>
        </w:rPr>
      </w:pPr>
    </w:p>
    <w:p>
      <w:pPr>
        <w:jc w:val="both"/>
        <w:ind w:left="9"/>
        <w:spacing w:after="0" w:line="266" w:lineRule="auto"/>
        <w:rPr>
          <w:sz w:val="20"/>
          <w:szCs w:val="20"/>
          <w:color w:val="auto"/>
        </w:rPr>
      </w:pPr>
      <w:r>
        <w:rPr>
          <w:rFonts w:ascii="Arial" w:cs="Arial" w:eastAsia="Arial" w:hAnsi="Arial"/>
          <w:sz w:val="17"/>
          <w:szCs w:val="17"/>
          <w:color w:val="3A4967"/>
        </w:rPr>
        <w:t>The Company currently expects that the percentage of total domestic production at third -party production facilities will be approximately 20% in 2025. The Company selects third-party production facilities with one or more of: (i) sleek can packaging and automated variety packaging capability and capacity;</w:t>
      </w:r>
    </w:p>
    <w:p>
      <w:pPr>
        <w:spacing w:after="0" w:line="1" w:lineRule="exact"/>
        <w:rPr>
          <w:sz w:val="20"/>
          <w:szCs w:val="20"/>
          <w:color w:val="auto"/>
        </w:rPr>
      </w:pPr>
    </w:p>
    <w:p>
      <w:pPr>
        <w:jc w:val="both"/>
        <w:ind w:left="9" w:hanging="9"/>
        <w:spacing w:after="0" w:line="253" w:lineRule="auto"/>
        <w:tabs>
          <w:tab w:leader="none" w:pos="227" w:val="left"/>
        </w:tabs>
        <w:numPr>
          <w:ilvl w:val="0"/>
          <w:numId w:val="3"/>
        </w:numPr>
        <w:rPr>
          <w:rFonts w:ascii="Arial" w:cs="Arial" w:eastAsia="Arial" w:hAnsi="Arial"/>
          <w:sz w:val="18"/>
          <w:szCs w:val="18"/>
          <w:color w:val="3A4967"/>
        </w:rPr>
      </w:pPr>
      <w:r>
        <w:rPr>
          <w:rFonts w:ascii="Arial" w:cs="Arial" w:eastAsia="Arial" w:hAnsi="Arial"/>
          <w:sz w:val="18"/>
          <w:szCs w:val="18"/>
          <w:color w:val="3A4967"/>
        </w:rPr>
        <w:t>first-rate quality control capabilities throughout the process; and (iii) the capability of utilizing traditional brewing, fermenting and finishing methods. Under its production arrangements with third parties, the Company is charged a service fee based on units produced at each of the facilities.</w:t>
      </w:r>
    </w:p>
    <w:p>
      <w:pPr>
        <w:spacing w:after="0" w:line="98" w:lineRule="exact"/>
        <w:rPr>
          <w:sz w:val="20"/>
          <w:szCs w:val="20"/>
          <w:color w:val="auto"/>
        </w:rPr>
      </w:pPr>
    </w:p>
    <w:p>
      <w:pPr>
        <w:jc w:val="both"/>
        <w:ind w:left="9"/>
        <w:spacing w:after="0" w:line="259" w:lineRule="auto"/>
        <w:rPr>
          <w:sz w:val="20"/>
          <w:szCs w:val="20"/>
          <w:color w:val="auto"/>
        </w:rPr>
      </w:pPr>
      <w:r>
        <w:rPr>
          <w:rFonts w:ascii="Arial" w:cs="Arial" w:eastAsia="Arial" w:hAnsi="Arial"/>
          <w:sz w:val="18"/>
          <w:szCs w:val="18"/>
          <w:color w:val="3A4967"/>
        </w:rPr>
        <w:t>The Company’s international business is primarily supplied by third-party production and packaging agreements and production under license at international locations.</w:t>
      </w:r>
    </w:p>
    <w:p>
      <w:pPr>
        <w:spacing w:after="0" w:line="91" w:lineRule="exact"/>
        <w:rPr>
          <w:sz w:val="20"/>
          <w:szCs w:val="20"/>
          <w:color w:val="auto"/>
        </w:rPr>
      </w:pPr>
    </w:p>
    <w:p>
      <w:pPr>
        <w:jc w:val="both"/>
        <w:ind w:left="9"/>
        <w:spacing w:after="0" w:line="251" w:lineRule="auto"/>
        <w:rPr>
          <w:sz w:val="20"/>
          <w:szCs w:val="20"/>
          <w:color w:val="auto"/>
        </w:rPr>
      </w:pPr>
      <w:r>
        <w:rPr>
          <w:rFonts w:ascii="Arial" w:cs="Arial" w:eastAsia="Arial" w:hAnsi="Arial"/>
          <w:sz w:val="18"/>
          <w:szCs w:val="18"/>
          <w:color w:val="3A4967"/>
        </w:rPr>
        <w:t>While the Company believes that it has alternatives available to it, in the event that production at any of its current locations is interrupted, severe interruptions at the Pennsylvania Brewery, Cincinnati Brewery, or City Brewing facilities would be most problematic, especially in seasonal peak periods. In addition, the Company may not be able to maintain its current economics, if interruptions were to occur, and could face significant delays in starting up replacement production locations. Potential interruptions at production facilities include labor issues, governmental actions, quality issues, contractual disputes, machinery failures, operational shutdowns, or natural or other unavoidable catastrophes. The Company would work with available third-party production facilities to attempt to minimize any potential disruptions.</w:t>
      </w:r>
    </w:p>
    <w:p>
      <w:pPr>
        <w:spacing w:after="0" w:line="231"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6D7890"/>
        </w:rPr>
        <w:t>Competition</w:t>
      </w:r>
    </w:p>
    <w:p>
      <w:pPr>
        <w:spacing w:after="0" w:line="114" w:lineRule="exact"/>
        <w:rPr>
          <w:sz w:val="20"/>
          <w:szCs w:val="20"/>
          <w:color w:val="auto"/>
        </w:rPr>
      </w:pPr>
    </w:p>
    <w:p>
      <w:pPr>
        <w:jc w:val="both"/>
        <w:ind w:left="9"/>
        <w:spacing w:after="0" w:line="256" w:lineRule="auto"/>
        <w:rPr>
          <w:sz w:val="20"/>
          <w:szCs w:val="20"/>
          <w:color w:val="auto"/>
        </w:rPr>
      </w:pPr>
      <w:r>
        <w:rPr>
          <w:rFonts w:ascii="Arial" w:cs="Arial" w:eastAsia="Arial" w:hAnsi="Arial"/>
          <w:sz w:val="18"/>
          <w:szCs w:val="18"/>
          <w:color w:val="3A4967"/>
        </w:rPr>
        <w:t>The US Beer Market is highly competitive due to large domestic and international brewers and a large number of smaller craft brewers and craft distilleries who distribute similar products that have similar pricing and target drinkers.</w:t>
      </w:r>
    </w:p>
    <w:p>
      <w:pPr>
        <w:spacing w:after="0" w:line="94" w:lineRule="exact"/>
        <w:rPr>
          <w:sz w:val="20"/>
          <w:szCs w:val="20"/>
          <w:color w:val="auto"/>
        </w:rPr>
      </w:pPr>
    </w:p>
    <w:p>
      <w:pPr>
        <w:jc w:val="both"/>
        <w:ind w:left="9"/>
        <w:spacing w:after="0" w:line="294" w:lineRule="auto"/>
        <w:rPr>
          <w:sz w:val="20"/>
          <w:szCs w:val="20"/>
          <w:color w:val="auto"/>
        </w:rPr>
      </w:pPr>
      <w:r>
        <w:rPr>
          <w:rFonts w:ascii="Arial" w:cs="Arial" w:eastAsia="Arial" w:hAnsi="Arial"/>
          <w:sz w:val="16"/>
          <w:szCs w:val="16"/>
          <w:color w:val="3A4967"/>
        </w:rPr>
        <w:t>The two largest brewers in the United States, AB InBev and Molson Coors, participate actively in Beyond beer and Traditional beer, through numerous beers, flavored malt beverages, hard seltzers and spirit RTDs. Imported beers, such as Modelo Especial</w:t>
      </w:r>
      <w:r>
        <w:rPr>
          <w:rFonts w:ascii="Arial" w:cs="Arial" w:eastAsia="Arial" w:hAnsi="Arial"/>
          <w:sz w:val="9"/>
          <w:szCs w:val="9"/>
          <w:color w:val="3A4967"/>
        </w:rPr>
        <w:t>®</w:t>
      </w:r>
      <w:r>
        <w:rPr>
          <w:rFonts w:ascii="Arial" w:cs="Arial" w:eastAsia="Arial" w:hAnsi="Arial"/>
          <w:sz w:val="16"/>
          <w:szCs w:val="16"/>
          <w:color w:val="3A4967"/>
        </w:rPr>
        <w:t>, Corona</w:t>
      </w:r>
      <w:r>
        <w:rPr>
          <w:rFonts w:ascii="Arial" w:cs="Arial" w:eastAsia="Arial" w:hAnsi="Arial"/>
          <w:sz w:val="9"/>
          <w:szCs w:val="9"/>
          <w:color w:val="3A4967"/>
        </w:rPr>
        <w:t>®</w:t>
      </w:r>
      <w:r>
        <w:rPr>
          <w:rFonts w:ascii="Arial" w:cs="Arial" w:eastAsia="Arial" w:hAnsi="Arial"/>
          <w:sz w:val="16"/>
          <w:szCs w:val="16"/>
          <w:color w:val="3A4967"/>
        </w:rPr>
        <w:t>, Heineken</w:t>
      </w:r>
      <w:r>
        <w:rPr>
          <w:rFonts w:ascii="Arial" w:cs="Arial" w:eastAsia="Arial" w:hAnsi="Arial"/>
          <w:sz w:val="9"/>
          <w:szCs w:val="9"/>
          <w:color w:val="3A4967"/>
        </w:rPr>
        <w:t>®</w:t>
      </w:r>
      <w:r>
        <w:rPr>
          <w:rFonts w:ascii="Arial" w:cs="Arial" w:eastAsia="Arial" w:hAnsi="Arial"/>
          <w:sz w:val="16"/>
          <w:szCs w:val="16"/>
          <w:color w:val="3A4967"/>
        </w:rPr>
        <w:t>, and Stella Artois</w:t>
      </w:r>
      <w:r>
        <w:rPr>
          <w:rFonts w:ascii="Arial" w:cs="Arial" w:eastAsia="Arial" w:hAnsi="Arial"/>
          <w:sz w:val="9"/>
          <w:szCs w:val="9"/>
          <w:color w:val="3A4967"/>
        </w:rPr>
        <w:t>®</w:t>
      </w:r>
      <w:r>
        <w:rPr>
          <w:rFonts w:ascii="Arial" w:cs="Arial" w:eastAsia="Arial" w:hAnsi="Arial"/>
          <w:sz w:val="16"/>
          <w:szCs w:val="16"/>
          <w:color w:val="3A4967"/>
        </w:rPr>
        <w:t>, continue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197485</wp:posOffset>
            </wp:positionV>
            <wp:extent cx="2584450" cy="191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920"/>
        <w:spacing w:after="0"/>
        <w:rPr>
          <w:sz w:val="20"/>
          <w:szCs w:val="20"/>
          <w:color w:val="auto"/>
        </w:rPr>
      </w:pPr>
      <w:r>
        <w:rPr>
          <w:rFonts w:ascii="Arial" w:cs="Arial" w:eastAsia="Arial" w:hAnsi="Arial"/>
          <w:sz w:val="14"/>
          <w:szCs w:val="14"/>
          <w:color w:val="3A4967"/>
        </w:rPr>
        <w:t xml:space="preserve">Item 1 </w:t>
      </w:r>
      <w:r>
        <w:rPr>
          <w:rFonts w:ascii="Arial" w:cs="Arial" w:eastAsia="Arial" w:hAnsi="Arial"/>
          <w:sz w:val="14"/>
          <w:szCs w:val="14"/>
          <w:color w:val="6D7890"/>
        </w:rPr>
        <w:t>Business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3A4967"/>
        </w:rPr>
        <w:t>aggressively in the United States and have gained market share over the last ten years. AB InBev, Molson Coors, Constellation Brands (owner of the United States Distribution rights to Modelo Especial and Corona) and Heineken may have substantially greater financial resources, marketing strength and distribution networks than the Company.</w:t>
      </w:r>
    </w:p>
    <w:p>
      <w:pPr>
        <w:spacing w:after="0" w:line="100" w:lineRule="exact"/>
        <w:rPr>
          <w:sz w:val="20"/>
          <w:szCs w:val="20"/>
          <w:color w:val="auto"/>
        </w:rPr>
      </w:pPr>
    </w:p>
    <w:p>
      <w:pPr>
        <w:jc w:val="both"/>
        <w:ind w:right="280"/>
        <w:spacing w:after="0" w:line="283" w:lineRule="auto"/>
        <w:rPr>
          <w:sz w:val="20"/>
          <w:szCs w:val="20"/>
          <w:color w:val="auto"/>
        </w:rPr>
      </w:pPr>
      <w:r>
        <w:rPr>
          <w:rFonts w:ascii="Arial" w:cs="Arial" w:eastAsia="Arial" w:hAnsi="Arial"/>
          <w:sz w:val="16"/>
          <w:szCs w:val="16"/>
          <w:color w:val="3A4967"/>
        </w:rPr>
        <w:t>In addition, large non-alcoholic beverage companies including The Coca-Cola Company (“Coke”), Pepsi, Monster Beverage Corporation (“Monster”), and Arizona Beverage Company (“Arizona”) have entered these markets directly or through licensing agreements with alcoholic beverage companies to develop alcohol versions of existing traditional non-alcohol brands. Coke has entered into agreements with Molson Coors to develop, market and sell Topo Chico brand Hard Seltzer, Simply Spiked Lemonade, and Peace Hard Tea. Coke also announced agreements with Constellation Brands to develop, market and sell FRESCA™ Mixed and with Brown Forman to develop, market and sell Jack Daniel’s</w:t>
      </w:r>
      <w:r>
        <w:rPr>
          <w:rFonts w:ascii="Arial" w:cs="Arial" w:eastAsia="Arial" w:hAnsi="Arial"/>
          <w:sz w:val="9"/>
          <w:szCs w:val="9"/>
          <w:color w:val="3A4967"/>
        </w:rPr>
        <w:t>®</w:t>
      </w:r>
      <w:r>
        <w:rPr>
          <w:rFonts w:ascii="Arial" w:cs="Arial" w:eastAsia="Arial" w:hAnsi="Arial"/>
          <w:sz w:val="16"/>
          <w:szCs w:val="16"/>
          <w:color w:val="3A4967"/>
        </w:rPr>
        <w:t xml:space="preserve"> Tennessee Whiskey and Coca-Cola</w:t>
      </w:r>
      <w:r>
        <w:rPr>
          <w:rFonts w:ascii="Arial" w:cs="Arial" w:eastAsia="Arial" w:hAnsi="Arial"/>
          <w:sz w:val="9"/>
          <w:szCs w:val="9"/>
          <w:color w:val="3A4967"/>
        </w:rPr>
        <w:t>®</w:t>
      </w:r>
      <w:r>
        <w:rPr>
          <w:rFonts w:ascii="Arial" w:cs="Arial" w:eastAsia="Arial" w:hAnsi="Arial"/>
          <w:sz w:val="16"/>
          <w:szCs w:val="16"/>
          <w:color w:val="3A4967"/>
        </w:rPr>
        <w:t>™ Ready-to-Drink Cocktail. As previously discussed, the Company has entered into an agreement with Pepsi to develop, market and sell Hard Mountain Dew, to take advantage of this trend. Pepsi also entered an agreement in late 2022 with FIFCO USA, a New York based brewery, to develop, market and sell Lipton Hard Iced Tea which launched during the first half of 2023. In addition, Monster acquired CaNarchy Craft Brewery Collective in early 2022 and launched the Beast Unleashed, a new brand of flavored malt beverages in early 2023 which includes Nasty Beast Hard Tea. Monster is planning to launch a new hard lemonade named Blind Lemon in early 2025. Arizona, after earlier development and launch in 2020 in Canadian markets, launched Arizona Hard Tea in the United States beginning in 2023.</w:t>
      </w:r>
    </w:p>
    <w:p>
      <w:pPr>
        <w:spacing w:after="0" w:line="307" w:lineRule="exact"/>
        <w:rPr>
          <w:sz w:val="20"/>
          <w:szCs w:val="20"/>
          <w:color w:val="auto"/>
        </w:rPr>
      </w:pPr>
    </w:p>
    <w:p>
      <w:pPr>
        <w:jc w:val="both"/>
        <w:ind w:right="280"/>
        <w:spacing w:after="0" w:line="267" w:lineRule="auto"/>
        <w:rPr>
          <w:sz w:val="20"/>
          <w:szCs w:val="20"/>
          <w:color w:val="auto"/>
        </w:rPr>
      </w:pPr>
      <w:r>
        <w:rPr>
          <w:rFonts w:ascii="Arial" w:cs="Arial" w:eastAsia="Arial" w:hAnsi="Arial"/>
          <w:sz w:val="17"/>
          <w:szCs w:val="17"/>
          <w:color w:val="3A4967"/>
        </w:rPr>
        <w:t>The Company’s Twisted Tea beverages compete generally within the FMB category of Beyond beer. FMBs, such as Twisted Tea, Mike’s Hard Lemonade, Smirnoff Ice, Cayman Jack, Clubtails, Beast Unleashed, Bud Light Lime, Redd’s Apple Ale, Seagrams Escapes. As Twisted Tea has grown, more hard teas have been introduced by competitors. Some of these hard tea competitors currently include Arizona Hard Tea, Arnold Palmer Spiked, Nasty Beast Hard Tea, VooDoo Ranger Hard Charged Tea, Hoop Hard Tea, 2Hoots Hard Tea and Peace Hard Tea. As noted earlier, the FMB category is highly competitive due to, among other factors, the presence of large brewers and spirits companies in the category, the advertising of malt-based spirits brands in channels not available to the parent brands and a fast pace of product innovation.</w:t>
      </w:r>
    </w:p>
    <w:p>
      <w:pPr>
        <w:spacing w:after="0" w:line="93" w:lineRule="exact"/>
        <w:rPr>
          <w:sz w:val="20"/>
          <w:szCs w:val="20"/>
          <w:color w:val="auto"/>
        </w:rPr>
      </w:pPr>
    </w:p>
    <w:p>
      <w:pPr>
        <w:jc w:val="both"/>
        <w:ind w:right="280"/>
        <w:spacing w:after="0" w:line="268" w:lineRule="auto"/>
        <w:rPr>
          <w:sz w:val="20"/>
          <w:szCs w:val="20"/>
          <w:color w:val="auto"/>
        </w:rPr>
      </w:pPr>
      <w:r>
        <w:rPr>
          <w:rFonts w:ascii="Arial" w:cs="Arial" w:eastAsia="Arial" w:hAnsi="Arial"/>
          <w:sz w:val="17"/>
          <w:szCs w:val="17"/>
          <w:color w:val="3A4967"/>
        </w:rPr>
        <w:t>The Company’s Truly Hard Seltzer beverages compete primarily within the hard seltzer category of Beyond beer. This category grew quickly from 2016 to 2021 and then declined in 2022, 2023 and 2024. The hard seltzer category is highly competitive and includes large international and domestic competitors. Hard seltzers are typically priced competitively with Traditional beer and Beyond beer and may compete for drinkers with beer, wine, spirits, or FMBs. Some of these competitors include Mark Anthony Brands under the brand name “White Claw” and “White Claw Surge.”; ABInBev under “Bud Light Seltzer”, and Molson Coors under “Vizzy Hard Sparkling Water” and ‘‘Topo Chico’’.</w:t>
      </w:r>
    </w:p>
    <w:p>
      <w:pPr>
        <w:spacing w:after="0" w:line="518" w:lineRule="exact"/>
        <w:rPr>
          <w:sz w:val="20"/>
          <w:szCs w:val="20"/>
          <w:color w:val="auto"/>
        </w:rPr>
      </w:pPr>
    </w:p>
    <w:p>
      <w:pPr>
        <w:sectPr>
          <w:pgSz w:w="11880" w:h="15481" w:orient="portrait"/>
          <w:cols w:equalWidth="0" w:num="2">
            <w:col w:w="4929" w:space="340"/>
            <w:col w:w="5200"/>
          </w:cols>
          <w:pgMar w:left="851" w:top="579" w:right="561" w:bottom="0" w:gutter="0" w:footer="0" w:header="0"/>
          <w:type w:val="continuous"/>
        </w:sectPr>
      </w:pPr>
    </w:p>
    <w:p>
      <w:pPr>
        <w:spacing w:after="0" w:line="181" w:lineRule="exact"/>
        <w:rPr>
          <w:sz w:val="20"/>
          <w:szCs w:val="20"/>
          <w:color w:val="auto"/>
        </w:rPr>
      </w:pPr>
    </w:p>
    <w:p>
      <w:pPr>
        <w:ind w:left="3149"/>
        <w:spacing w:after="0"/>
        <w:tabs>
          <w:tab w:leader="none" w:pos="10369"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b w:val="1"/>
          <w:bCs w:val="1"/>
          <w:color w:val="3A4967"/>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939925" cy="4763"/>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-97155</wp:posOffset>
            </wp:positionV>
            <wp:extent cx="1939925" cy="4763"/>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-539750</wp:posOffset>
            </wp:positionH>
            <wp:positionV relativeFrom="paragraph">
              <wp:posOffset>205740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205740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469"/>
          </w:cols>
          <w:pgMar w:left="851" w:top="579" w:right="561" w:bottom="0" w:gutter="0" w:footer="0" w:header="0"/>
          <w:type w:val="continuous"/>
        </w:sectPr>
      </w:pPr>
    </w:p>
    <w:bookmarkStart w:id="17" w:name="page18"/>
    <w:bookmarkEnd w:id="17"/>
    <w:p>
      <w:pPr>
        <w:ind w:left="3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42545</wp:posOffset>
            </wp:positionV>
            <wp:extent cx="6463665" cy="4763"/>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3"/>
          <w:szCs w:val="13"/>
          <w:color w:val="3A4967"/>
        </w:rPr>
        <w:t xml:space="preserve">Item 1 </w:t>
      </w:r>
      <w:r>
        <w:rPr>
          <w:rFonts w:ascii="Arial" w:cs="Arial" w:eastAsia="Arial" w:hAnsi="Arial"/>
          <w:sz w:val="13"/>
          <w:szCs w:val="13"/>
          <w:color w:val="6D7890"/>
        </w:rPr>
        <w:t>Business</w:t>
      </w:r>
    </w:p>
    <w:p>
      <w:pPr>
        <w:sectPr>
          <w:pgSz w:w="11880" w:h="15481" w:orient="portrait"/>
          <w:cols w:equalWidth="0" w:num="1">
            <w:col w:w="10480"/>
          </w:cols>
          <w:pgMar w:left="5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3A4967"/>
        </w:rPr>
        <w:t>T h e C o m p a n y ’s Tr u l y b r a n d a l s o c o m p e t e s a g a i n s t a sub-category of Spirits RTDs that the Company and the alcohol industry at large categorize as Spirit Seltzer and Soda. The Spirit Seltzer and Soda sub-category generally consists of lower calorie and lower alcohol Spirits RTDs that are similar in flavor and taste to the hard seltzer category beverages but at a higher price. The leading brand in the Spirit Seltzer and Soda category is owned by E&amp;J Gallo Winery under the brand name “High Noon” and other competitors in the category include ABInBev under “Nutrl Vodka Seltzer”, Mark Anthony under “White Claw Vodka Soda” and Molson Coors under “Topo Chico Spirited Can Cocktails”.</w:t>
      </w:r>
    </w:p>
    <w:p>
      <w:pPr>
        <w:spacing w:after="0" w:line="86"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3A4967"/>
        </w:rPr>
        <w:t>The Company’s Samuel Adams and Dogfish Head beers compete primarily within the craft beer and domestic specialty beer category of Traditional beer. The Company expects competition and innovation among domestic craft brewers to remain strong. The Company estimates there are approximately 10,000 breweries in operation, up from approximately 1,500 operating breweries in 2009. Most of these new breweries are craft (small and independent) brewers.</w:t>
      </w:r>
    </w:p>
    <w:p>
      <w:pPr>
        <w:spacing w:after="0" w:line="89"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3A4967"/>
        </w:rPr>
        <w:t>In recent years, there have been numerous announcements of acquisitions of or investments in craft brewers by larger breweries and private equity and other investors. Most recently, during 2023 and 2024, in separate transactions AB InBev and Molson Coors sold some of these craft brands and breweries to Tilray Brands, Inc a global cannabis, craft beer, spirits beverage company.</w:t>
      </w:r>
    </w:p>
    <w:p>
      <w:pPr>
        <w:spacing w:after="0" w:line="71" w:lineRule="exact"/>
        <w:rPr>
          <w:sz w:val="20"/>
          <w:szCs w:val="20"/>
          <w:color w:val="auto"/>
        </w:rPr>
      </w:pPr>
    </w:p>
    <w:p>
      <w:pPr>
        <w:jc w:val="both"/>
        <w:ind w:left="300"/>
        <w:spacing w:after="0" w:line="252" w:lineRule="auto"/>
        <w:rPr>
          <w:sz w:val="20"/>
          <w:szCs w:val="20"/>
          <w:color w:val="auto"/>
        </w:rPr>
      </w:pPr>
      <w:r>
        <w:rPr>
          <w:rFonts w:ascii="Arial" w:cs="Arial" w:eastAsia="Arial" w:hAnsi="Arial"/>
          <w:sz w:val="18"/>
          <w:szCs w:val="18"/>
          <w:color w:val="3A4967"/>
        </w:rPr>
        <w:t>The Company’s Angry Orchard product line competes within the hard cider category. As noted earlier, this category is small and highly competitive and the competitors include mostly small regional and local hard cider companies. Hard ciders are typically priced competitively with Traditional beer and Beyond beer and may compete for drinkers with beer, wine, spirits, or FMBs. Some of these competitors include “Bold Rock”, “2 Towns” and “Blakes”.</w:t>
      </w:r>
    </w:p>
    <w:p>
      <w:pPr>
        <w:spacing w:after="0" w:line="103" w:lineRule="exact"/>
        <w:rPr>
          <w:sz w:val="20"/>
          <w:szCs w:val="20"/>
          <w:color w:val="auto"/>
        </w:rPr>
      </w:pPr>
    </w:p>
    <w:p>
      <w:pPr>
        <w:jc w:val="both"/>
        <w:ind w:left="300"/>
        <w:spacing w:after="0" w:line="287" w:lineRule="auto"/>
        <w:rPr>
          <w:sz w:val="20"/>
          <w:szCs w:val="20"/>
          <w:color w:val="auto"/>
        </w:rPr>
      </w:pPr>
      <w:r>
        <w:rPr>
          <w:rFonts w:ascii="Arial" w:cs="Arial" w:eastAsia="Arial" w:hAnsi="Arial"/>
          <w:sz w:val="16"/>
          <w:szCs w:val="16"/>
          <w:color w:val="3A4967"/>
        </w:rPr>
        <w:t>The Company’s Dogfish Head Canned Cocktails and Sun Cruiser compete in the spirits RTDs category. This category is small and highly competitive and includes large international and domestic competitors, as well as many small regional and local distilling companies. Spirits RTDs are typically higher priced and may compete for drinkers with beer, wine, spirits, or FMBs. As discussed above, spirits RTDs consist of the sub-category of Spirit Seltzer and Soda. Dogfish Head Canned Cocktails generally competes in the other sub-category of spirits RTDs named Spirits-based Canned Cocktails. Beverages in the Spirits-based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A4967"/>
        </w:rPr>
        <w:t>Canned Cocktails sub-category generally have more flavor and higher alcohol than spirits RTDs in the sub- category of Spirit Seltzer and Soda. Some of these Spirits-based Canned Cocktails competitors include; ABInBev under the brand name “Cutwater” and Diageo under the brand name “Crown Royal”.</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The Company’s products also compete with other alcoholic beverages for drinker attention and consumption and the pace of innovation in the categories in which the Company competes is increasing. In recent years, wine and spirits have been competing more directly with beers. The Company monitors such activity and attempts to develop strategies which benefit from the drinker’s interest in trading up, in order to position its beverages competitively with wine and spirits.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The Company competes with other beer and alcoholic beverage companies within a three-tier distribution system. The Company competes for a share of the Distributor’s attention, time and selling efforts. At retail, the Company competes for traditional retail shelf, cold box and tap space, as well as e-commerce placement. From a drinker perspective, competition exists for brand acceptance and loyalty. The principal factors of competition in the market for Traditional beer and Beyond beer occasions include product quality and taste, brand advertising and imagery, trade and drinker promotions, pricing, packaging and the development of innovative new products.</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The Company distributes its products through independent Distributors who also distribute competitors’ products. Certain brewers have contracts with their Distributors that impose requirements on the Distributors that are intended to maximize the Distributors’ attention, time and selling efforts on that brewer’s products. These contracts generally result in increased competition among brewers as the contracts may affect the manner in which a Distributor allocates selling effort and investment to the brands included in its portfolio. The Company closely monitors these and other trends in its Distributor network and works to develop programs and tactics intended to best position its products in the market.</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The Company has certain competitive advantages over other brewers and competitors, including a long history of awards for product quality, greater available resources and the ability to distribute and promote its products on a more cost-effective basis. Additionally, the Company believes it has competitive advantages over imported beers, including lower transportation costs, higher product quality, a lack of import charges and superior product freshness.</w:t>
      </w:r>
    </w:p>
    <w:p>
      <w:pPr>
        <w:spacing w:after="0" w:line="229" w:lineRule="exact"/>
        <w:rPr>
          <w:sz w:val="20"/>
          <w:szCs w:val="20"/>
          <w:color w:val="auto"/>
        </w:rPr>
      </w:pPr>
    </w:p>
    <w:p>
      <w:pPr>
        <w:sectPr>
          <w:pgSz w:w="11880" w:h="15481" w:orient="portrait"/>
          <w:cols w:equalWidth="0" w:num="2">
            <w:col w:w="5220" w:space="340"/>
            <w:col w:w="4920"/>
          </w:cols>
          <w:pgMar w:left="560" w:top="579" w:right="841" w:bottom="0" w:gutter="0" w:footer="0" w:header="0"/>
          <w:type w:val="continuous"/>
        </w:sectPr>
      </w:pPr>
    </w:p>
    <w:p>
      <w:pPr>
        <w:spacing w:after="0" w:line="119"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3A4967"/>
        </w:rPr>
        <w:t>Regulation and Taxation</w:t>
      </w:r>
    </w:p>
    <w:p>
      <w:pPr>
        <w:spacing w:after="0" w:line="164"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3A4967"/>
        </w:rPr>
        <w:t>The alcoholic beverage industry is regulated by federal, state and local governments. These regulations govern the production, sale and distribution of alcoholic beverages, including permitting, licensing, marketing and advertising. To operate its production facilities, the Company must obtain and maintain numerous permits, licenses and approvals from various governmental agencies, including but not limited to, the Alcohol and Tobacco Tax and Trade Bureau (the “TTB”), the Food and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354330</wp:posOffset>
            </wp:positionV>
            <wp:extent cx="2584450" cy="1917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3A4967"/>
        </w:rPr>
        <w:t>Administration, state alcohol regulatory agencies and state and federal environmental agencies.</w:t>
      </w:r>
    </w:p>
    <w:p>
      <w:pPr>
        <w:spacing w:after="0" w:line="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A4967"/>
        </w:rPr>
        <w:t>Governmental entities may levy various taxes, license fees and other similar charges and may require bonds to ensure compliance with applicable laws and regulations. Beginning in 2018, as a result of the “Tax Cuts and Jobs Act”, the Company’s federal excise tax rate on hard seltzer and beer decreased from $18 to $16 per barrel</w:t>
      </w:r>
    </w:p>
    <w:p>
      <w:pPr>
        <w:spacing w:after="0" w:line="280" w:lineRule="exact"/>
        <w:rPr>
          <w:sz w:val="20"/>
          <w:szCs w:val="20"/>
          <w:color w:val="auto"/>
        </w:rPr>
      </w:pPr>
    </w:p>
    <w:p>
      <w:pPr>
        <w:sectPr>
          <w:pgSz w:w="11880" w:h="15481" w:orient="portrait"/>
          <w:cols w:equalWidth="0" w:num="2">
            <w:col w:w="5220" w:space="340"/>
            <w:col w:w="4920"/>
          </w:cols>
          <w:pgMar w:left="560" w:top="579" w:right="841" w:bottom="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spacing w:after="0"/>
        <w:tabs>
          <w:tab w:leader="none" w:pos="3420" w:val="left"/>
          <w:tab w:leader="none" w:pos="9040" w:val="left"/>
        </w:tabs>
        <w:rPr>
          <w:sz w:val="20"/>
          <w:szCs w:val="20"/>
          <w:color w:val="auto"/>
        </w:rPr>
      </w:pPr>
      <w:r>
        <w:rPr>
          <w:rFonts w:ascii="Arial" w:cs="Arial" w:eastAsia="Arial" w:hAnsi="Arial"/>
          <w:sz w:val="16"/>
          <w:szCs w:val="16"/>
          <w:b w:val="1"/>
          <w:bCs w:val="1"/>
          <w:color w:val="3A4967"/>
        </w:rPr>
        <w:t>8</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-97155</wp:posOffset>
            </wp:positionV>
            <wp:extent cx="1939925" cy="4763"/>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-138430</wp:posOffset>
            </wp:positionV>
            <wp:extent cx="1939925" cy="63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205740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7180580</wp:posOffset>
            </wp:positionH>
            <wp:positionV relativeFrom="paragraph">
              <wp:posOffset>205740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480"/>
          </w:cols>
          <w:pgMar w:left="560" w:top="579" w:right="841" w:bottom="0" w:gutter="0" w:footer="0" w:header="0"/>
          <w:type w:val="continuous"/>
        </w:sectPr>
      </w:pPr>
    </w:p>
    <w:bookmarkStart w:id="18" w:name="page19"/>
    <w:bookmarkEnd w:id="18"/>
    <w:p>
      <w:pPr>
        <w:ind w:left="972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460"/>
          </w:cols>
          <w:pgMar w:left="860" w:top="579" w:right="5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3A4967"/>
        </w:rPr>
        <w:t>on all barrels below 6 million barrels produced annually. The top tier rate on hard cider (with alcohol by volume of 8.5% or less) is $0.226 per gallon, on hard cider (with non-qualifying fermentable fruits) is $1.07 per gallon, on artificially carbonated wine (hard cider with high CO</w:t>
      </w:r>
      <w:r>
        <w:rPr>
          <w:rFonts w:ascii="Arial" w:cs="Arial" w:eastAsia="Arial" w:hAnsi="Arial"/>
          <w:sz w:val="18"/>
          <w:szCs w:val="18"/>
          <w:color w:val="3A4967"/>
          <w:vertAlign w:val="subscript"/>
        </w:rPr>
        <w:t>2</w:t>
      </w:r>
      <w:r>
        <w:rPr>
          <w:rFonts w:ascii="Arial" w:cs="Arial" w:eastAsia="Arial" w:hAnsi="Arial"/>
          <w:sz w:val="16"/>
          <w:szCs w:val="16"/>
          <w:color w:val="3A4967"/>
        </w:rPr>
        <w:t xml:space="preserve"> levels) is $3.30 per gallon, and on distilled spirits is $13.50 per proof gallon. States levy excise taxes at varying rates based on the type of beverage and alcohol content. Failure by the Company to comply with applicable federal, state or local</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920"/>
        <w:spacing w:after="0"/>
        <w:rPr>
          <w:sz w:val="20"/>
          <w:szCs w:val="20"/>
          <w:color w:val="auto"/>
        </w:rPr>
      </w:pPr>
      <w:r>
        <w:rPr>
          <w:rFonts w:ascii="Arial" w:cs="Arial" w:eastAsia="Arial" w:hAnsi="Arial"/>
          <w:sz w:val="14"/>
          <w:szCs w:val="14"/>
          <w:color w:val="3A4967"/>
        </w:rPr>
        <w:t xml:space="preserve">Item 1 </w:t>
      </w:r>
      <w:r>
        <w:rPr>
          <w:rFonts w:ascii="Arial" w:cs="Arial" w:eastAsia="Arial" w:hAnsi="Arial"/>
          <w:sz w:val="14"/>
          <w:szCs w:val="14"/>
          <w:color w:val="6D7890"/>
        </w:rPr>
        <w:t>Business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80"/>
        <w:spacing w:after="0" w:line="270" w:lineRule="auto"/>
        <w:rPr>
          <w:sz w:val="20"/>
          <w:szCs w:val="20"/>
          <w:color w:val="auto"/>
        </w:rPr>
      </w:pPr>
      <w:r>
        <w:rPr>
          <w:rFonts w:ascii="Arial" w:cs="Arial" w:eastAsia="Arial" w:hAnsi="Arial"/>
          <w:sz w:val="17"/>
          <w:szCs w:val="17"/>
          <w:color w:val="3A4967"/>
        </w:rPr>
        <w:t>laws and regulations could result in higher taxes, penalties, fees and suspension or revocation of permits, licenses or approvals. While there can be no assurance that any such regulatory action would not have a material adverse effect upon the Company or its operating results, the Company is not aware of any infraction affecting any of its licenses or permits that would materially impact its ability to continue its current operations.</w:t>
      </w:r>
    </w:p>
    <w:p>
      <w:pPr>
        <w:spacing w:after="0" w:line="423" w:lineRule="exact"/>
        <w:rPr>
          <w:sz w:val="20"/>
          <w:szCs w:val="20"/>
          <w:color w:val="auto"/>
        </w:rPr>
      </w:pPr>
    </w:p>
    <w:p>
      <w:pPr>
        <w:sectPr>
          <w:pgSz w:w="11880" w:h="15481" w:orient="portrait"/>
          <w:cols w:equalWidth="0" w:num="2">
            <w:col w:w="4920" w:space="340"/>
            <w:col w:w="5200"/>
          </w:cols>
          <w:pgMar w:left="860" w:top="579" w:right="561" w:bottom="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Trademarks</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The Company has obtained trademark registrations with the United States Patent and Trademark Office for over 400 trademarks, including Samuel Adams</w:t>
      </w:r>
      <w:r>
        <w:rPr>
          <w:rFonts w:ascii="Arial" w:cs="Arial" w:eastAsia="Arial" w:hAnsi="Arial"/>
          <w:sz w:val="10"/>
          <w:szCs w:val="10"/>
          <w:color w:val="3A4967"/>
        </w:rPr>
        <w:t>®</w:t>
      </w:r>
      <w:r>
        <w:rPr>
          <w:rFonts w:ascii="Arial" w:cs="Arial" w:eastAsia="Arial" w:hAnsi="Arial"/>
          <w:sz w:val="17"/>
          <w:szCs w:val="17"/>
          <w:color w:val="3A4967"/>
        </w:rPr>
        <w:t>, Sam Adams</w:t>
      </w:r>
      <w:r>
        <w:rPr>
          <w:rFonts w:ascii="Arial" w:cs="Arial" w:eastAsia="Arial" w:hAnsi="Arial"/>
          <w:sz w:val="10"/>
          <w:szCs w:val="10"/>
          <w:color w:val="3A4967"/>
        </w:rPr>
        <w:t>®</w:t>
      </w:r>
      <w:r>
        <w:rPr>
          <w:rFonts w:ascii="Arial" w:cs="Arial" w:eastAsia="Arial" w:hAnsi="Arial"/>
          <w:sz w:val="17"/>
          <w:szCs w:val="17"/>
          <w:color w:val="3A4967"/>
        </w:rPr>
        <w:t>, Twisted Tea</w:t>
      </w:r>
      <w:r>
        <w:rPr>
          <w:rFonts w:ascii="Arial" w:cs="Arial" w:eastAsia="Arial" w:hAnsi="Arial"/>
          <w:sz w:val="10"/>
          <w:szCs w:val="10"/>
          <w:color w:val="3A4967"/>
        </w:rPr>
        <w:t>®</w:t>
      </w:r>
      <w:r>
        <w:rPr>
          <w:rFonts w:ascii="Arial" w:cs="Arial" w:eastAsia="Arial" w:hAnsi="Arial"/>
          <w:sz w:val="17"/>
          <w:szCs w:val="17"/>
          <w:color w:val="3A4967"/>
        </w:rPr>
        <w:t>, Truly</w:t>
      </w:r>
      <w:r>
        <w:rPr>
          <w:rFonts w:ascii="Arial" w:cs="Arial" w:eastAsia="Arial" w:hAnsi="Arial"/>
          <w:sz w:val="10"/>
          <w:szCs w:val="10"/>
          <w:color w:val="3A4967"/>
        </w:rPr>
        <w:t>®</w:t>
      </w:r>
      <w:r>
        <w:rPr>
          <w:rFonts w:ascii="Arial" w:cs="Arial" w:eastAsia="Arial" w:hAnsi="Arial"/>
          <w:sz w:val="17"/>
          <w:szCs w:val="17"/>
          <w:color w:val="3A4967"/>
        </w:rPr>
        <w:t>, Truly Hard Seltzer</w:t>
      </w:r>
      <w:r>
        <w:rPr>
          <w:rFonts w:ascii="Arial" w:cs="Arial" w:eastAsia="Arial" w:hAnsi="Arial"/>
          <w:sz w:val="10"/>
          <w:szCs w:val="10"/>
          <w:color w:val="3A4967"/>
        </w:rPr>
        <w:t>®</w:t>
      </w:r>
      <w:r>
        <w:rPr>
          <w:rFonts w:ascii="Arial" w:cs="Arial" w:eastAsia="Arial" w:hAnsi="Arial"/>
          <w:sz w:val="17"/>
          <w:szCs w:val="17"/>
          <w:color w:val="3A4967"/>
        </w:rPr>
        <w:t>, Angry Orchard</w:t>
      </w:r>
      <w:r>
        <w:rPr>
          <w:rFonts w:ascii="Arial" w:cs="Arial" w:eastAsia="Arial" w:hAnsi="Arial"/>
          <w:sz w:val="10"/>
          <w:szCs w:val="10"/>
          <w:color w:val="3A4967"/>
        </w:rPr>
        <w:t>®</w:t>
      </w:r>
      <w:r>
        <w:rPr>
          <w:rFonts w:ascii="Arial" w:cs="Arial" w:eastAsia="Arial" w:hAnsi="Arial"/>
          <w:sz w:val="17"/>
          <w:szCs w:val="17"/>
          <w:color w:val="3A4967"/>
        </w:rPr>
        <w:t>, Dogfish Head</w:t>
      </w:r>
      <w:r>
        <w:rPr>
          <w:rFonts w:ascii="Arial" w:cs="Arial" w:eastAsia="Arial" w:hAnsi="Arial"/>
          <w:sz w:val="10"/>
          <w:szCs w:val="10"/>
          <w:color w:val="3A4967"/>
        </w:rPr>
        <w:t>®</w:t>
      </w:r>
      <w:r>
        <w:rPr>
          <w:rFonts w:ascii="Arial" w:cs="Arial" w:eastAsia="Arial" w:hAnsi="Arial"/>
          <w:sz w:val="17"/>
          <w:szCs w:val="17"/>
          <w:color w:val="3A4967"/>
        </w:rPr>
        <w:t>, Coney Island</w:t>
      </w:r>
      <w:r>
        <w:rPr>
          <w:rFonts w:ascii="Arial" w:cs="Arial" w:eastAsia="Arial" w:hAnsi="Arial"/>
          <w:sz w:val="10"/>
          <w:szCs w:val="10"/>
          <w:color w:val="3A4967"/>
        </w:rPr>
        <w:t>®</w:t>
      </w:r>
      <w:r>
        <w:rPr>
          <w:rFonts w:ascii="Arial" w:cs="Arial" w:eastAsia="Arial" w:hAnsi="Arial"/>
          <w:sz w:val="17"/>
          <w:szCs w:val="17"/>
          <w:color w:val="3A4967"/>
        </w:rPr>
        <w:t>, and Angel City Brewery</w:t>
      </w:r>
      <w:r>
        <w:rPr>
          <w:rFonts w:ascii="Arial" w:cs="Arial" w:eastAsia="Arial" w:hAnsi="Arial"/>
          <w:sz w:val="10"/>
          <w:szCs w:val="10"/>
          <w:color w:val="3A4967"/>
        </w:rPr>
        <w:t>®</w:t>
      </w:r>
      <w:r>
        <w:rPr>
          <w:rFonts w:ascii="Arial" w:cs="Arial" w:eastAsia="Arial" w:hAnsi="Arial"/>
          <w:sz w:val="17"/>
          <w:szCs w:val="17"/>
          <w:color w:val="3A4967"/>
        </w:rPr>
        <w:t>. It also has a number of common law trademarks. Several Company trademarks are also registered or have registrations pending in various foreign countries. The Company regards its trademarks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jc w:val="both"/>
        <w:ind w:right="280"/>
        <w:spacing w:after="0" w:line="269" w:lineRule="auto"/>
        <w:rPr>
          <w:sz w:val="20"/>
          <w:szCs w:val="20"/>
          <w:color w:val="auto"/>
        </w:rPr>
      </w:pPr>
      <w:r>
        <w:rPr>
          <w:rFonts w:ascii="Arial" w:cs="Arial" w:eastAsia="Arial" w:hAnsi="Arial"/>
          <w:sz w:val="17"/>
          <w:szCs w:val="17"/>
          <w:color w:val="3A4967"/>
        </w:rPr>
        <w:t>as having substantial value and as being an important factor in the marketing of its products. The Company is not aware of any trademark infringements that could materially affect its current business or any prior claim to the trademarks that would prevent the Company from using such trademarks in its business. The Company’s policy is to pursue registration of its marks whenever appropriate and to oppose infringements of its marks through available enforcement options.</w:t>
      </w:r>
    </w:p>
    <w:p>
      <w:pPr>
        <w:spacing w:after="0" w:line="200" w:lineRule="exact"/>
        <w:rPr>
          <w:sz w:val="20"/>
          <w:szCs w:val="20"/>
          <w:color w:val="auto"/>
        </w:rPr>
      </w:pPr>
    </w:p>
    <w:p>
      <w:pPr>
        <w:sectPr>
          <w:pgSz w:w="11880" w:h="15481" w:orient="portrait"/>
          <w:cols w:equalWidth="0" w:num="2">
            <w:col w:w="4920" w:space="340"/>
            <w:col w:w="5200"/>
          </w:cols>
          <w:pgMar w:left="860" w:top="579" w:right="561" w:bottom="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Environmental, Health, and Safety Regulations and Operating Considerations</w:t>
      </w:r>
    </w:p>
    <w:p>
      <w:pPr>
        <w:sectPr>
          <w:pgSz w:w="11880" w:h="15481" w:orient="portrait"/>
          <w:cols w:equalWidth="0" w:num="1">
            <w:col w:w="10460"/>
          </w:cols>
          <w:pgMar w:left="860" w:top="579" w:right="561" w:bottom="0" w:gutter="0" w:footer="0" w:header="0"/>
          <w:type w:val="continuous"/>
        </w:sectPr>
      </w:pP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We are committed to strong corporate governance, corporate responsibility, and the accountability of our Board and our Executive Leadership Team to our stockholders. This section provides a summary of the Board’s and management’s oversight of our strategies regarding our Environmental, Social, and Governance (ESG”) initiatives and selected highlights of the previous year’s accomplishments.</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While formal ESG reporting began in our 2021 ESG Report, we began reporting on ESG initiatives starting in our 2019 Proxy Statement. While we’ve long believed that it’s important to provide accurate and transparent reporting on the impact that our Company has had on our people, our planet, and our communities, our commitment to sustainability has evolved significantly over the last several years, ushering in a new era of accountability in 2025. This shift reflects an increasing focus on transparency and meaningful progress. Since our inaugural ESG Report, we’ve built upon our strategy each year, strengthening our focus on transparency, progress, and responsible growth.</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Among our key ESG achievements in 2024, we focused on establishing our sustainability goals and targets, which will be detailed in our forthcoming 2024 ESG report. This process involved extensive discussions with subject matter experts, collaborative workshops, and efforts to obtain Executive Leadership Team approval ahead of publication in 2025.</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For additional information on our impact and ESG initiatives, the Company’s historical ESG reports are available in the sustainability section on our company website at www.bostonbeer.com/our-impact/sustainability. We anticipate that we will publish our 2024 ESG Report in the summer of 2025. In advance of the publication of that report, here is an early look at some of our ESG highlights from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458470</wp:posOffset>
            </wp:positionV>
            <wp:extent cx="2584450" cy="1917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6D7890"/>
        </w:rPr>
        <w:t>2024 Environmental Highlights</w:t>
      </w:r>
    </w:p>
    <w:p>
      <w:pPr>
        <w:spacing w:after="0" w:line="114" w:lineRule="exact"/>
        <w:rPr>
          <w:sz w:val="20"/>
          <w:szCs w:val="20"/>
          <w:color w:val="auto"/>
        </w:rPr>
      </w:pPr>
    </w:p>
    <w:p>
      <w:pPr>
        <w:ind w:left="169" w:right="280" w:hanging="169"/>
        <w:spacing w:after="0" w:line="267" w:lineRule="auto"/>
        <w:tabs>
          <w:tab w:leader="none" w:pos="169" w:val="left"/>
        </w:tabs>
        <w:numPr>
          <w:ilvl w:val="0"/>
          <w:numId w:val="4"/>
        </w:numPr>
        <w:rPr>
          <w:rFonts w:ascii="Wingdings" w:cs="Wingdings" w:eastAsia="Wingdings" w:hAnsi="Wingdings"/>
          <w:sz w:val="15"/>
          <w:szCs w:val="15"/>
          <w:color w:val="3A4967"/>
        </w:rPr>
      </w:pPr>
      <w:r>
        <w:rPr>
          <w:rFonts w:ascii="Arial" w:cs="Arial" w:eastAsia="Arial" w:hAnsi="Arial"/>
          <w:sz w:val="18"/>
          <w:szCs w:val="18"/>
          <w:color w:val="3A4967"/>
        </w:rPr>
        <w:t>BBC advanced our commitment to sustainable packaging through two key initiatives:</w:t>
      </w:r>
    </w:p>
    <w:p>
      <w:pPr>
        <w:spacing w:after="0" w:line="11" w:lineRule="exact"/>
        <w:rPr>
          <w:rFonts w:ascii="Wingdings" w:cs="Wingdings" w:eastAsia="Wingdings" w:hAnsi="Wingdings"/>
          <w:sz w:val="15"/>
          <w:szCs w:val="15"/>
          <w:color w:val="3A4967"/>
        </w:rPr>
      </w:pPr>
    </w:p>
    <w:p>
      <w:pPr>
        <w:jc w:val="both"/>
        <w:ind w:left="169" w:right="280" w:hanging="169"/>
        <w:spacing w:after="0" w:line="260" w:lineRule="auto"/>
        <w:tabs>
          <w:tab w:leader="none" w:pos="169" w:val="left"/>
        </w:tabs>
        <w:numPr>
          <w:ilvl w:val="0"/>
          <w:numId w:val="4"/>
        </w:numPr>
        <w:rPr>
          <w:rFonts w:ascii="Wingdings" w:cs="Wingdings" w:eastAsia="Wingdings" w:hAnsi="Wingdings"/>
          <w:sz w:val="14"/>
          <w:szCs w:val="14"/>
          <w:color w:val="3A4967"/>
        </w:rPr>
      </w:pPr>
      <w:r>
        <w:rPr>
          <w:rFonts w:ascii="Arial" w:cs="Arial" w:eastAsia="Arial" w:hAnsi="Arial"/>
          <w:sz w:val="17"/>
          <w:szCs w:val="17"/>
          <w:color w:val="3A4967"/>
        </w:rPr>
        <w:t>BBC advanced CO</w:t>
      </w:r>
      <w:r>
        <w:rPr>
          <w:rFonts w:ascii="Arial" w:cs="Arial" w:eastAsia="Arial" w:hAnsi="Arial"/>
          <w:sz w:val="19"/>
          <w:szCs w:val="19"/>
          <w:color w:val="3A4967"/>
          <w:vertAlign w:val="subscript"/>
        </w:rPr>
        <w:t>2</w:t>
      </w:r>
      <w:r>
        <w:rPr>
          <w:rFonts w:ascii="Arial" w:cs="Arial" w:eastAsia="Arial" w:hAnsi="Arial"/>
          <w:sz w:val="17"/>
          <w:szCs w:val="17"/>
          <w:color w:val="3A4967"/>
        </w:rPr>
        <w:t xml:space="preserve"> recapturing systems across all three manufacturing locations. Most notably, at our Cincinnati brewery, we expanded CO</w:t>
      </w:r>
      <w:r>
        <w:rPr>
          <w:rFonts w:ascii="Arial" w:cs="Arial" w:eastAsia="Arial" w:hAnsi="Arial"/>
          <w:sz w:val="19"/>
          <w:szCs w:val="19"/>
          <w:color w:val="3A4967"/>
          <w:vertAlign w:val="subscript"/>
        </w:rPr>
        <w:t>2</w:t>
      </w:r>
      <w:r>
        <w:rPr>
          <w:rFonts w:ascii="Arial" w:cs="Arial" w:eastAsia="Arial" w:hAnsi="Arial"/>
          <w:sz w:val="17"/>
          <w:szCs w:val="17"/>
          <w:color w:val="3A4967"/>
        </w:rPr>
        <w:t xml:space="preserve"> recovery capacity, reducing reliance on external sources and saving $30,000 weekly. The improved process captures CO</w:t>
      </w:r>
      <w:r>
        <w:rPr>
          <w:rFonts w:ascii="Arial" w:cs="Arial" w:eastAsia="Arial" w:hAnsi="Arial"/>
          <w:sz w:val="19"/>
          <w:szCs w:val="19"/>
          <w:color w:val="3A4967"/>
          <w:vertAlign w:val="subscript"/>
        </w:rPr>
        <w:t>2</w:t>
      </w:r>
      <w:r>
        <w:rPr>
          <w:rFonts w:ascii="Arial" w:cs="Arial" w:eastAsia="Arial" w:hAnsi="Arial"/>
          <w:sz w:val="17"/>
          <w:szCs w:val="17"/>
          <w:color w:val="3A4967"/>
        </w:rPr>
        <w:t xml:space="preserve"> emissions from fermentation, filters and pressurizes the gas, and reuses it for carbonation and other operations. These energy-efficient advancements highlight our commitment to innovative solutions that drive both environmental and operational benefits.</w:t>
      </w:r>
    </w:p>
    <w:p>
      <w:pPr>
        <w:spacing w:after="0" w:line="36" w:lineRule="exact"/>
        <w:rPr>
          <w:rFonts w:ascii="Wingdings" w:cs="Wingdings" w:eastAsia="Wingdings" w:hAnsi="Wingdings"/>
          <w:sz w:val="14"/>
          <w:szCs w:val="14"/>
          <w:color w:val="3A4967"/>
        </w:rPr>
      </w:pPr>
    </w:p>
    <w:p>
      <w:pPr>
        <w:jc w:val="both"/>
        <w:ind w:left="169" w:right="280" w:hanging="169"/>
        <w:spacing w:after="0" w:line="254" w:lineRule="auto"/>
        <w:tabs>
          <w:tab w:leader="none" w:pos="169" w:val="left"/>
        </w:tabs>
        <w:numPr>
          <w:ilvl w:val="0"/>
          <w:numId w:val="4"/>
        </w:numPr>
        <w:rPr>
          <w:rFonts w:ascii="Wingdings" w:cs="Wingdings" w:eastAsia="Wingdings" w:hAnsi="Wingdings"/>
          <w:sz w:val="15"/>
          <w:szCs w:val="15"/>
          <w:color w:val="3A4967"/>
        </w:rPr>
      </w:pPr>
      <w:r>
        <w:rPr>
          <w:rFonts w:ascii="Arial" w:cs="Arial" w:eastAsia="Arial" w:hAnsi="Arial"/>
          <w:sz w:val="18"/>
          <w:szCs w:val="18"/>
          <w:color w:val="3A4967"/>
        </w:rPr>
        <w:t>BBC committed to constructing a wastewater pre-treatment facility at our Samuel Adams Pennsylvania Brewery, which will reduce workloads for local wastewater treatment plants and capture biogas that will be used on site as an energy source, partially offsetting the need for fossil fuels.</w:t>
      </w:r>
    </w:p>
    <w:p>
      <w:pPr>
        <w:spacing w:after="0" w:line="41" w:lineRule="exact"/>
        <w:rPr>
          <w:rFonts w:ascii="Wingdings" w:cs="Wingdings" w:eastAsia="Wingdings" w:hAnsi="Wingdings"/>
          <w:sz w:val="15"/>
          <w:szCs w:val="15"/>
          <w:color w:val="3A4967"/>
        </w:rPr>
      </w:pPr>
    </w:p>
    <w:p>
      <w:pPr>
        <w:jc w:val="both"/>
        <w:ind w:left="169" w:right="280" w:hanging="169"/>
        <w:spacing w:after="0" w:line="253" w:lineRule="auto"/>
        <w:tabs>
          <w:tab w:leader="none" w:pos="169" w:val="left"/>
        </w:tabs>
        <w:numPr>
          <w:ilvl w:val="0"/>
          <w:numId w:val="4"/>
        </w:numPr>
        <w:rPr>
          <w:rFonts w:ascii="Wingdings" w:cs="Wingdings" w:eastAsia="Wingdings" w:hAnsi="Wingdings"/>
          <w:sz w:val="15"/>
          <w:szCs w:val="15"/>
          <w:color w:val="3A4967"/>
        </w:rPr>
      </w:pPr>
      <w:r>
        <w:rPr>
          <w:rFonts w:ascii="Arial" w:cs="Arial" w:eastAsia="Arial" w:hAnsi="Arial"/>
          <w:sz w:val="18"/>
          <w:szCs w:val="18"/>
          <w:color w:val="3A4967"/>
        </w:rPr>
        <w:t>BBC Transportation Team improved truckload utilization by 2% in 2024 compared to 2023. Improving truck utilization allows Boston Beer to reduce the total number of trucks needed to ship our products and enable each truck to carry more products, thus reducing the overall emissions output of our transportation network.</w:t>
      </w:r>
    </w:p>
    <w:p>
      <w:pPr>
        <w:spacing w:after="0" w:line="168"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6D7890"/>
        </w:rPr>
        <w:t>2024 Social Highlights</w:t>
      </w:r>
    </w:p>
    <w:p>
      <w:pPr>
        <w:spacing w:after="0" w:line="114" w:lineRule="exact"/>
        <w:rPr>
          <w:sz w:val="20"/>
          <w:szCs w:val="20"/>
          <w:color w:val="auto"/>
        </w:rPr>
      </w:pPr>
    </w:p>
    <w:p>
      <w:pPr>
        <w:jc w:val="both"/>
        <w:ind w:left="169" w:right="280" w:hanging="169"/>
        <w:spacing w:after="0" w:line="254" w:lineRule="auto"/>
        <w:tabs>
          <w:tab w:leader="none" w:pos="169" w:val="left"/>
        </w:tabs>
        <w:numPr>
          <w:ilvl w:val="0"/>
          <w:numId w:val="5"/>
        </w:numPr>
        <w:rPr>
          <w:rFonts w:ascii="Wingdings" w:cs="Wingdings" w:eastAsia="Wingdings" w:hAnsi="Wingdings"/>
          <w:sz w:val="15"/>
          <w:szCs w:val="15"/>
          <w:color w:val="3A4967"/>
        </w:rPr>
      </w:pPr>
      <w:r>
        <w:rPr>
          <w:rFonts w:ascii="Arial" w:cs="Arial" w:eastAsia="Arial" w:hAnsi="Arial"/>
          <w:sz w:val="18"/>
          <w:szCs w:val="18"/>
          <w:color w:val="3A4967"/>
        </w:rPr>
        <w:t>Creating and maintaining healthy and safe working environments is a critical part of our sustainability strategy. In 2024, we achieved an ambitious goal to reduce total injuries by 20% per location, with the ultimate target of achieving an injury-free workplace by 2030.</w:t>
      </w:r>
    </w:p>
    <w:p>
      <w:pPr>
        <w:spacing w:after="0" w:line="525" w:lineRule="exact"/>
        <w:rPr>
          <w:sz w:val="20"/>
          <w:szCs w:val="20"/>
          <w:color w:val="auto"/>
        </w:rPr>
      </w:pPr>
    </w:p>
    <w:p>
      <w:pPr>
        <w:sectPr>
          <w:pgSz w:w="11880" w:h="15481" w:orient="portrait"/>
          <w:cols w:equalWidth="0" w:num="2">
            <w:col w:w="4920" w:space="331"/>
            <w:col w:w="5209"/>
          </w:cols>
          <w:pgMar w:left="860" w:top="579" w:right="561" w:bottom="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b w:val="1"/>
          <w:bCs w:val="1"/>
          <w:color w:val="3A4967"/>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460"/>
          </w:cols>
          <w:pgMar w:left="860" w:top="579" w:right="561" w:bottom="0" w:gutter="0" w:footer="0" w:header="0"/>
          <w:type w:val="continuous"/>
        </w:sectPr>
      </w:pPr>
    </w:p>
    <w:bookmarkStart w:id="19" w:name="page20"/>
    <w:bookmarkEnd w:id="19"/>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1 </w:t>
      </w:r>
      <w:r>
        <w:rPr>
          <w:rFonts w:ascii="Arial" w:cs="Arial" w:eastAsia="Arial" w:hAnsi="Arial"/>
          <w:sz w:val="13"/>
          <w:szCs w:val="13"/>
          <w:color w:val="6D7890"/>
        </w:rPr>
        <w:t>Business</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560" w:hanging="169"/>
        <w:spacing w:after="0" w:line="252" w:lineRule="auto"/>
        <w:tabs>
          <w:tab w:leader="none" w:pos="560" w:val="left"/>
        </w:tabs>
        <w:numPr>
          <w:ilvl w:val="0"/>
          <w:numId w:val="6"/>
        </w:numPr>
        <w:rPr>
          <w:rFonts w:ascii="Wingdings" w:cs="Wingdings" w:eastAsia="Wingdings" w:hAnsi="Wingdings"/>
          <w:sz w:val="15"/>
          <w:szCs w:val="15"/>
          <w:color w:val="3A4967"/>
        </w:rPr>
      </w:pPr>
      <w:r>
        <w:rPr>
          <w:rFonts w:ascii="Arial" w:cs="Arial" w:eastAsia="Arial" w:hAnsi="Arial"/>
          <w:sz w:val="18"/>
          <w:szCs w:val="18"/>
          <w:color w:val="3A4967"/>
        </w:rPr>
        <w:t>As part of our Learning and Development team’s mission, we hold managers accountable for creating an environment that enhances coworker development. In 2024, we elevated manager development by launching a refreshed New Leader Experience course, a 2.5-day program providing essential leadership tools and training. We also introduced Moments that Matter training to empower all people leaders in handling key leadership moments effectively.</w:t>
      </w:r>
    </w:p>
    <w:p>
      <w:pPr>
        <w:spacing w:after="0" w:line="46" w:lineRule="exact"/>
        <w:rPr>
          <w:rFonts w:ascii="Wingdings" w:cs="Wingdings" w:eastAsia="Wingdings" w:hAnsi="Wingdings"/>
          <w:sz w:val="15"/>
          <w:szCs w:val="15"/>
          <w:color w:val="3A4967"/>
        </w:rPr>
      </w:pPr>
    </w:p>
    <w:p>
      <w:pPr>
        <w:jc w:val="both"/>
        <w:ind w:left="560" w:hanging="169"/>
        <w:spacing w:after="0" w:line="271" w:lineRule="auto"/>
        <w:tabs>
          <w:tab w:leader="none" w:pos="560" w:val="left"/>
        </w:tabs>
        <w:numPr>
          <w:ilvl w:val="0"/>
          <w:numId w:val="6"/>
        </w:numPr>
        <w:rPr>
          <w:rFonts w:ascii="Wingdings" w:cs="Wingdings" w:eastAsia="Wingdings" w:hAnsi="Wingdings"/>
          <w:sz w:val="14"/>
          <w:szCs w:val="14"/>
          <w:color w:val="3A4967"/>
        </w:rPr>
      </w:pPr>
      <w:r>
        <w:rPr>
          <w:rFonts w:ascii="Arial" w:cs="Arial" w:eastAsia="Arial" w:hAnsi="Arial"/>
          <w:sz w:val="17"/>
          <w:szCs w:val="17"/>
          <w:color w:val="3A4967"/>
        </w:rPr>
        <w:t>We remain committed to fostering a diverse and inclusive workplace where all coworkers feel heard, valued, and respected. In 2024, we advanced this commitment by building participation and engagement within our seven coworker network groups, inclusive leadership development, bystander intervention training, and allyship programs.</w:t>
      </w:r>
    </w:p>
    <w:p>
      <w:pPr>
        <w:spacing w:after="0" w:line="28" w:lineRule="exact"/>
        <w:rPr>
          <w:rFonts w:ascii="Wingdings" w:cs="Wingdings" w:eastAsia="Wingdings" w:hAnsi="Wingdings"/>
          <w:sz w:val="14"/>
          <w:szCs w:val="14"/>
          <w:color w:val="3A4967"/>
        </w:rPr>
      </w:pPr>
    </w:p>
    <w:p>
      <w:pPr>
        <w:jc w:val="both"/>
        <w:ind w:left="560" w:hanging="169"/>
        <w:spacing w:after="0" w:line="281" w:lineRule="auto"/>
        <w:tabs>
          <w:tab w:leader="none" w:pos="560" w:val="left"/>
        </w:tabs>
        <w:numPr>
          <w:ilvl w:val="0"/>
          <w:numId w:val="6"/>
        </w:numPr>
        <w:rPr>
          <w:rFonts w:ascii="Wingdings" w:cs="Wingdings" w:eastAsia="Wingdings" w:hAnsi="Wingdings"/>
          <w:sz w:val="14"/>
          <w:szCs w:val="14"/>
          <w:color w:val="3A4967"/>
        </w:rPr>
      </w:pPr>
      <w:r>
        <w:rPr>
          <w:rFonts w:ascii="Arial" w:cs="Arial" w:eastAsia="Arial" w:hAnsi="Arial"/>
          <w:sz w:val="17"/>
          <w:szCs w:val="17"/>
          <w:color w:val="3A4967"/>
        </w:rPr>
        <w:t>We remain committed to pay transparency by providing coworkers with insight into pay philosophy, administration, and job-specific pay ranges. In 2024, we refined our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69"/>
        <w:spacing w:after="0" w:line="281" w:lineRule="auto"/>
        <w:rPr>
          <w:sz w:val="20"/>
          <w:szCs w:val="20"/>
          <w:color w:val="auto"/>
        </w:rPr>
      </w:pPr>
      <w:r>
        <w:rPr>
          <w:rFonts w:ascii="Arial" w:cs="Arial" w:eastAsia="Arial" w:hAnsi="Arial"/>
          <w:sz w:val="17"/>
          <w:szCs w:val="17"/>
          <w:color w:val="3A4967"/>
        </w:rPr>
        <w:t>strategy, expanded education for leaders and coworkers, enhanced manager training on compensation conversations, and engaged an independent third-party to analyze pay equity.</w:t>
      </w:r>
    </w:p>
    <w:p>
      <w:pPr>
        <w:spacing w:after="0" w:line="18" w:lineRule="exact"/>
        <w:rPr>
          <w:sz w:val="20"/>
          <w:szCs w:val="20"/>
          <w:color w:val="auto"/>
        </w:rPr>
      </w:pPr>
    </w:p>
    <w:p>
      <w:pPr>
        <w:jc w:val="both"/>
        <w:ind w:left="169" w:hanging="169"/>
        <w:spacing w:after="0" w:line="256" w:lineRule="auto"/>
        <w:tabs>
          <w:tab w:leader="none" w:pos="169" w:val="left"/>
        </w:tabs>
        <w:numPr>
          <w:ilvl w:val="0"/>
          <w:numId w:val="7"/>
        </w:numPr>
        <w:rPr>
          <w:rFonts w:ascii="Wingdings" w:cs="Wingdings" w:eastAsia="Wingdings" w:hAnsi="Wingdings"/>
          <w:sz w:val="15"/>
          <w:szCs w:val="15"/>
          <w:color w:val="3A4967"/>
        </w:rPr>
      </w:pPr>
      <w:r>
        <w:rPr>
          <w:rFonts w:ascii="Arial" w:cs="Arial" w:eastAsia="Arial" w:hAnsi="Arial"/>
          <w:sz w:val="18"/>
          <w:szCs w:val="18"/>
          <w:color w:val="3A4967"/>
        </w:rPr>
        <w:t>In 2024, Boston Beer coworkers participated in 40 separate “Benevolence Days,” collectively volunteering more than 2,820 hours supporting 58 community partners and their mission-driven work.</w:t>
      </w:r>
    </w:p>
    <w:p>
      <w:pPr>
        <w:spacing w:after="0" w:line="37" w:lineRule="exact"/>
        <w:rPr>
          <w:rFonts w:ascii="Wingdings" w:cs="Wingdings" w:eastAsia="Wingdings" w:hAnsi="Wingdings"/>
          <w:sz w:val="15"/>
          <w:szCs w:val="15"/>
          <w:color w:val="3A4967"/>
        </w:rPr>
      </w:pPr>
    </w:p>
    <w:p>
      <w:pPr>
        <w:jc w:val="both"/>
        <w:ind w:left="169" w:hanging="169"/>
        <w:spacing w:after="0" w:line="268" w:lineRule="auto"/>
        <w:tabs>
          <w:tab w:leader="none" w:pos="169" w:val="left"/>
        </w:tabs>
        <w:numPr>
          <w:ilvl w:val="0"/>
          <w:numId w:val="7"/>
        </w:numPr>
        <w:rPr>
          <w:rFonts w:ascii="Wingdings" w:cs="Wingdings" w:eastAsia="Wingdings" w:hAnsi="Wingdings"/>
          <w:sz w:val="14"/>
          <w:szCs w:val="14"/>
          <w:color w:val="3A4967"/>
        </w:rPr>
      </w:pPr>
      <w:r>
        <w:rPr>
          <w:rFonts w:ascii="Arial" w:cs="Arial" w:eastAsia="Arial" w:hAnsi="Arial"/>
          <w:sz w:val="17"/>
          <w:szCs w:val="17"/>
          <w:color w:val="3A4967"/>
        </w:rPr>
        <w:t>Building on 15 years of impact, our Samuel Adams Brewing the American Dream</w:t>
      </w:r>
      <w:r>
        <w:rPr>
          <w:rFonts w:ascii="Arial" w:cs="Arial" w:eastAsia="Arial" w:hAnsi="Arial"/>
          <w:sz w:val="10"/>
          <w:szCs w:val="10"/>
          <w:color w:val="3A4967"/>
        </w:rPr>
        <w:t>®</w:t>
      </w:r>
      <w:r>
        <w:rPr>
          <w:rFonts w:ascii="Arial" w:cs="Arial" w:eastAsia="Arial" w:hAnsi="Arial"/>
          <w:sz w:val="17"/>
          <w:szCs w:val="17"/>
          <w:color w:val="3A4967"/>
        </w:rPr>
        <w:t xml:space="preserve"> program continued its mission in 2024 to empower entrepreneurs to thrive. By year’s end, the program had provided nearly 4,500 loans, totaling almost $113 million in funding. In collaboration with Accion Opportunity Fund, the nation’s largest nonprofit micro-lender, and a network of local nonprofit partners, the initiative empowers small business owners in the food, beverage, and brewing industries by offering access to capital, expert coaching, and opportunities to expand into new markets.</w:t>
      </w:r>
    </w:p>
    <w:p>
      <w:pPr>
        <w:spacing w:after="0" w:line="215" w:lineRule="exact"/>
        <w:rPr>
          <w:sz w:val="20"/>
          <w:szCs w:val="20"/>
          <w:color w:val="auto"/>
        </w:rPr>
      </w:pPr>
    </w:p>
    <w:p>
      <w:pPr>
        <w:sectPr>
          <w:pgSz w:w="11880" w:h="15481" w:orient="portrait"/>
          <w:cols w:equalWidth="0" w:num="2">
            <w:col w:w="5320" w:space="331"/>
            <w:col w:w="4929"/>
          </w:cols>
          <w:pgMar w:left="460" w:top="579" w:right="841" w:bottom="0" w:gutter="0" w:footer="0" w:header="0"/>
          <w:type w:val="continuous"/>
        </w:sectPr>
      </w:pPr>
    </w:p>
    <w:p>
      <w:pPr>
        <w:spacing w:after="0" w:line="64"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Human Capital Resources</w:t>
      </w:r>
    </w:p>
    <w:p>
      <w:pPr>
        <w:spacing w:after="0" w:line="164" w:lineRule="exact"/>
        <w:rPr>
          <w:sz w:val="20"/>
          <w:szCs w:val="20"/>
          <w:color w:val="auto"/>
        </w:rPr>
      </w:pPr>
    </w:p>
    <w:p>
      <w:pPr>
        <w:jc w:val="both"/>
        <w:ind w:left="400"/>
        <w:spacing w:after="0" w:line="268" w:lineRule="auto"/>
        <w:rPr>
          <w:sz w:val="20"/>
          <w:szCs w:val="20"/>
          <w:color w:val="auto"/>
        </w:rPr>
      </w:pPr>
      <w:r>
        <w:rPr>
          <w:rFonts w:ascii="Arial" w:cs="Arial" w:eastAsia="Arial" w:hAnsi="Arial"/>
          <w:sz w:val="17"/>
          <w:szCs w:val="17"/>
          <w:color w:val="3A4967"/>
        </w:rPr>
        <w:t>As of December 28, 2024, the Company had 2,537 coworkers, of which 171 were represented by unions or similar organizations. The Company’s Executive Leadership Team (“ELT”) is comprised of the Company’s CEO and seven of his direct reports who collectively have management responsibility for the Company’s primary business areas, including but not limited to brewing, supply chain operations, sales, marketing, finance, legal, and people and culture. The Company’s Board of Directors and the ELT believe that succession planning, talent management, culture, and diversity, equity, and inclusion are critical to the Company’s continued success.</w:t>
      </w:r>
    </w:p>
    <w:p>
      <w:pPr>
        <w:spacing w:after="0" w:line="213" w:lineRule="exact"/>
        <w:rPr>
          <w:sz w:val="20"/>
          <w:szCs w:val="20"/>
          <w:color w:val="auto"/>
        </w:rPr>
      </w:pPr>
    </w:p>
    <w:p>
      <w:pPr>
        <w:ind w:left="400" w:right="1420"/>
        <w:spacing w:after="0" w:line="269" w:lineRule="auto"/>
        <w:rPr>
          <w:sz w:val="20"/>
          <w:szCs w:val="20"/>
          <w:color w:val="auto"/>
        </w:rPr>
      </w:pPr>
      <w:r>
        <w:rPr>
          <w:rFonts w:ascii="Arial" w:cs="Arial" w:eastAsia="Arial" w:hAnsi="Arial"/>
          <w:sz w:val="22"/>
          <w:szCs w:val="22"/>
          <w:b w:val="1"/>
          <w:bCs w:val="1"/>
          <w:color w:val="6D7890"/>
        </w:rPr>
        <w:t>Succession Planning and Talent Management</w:t>
      </w:r>
    </w:p>
    <w:p>
      <w:pPr>
        <w:spacing w:after="0" w:line="63" w:lineRule="exact"/>
        <w:rPr>
          <w:sz w:val="20"/>
          <w:szCs w:val="20"/>
          <w:color w:val="auto"/>
        </w:rPr>
      </w:pPr>
    </w:p>
    <w:p>
      <w:pPr>
        <w:jc w:val="both"/>
        <w:ind w:left="400"/>
        <w:spacing w:after="0" w:line="297" w:lineRule="auto"/>
        <w:rPr>
          <w:sz w:val="20"/>
          <w:szCs w:val="20"/>
          <w:color w:val="auto"/>
        </w:rPr>
      </w:pPr>
      <w:r>
        <w:rPr>
          <w:rFonts w:ascii="Arial" w:cs="Arial" w:eastAsia="Arial" w:hAnsi="Arial"/>
          <w:sz w:val="17"/>
          <w:szCs w:val="17"/>
          <w:color w:val="3A4967"/>
        </w:rPr>
        <w:t>The Company regularly reviews talent development and succession plans for each of its functional areas to identify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develop a pipeline of talent to maintain business operations. The Company understands the potential costs and risks of bringing in an outside executive officer in today’s environment, and that businesses are often – but not always – more successful in promoting internal candidates. Accordingly, the Board of Directors and the ELT make efforts to identify potential successors for those positions long in advance of any potential positional vacancies, perform skills gap analyses for those internal candidates, and provide training and exposure on those gap areas to those candidates in order to develop better potential successors. The Board of Directors is primarily responsible for succession planning for the CEO, but also participates in succession planning discussions for other executive officer positions. The Company believes that its culture, compensation structure, long-term equity program, and robust training and development program provide motivation for talented leaders to remain with the Company.</w:t>
      </w:r>
    </w:p>
    <w:p>
      <w:pPr>
        <w:spacing w:after="0" w:line="231"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107"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Other</w:t>
      </w:r>
    </w:p>
    <w:p>
      <w:pPr>
        <w:spacing w:after="0" w:line="164" w:lineRule="exact"/>
        <w:rPr>
          <w:sz w:val="20"/>
          <w:szCs w:val="20"/>
          <w:color w:val="auto"/>
        </w:rPr>
      </w:pPr>
    </w:p>
    <w:p>
      <w:pPr>
        <w:jc w:val="both"/>
        <w:ind w:left="400"/>
        <w:spacing w:after="0" w:line="290" w:lineRule="auto"/>
        <w:rPr>
          <w:sz w:val="20"/>
          <w:szCs w:val="20"/>
          <w:color w:val="auto"/>
        </w:rPr>
      </w:pPr>
      <w:r>
        <w:rPr>
          <w:rFonts w:ascii="Arial" w:cs="Arial" w:eastAsia="Arial" w:hAnsi="Arial"/>
          <w:sz w:val="16"/>
          <w:szCs w:val="16"/>
          <w:color w:val="3A4967"/>
        </w:rPr>
        <w:t>The Company submitted the Section 12(a) CEO Certification to the New York Stock Exchange in accordance with the requirements of Section 303A of the NYSE Listed Company Manual. This Annual Report on Form 10 -K contains at Exhibits 31.1 and 31.2 the certifications of the Chief Executive Officer and Chief Financial Officer, respectively, in accordance with the requirements of Section 302 of the Sarbanes-Oxley Act of 2002.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1577975</wp:posOffset>
            </wp:positionV>
            <wp:extent cx="2584450" cy="191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makes available free of charge copies of its Annual Report on Form 10- K, as well as other reports required to be filed by Section 13(a) or 15(d) of the Securities Exchange Act of 1934, on the Company’s investor relations website at www.bostonbeer.com, or upon written request to Investor Relations, The Boston Beer Company, Inc., One Design Center Place, Suite 850, Boston, Massachusetts 02210.</w:t>
      </w:r>
    </w:p>
    <w:p>
      <w:pPr>
        <w:spacing w:after="0" w:line="228"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10</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20" w:name="page21"/>
    <w:bookmarkEnd w:id="20"/>
    <w:p>
      <w:pPr>
        <w:ind w:left="972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35"/>
          <w:szCs w:val="35"/>
          <w:b w:val="1"/>
          <w:bCs w:val="1"/>
          <w:color w:val="3A4967"/>
        </w:rPr>
        <w:t xml:space="preserve">Item 1A. </w:t>
      </w:r>
      <w:r>
        <w:rPr>
          <w:rFonts w:ascii="Arial" w:cs="Arial" w:eastAsia="Arial" w:hAnsi="Arial"/>
          <w:sz w:val="35"/>
          <w:szCs w:val="35"/>
          <w:b w:val="1"/>
          <w:bCs w:val="1"/>
          <w:color w:val="6D7890"/>
        </w:rPr>
        <w:t>Risk Factors</w:t>
      </w:r>
    </w:p>
    <w:p>
      <w:pPr>
        <w:spacing w:after="0" w:line="2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3A4967"/>
        </w:rPr>
        <w:t>In addition to the other information in this Annual Report on Form 10-K, the risks described below should be carefully considered before deciding to invest in shares of the Company’s Class A Common Stock. These are risks and uncertainties that management believes are most likely to be material and therefore are most important for an investor to consider. The Company’s business operations and results may also be adversely affected</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620"/>
        <w:spacing w:after="0"/>
        <w:rPr>
          <w:sz w:val="20"/>
          <w:szCs w:val="20"/>
          <w:color w:val="auto"/>
        </w:rPr>
      </w:pPr>
      <w:r>
        <w:rPr>
          <w:rFonts w:ascii="Arial" w:cs="Arial" w:eastAsia="Arial" w:hAnsi="Arial"/>
          <w:sz w:val="14"/>
          <w:szCs w:val="14"/>
          <w:color w:val="3A4967"/>
        </w:rPr>
        <w:t xml:space="preserve">Item 1A </w:t>
      </w:r>
      <w:r>
        <w:rPr>
          <w:rFonts w:ascii="Arial" w:cs="Arial" w:eastAsia="Arial" w:hAnsi="Arial"/>
          <w:sz w:val="14"/>
          <w:szCs w:val="14"/>
          <w:color w:val="6D7890"/>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380"/>
        <w:spacing w:after="0" w:line="270" w:lineRule="auto"/>
        <w:rPr>
          <w:sz w:val="20"/>
          <w:szCs w:val="20"/>
          <w:color w:val="auto"/>
        </w:rPr>
      </w:pPr>
      <w:r>
        <w:rPr>
          <w:rFonts w:ascii="Arial" w:cs="Arial" w:eastAsia="Arial" w:hAnsi="Arial"/>
          <w:sz w:val="17"/>
          <w:szCs w:val="17"/>
          <w:color w:val="3A4967"/>
        </w:rPr>
        <w:t>by additional risks and uncertainties not presently known to it, or which it currently deems immaterial, or which are similar to those faced by other companies in its industry or business in general. If any of the following risks or uncertainties actually occurs, the Company’s business, financial condition, results of operations or cash flows would likely suffer. In that event, the market price of the Company’s Class A Common Stock could decline.</w:t>
      </w:r>
    </w:p>
    <w:p>
      <w:pPr>
        <w:spacing w:after="0" w:line="216"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Risks Associated with Our Industry</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The Company faces substantial competition.</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A4967"/>
        </w:rPr>
        <w:t>The Beyond beer and Traditional beer markets within the United States (“US Beer Market”) is highly competitive due to the participation of large domestic and international brewers and the large number of regional and local competitors, who distribute similar products that have similar pricing and target drinkers.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3A4967"/>
        </w:rPr>
        <w:t>The two largest brewers in the United States, AB InBev and Molson Coors, participate actively in the US Beer Market, through numerous offerings including beers, flavored malt beverages, hard seltzers and spirit RTDs. Imported beers, such as Modelo Especial</w:t>
      </w:r>
      <w:r>
        <w:rPr>
          <w:rFonts w:ascii="Arial" w:cs="Arial" w:eastAsia="Arial" w:hAnsi="Arial"/>
          <w:sz w:val="10"/>
          <w:szCs w:val="10"/>
          <w:color w:val="3A4967"/>
        </w:rPr>
        <w:t>®</w:t>
      </w:r>
      <w:r>
        <w:rPr>
          <w:rFonts w:ascii="Arial" w:cs="Arial" w:eastAsia="Arial" w:hAnsi="Arial"/>
          <w:sz w:val="17"/>
          <w:szCs w:val="17"/>
          <w:color w:val="3A4967"/>
        </w:rPr>
        <w:t>, Corona</w:t>
      </w:r>
      <w:r>
        <w:rPr>
          <w:rFonts w:ascii="Arial" w:cs="Arial" w:eastAsia="Arial" w:hAnsi="Arial"/>
          <w:sz w:val="10"/>
          <w:szCs w:val="10"/>
          <w:color w:val="3A4967"/>
        </w:rPr>
        <w:t>®</w:t>
      </w:r>
      <w:r>
        <w:rPr>
          <w:rFonts w:ascii="Arial" w:cs="Arial" w:eastAsia="Arial" w:hAnsi="Arial"/>
          <w:sz w:val="17"/>
          <w:szCs w:val="17"/>
          <w:color w:val="3A4967"/>
        </w:rPr>
        <w:t>, Heineken</w:t>
      </w:r>
      <w:r>
        <w:rPr>
          <w:rFonts w:ascii="Arial" w:cs="Arial" w:eastAsia="Arial" w:hAnsi="Arial"/>
          <w:sz w:val="10"/>
          <w:szCs w:val="10"/>
          <w:color w:val="3A4967"/>
        </w:rPr>
        <w:t>®</w:t>
      </w:r>
      <w:r>
        <w:rPr>
          <w:rFonts w:ascii="Arial" w:cs="Arial" w:eastAsia="Arial" w:hAnsi="Arial"/>
          <w:sz w:val="17"/>
          <w:szCs w:val="17"/>
          <w:color w:val="3A4967"/>
        </w:rPr>
        <w:t xml:space="preserve"> , and Stella Artois</w:t>
      </w:r>
      <w:r>
        <w:rPr>
          <w:rFonts w:ascii="Arial" w:cs="Arial" w:eastAsia="Arial" w:hAnsi="Arial"/>
          <w:sz w:val="10"/>
          <w:szCs w:val="10"/>
          <w:color w:val="3A4967"/>
        </w:rPr>
        <w:t>®</w:t>
      </w:r>
      <w:r>
        <w:rPr>
          <w:rFonts w:ascii="Arial" w:cs="Arial" w:eastAsia="Arial" w:hAnsi="Arial"/>
          <w:sz w:val="17"/>
          <w:szCs w:val="17"/>
          <w:color w:val="3A4967"/>
        </w:rPr>
        <w:t>, continue to compete aggressively in the United States and have gained market share over the last ten years. Constellation Brands (owner of the United States distribution rights to Modelo Especial and Corona) and Heineken may have substantially greater financial resources, marketing strength and distribution networks than the Company. The Company anticipates competition will remain strong as existing beverage companies continue adding more SKUs and styles. The potential for growth in the sales of flavored malt beverages, hard seltzers, domestic beers, imported beers and spirits RTDs is expected to increase the competition in the market for Beyond beer and Traditional beer occasions within the United States and, as a result, the Company may well face competitive pricing pressures and the demand for and market share of the Company’s products may fluctuate and possibly decline.</w:t>
      </w:r>
    </w:p>
    <w:p>
      <w:pPr>
        <w:spacing w:after="0" w:line="10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3A4967"/>
        </w:rPr>
        <w:t>The Company’s products compete generally with other alcoholic beverages. The Company competes with other beer and beverage companies not only for drinker acceptance and loyalty, but also for traditional retail shelf, cold box and tap space, as well as e-commerce placement and for marketing focus by the Company’s distributors and their customers, all of which also distribute and sell other alcoholic beverage products. Many of the Company’s competitors, including AB InBev, Molson Coors, Constellation, Heineken and Mark Anthony Brands, have substantially greater financial resources, marketing strength and distribution networks than the Company. Moreover, the introduction of new products by competitors that compete directly with the Company’s products or that diminish the importance of the Company’s products to retailers or Distributors may have a material adverse effect on the Company’s business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497840</wp:posOffset>
            </wp:positionV>
            <wp:extent cx="2584450" cy="1917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380"/>
        <w:spacing w:after="0" w:line="268" w:lineRule="auto"/>
        <w:rPr>
          <w:sz w:val="20"/>
          <w:szCs w:val="20"/>
          <w:color w:val="auto"/>
        </w:rPr>
      </w:pPr>
      <w:r>
        <w:rPr>
          <w:rFonts w:ascii="Arial" w:cs="Arial" w:eastAsia="Arial" w:hAnsi="Arial"/>
          <w:sz w:val="17"/>
          <w:szCs w:val="17"/>
          <w:color w:val="3A4967"/>
        </w:rPr>
        <w:t>Several large non-alcoholic beverage companies including Coca-Cola Company (“Coke”), Pepsi, Monster Beverage Corporation (“Monster”) and Arizona Beverage Company (“Arizona”) have entered the alcoholic beverage market directly or through licensing agreements with alcoholic beverage companies to develop alcohol versions of existing traditional non-alcohol brands. As previously discussed, the Company has entered into an agreement with Pepsi to develop, market and sell alcohol beverages which include Hard Mountain Dew, a flavored malt beverage, to take advantage of this trend.</w:t>
      </w:r>
    </w:p>
    <w:p>
      <w:pPr>
        <w:spacing w:after="0" w:line="91" w:lineRule="exact"/>
        <w:rPr>
          <w:sz w:val="20"/>
          <w:szCs w:val="20"/>
          <w:color w:val="auto"/>
        </w:rPr>
      </w:pPr>
    </w:p>
    <w:p>
      <w:pPr>
        <w:jc w:val="both"/>
        <w:ind w:right="380"/>
        <w:spacing w:after="0" w:line="267" w:lineRule="auto"/>
        <w:rPr>
          <w:sz w:val="20"/>
          <w:szCs w:val="20"/>
          <w:color w:val="auto"/>
        </w:rPr>
      </w:pPr>
      <w:r>
        <w:rPr>
          <w:rFonts w:ascii="Arial" w:cs="Arial" w:eastAsia="Arial" w:hAnsi="Arial"/>
          <w:sz w:val="17"/>
          <w:szCs w:val="17"/>
          <w:color w:val="3A4967"/>
        </w:rPr>
        <w:t>Due to the increased leverage that the larger, alcohol and non-alcohol beverage companies may have in distribution and sales and marketing expenses, the costs to the Company of competing could increase. The potential also exists for these large competitors to increase their influence with their Distributors, making it difficult for smaller beverage companies to maintain their market presence or enter new markets. Also, consolidation in the industry could also reduce the contract brewing capacity that is available to the Company. These potential increases in the number and availability of competing brands, the costs to compete, reductions in contract brewing capacity and decreases in distribution support and opportunities may have a material adverse effect on the Company’s business and financial results.</w:t>
      </w:r>
    </w:p>
    <w:p>
      <w:pPr>
        <w:spacing w:after="0" w:line="174" w:lineRule="exact"/>
        <w:rPr>
          <w:sz w:val="20"/>
          <w:szCs w:val="20"/>
          <w:color w:val="auto"/>
        </w:rPr>
      </w:pPr>
    </w:p>
    <w:p>
      <w:pPr>
        <w:ind w:right="520"/>
        <w:spacing w:after="0" w:line="218" w:lineRule="auto"/>
        <w:rPr>
          <w:sz w:val="20"/>
          <w:szCs w:val="20"/>
          <w:color w:val="auto"/>
        </w:rPr>
      </w:pPr>
      <w:r>
        <w:rPr>
          <w:rFonts w:ascii="Arial" w:cs="Arial" w:eastAsia="Arial" w:hAnsi="Arial"/>
          <w:sz w:val="22"/>
          <w:szCs w:val="22"/>
          <w:b w:val="1"/>
          <w:bCs w:val="1"/>
          <w:color w:val="6D7890"/>
        </w:rPr>
        <w:t>Changes in public attitudes and drinker tastes could harm the Company’s business. Regulatory changes in response to public attitudes could adversely affect the Company’s business.</w:t>
      </w:r>
    </w:p>
    <w:p>
      <w:pPr>
        <w:spacing w:after="0" w:line="98" w:lineRule="exact"/>
        <w:rPr>
          <w:sz w:val="20"/>
          <w:szCs w:val="20"/>
          <w:color w:val="auto"/>
        </w:rPr>
      </w:pPr>
    </w:p>
    <w:p>
      <w:pPr>
        <w:jc w:val="both"/>
        <w:ind w:right="380"/>
        <w:spacing w:after="0" w:line="268" w:lineRule="auto"/>
        <w:rPr>
          <w:sz w:val="20"/>
          <w:szCs w:val="20"/>
          <w:color w:val="auto"/>
        </w:rPr>
      </w:pPr>
      <w:r>
        <w:rPr>
          <w:rFonts w:ascii="Arial" w:cs="Arial" w:eastAsia="Arial" w:hAnsi="Arial"/>
          <w:sz w:val="17"/>
          <w:szCs w:val="17"/>
          <w:color w:val="3A4967"/>
        </w:rPr>
        <w:t>The alcoholic beverage industry has been the subject of considerable societal and political attention for several years, due to public concern over alcohol-related social problems, including driving under the influence, underage drinking and health consequences from the misuse of alcohol, including alcoholism. As an outgrowth of these concerns, the possibility exists that advertising by alcoholic beverage producers could be restricted, that additional cautionary labeling or packaging requirements might be imposed, that further restrictions on the sale of alcohol might be imposed or that there may be renewed efforts to impose increased excise or other taxes on beer sold in the United States.</w:t>
      </w:r>
    </w:p>
    <w:p>
      <w:pPr>
        <w:spacing w:after="0" w:line="514"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21" w:name="page22"/>
    <w:bookmarkEnd w:id="21"/>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1A </w:t>
      </w:r>
      <w:r>
        <w:rPr>
          <w:rFonts w:ascii="Arial" w:cs="Arial" w:eastAsia="Arial" w:hAnsi="Arial"/>
          <w:sz w:val="13"/>
          <w:szCs w:val="13"/>
          <w:color w:val="6D7890"/>
        </w:rPr>
        <w:t>Risk Factors</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00"/>
        <w:spacing w:after="0" w:line="252" w:lineRule="auto"/>
        <w:rPr>
          <w:sz w:val="20"/>
          <w:szCs w:val="20"/>
          <w:color w:val="auto"/>
        </w:rPr>
      </w:pPr>
      <w:r>
        <w:rPr>
          <w:rFonts w:ascii="Arial" w:cs="Arial" w:eastAsia="Arial" w:hAnsi="Arial"/>
          <w:sz w:val="18"/>
          <w:szCs w:val="18"/>
          <w:color w:val="3A4967"/>
        </w:rPr>
        <w:t>The US Beer Market has experienced a decline in shipments over the last ten years. The Company believes that this decline is due to declining alcohol consumption per person in the population, health and wellness trends and increased competition from wine and spirits companies. If consumption of the Company’s products in general were to come into disfavor among domestic drinkers, or if the domestic alcohol beverage industry were subjected to significant additional societal pressure or governmental regulations, the Company’s business could be materially adversely affected.</w:t>
      </w:r>
    </w:p>
    <w:p>
      <w:pPr>
        <w:spacing w:after="0" w:line="100" w:lineRule="exact"/>
        <w:rPr>
          <w:sz w:val="20"/>
          <w:szCs w:val="20"/>
          <w:color w:val="auto"/>
        </w:rPr>
      </w:pPr>
    </w:p>
    <w:p>
      <w:pPr>
        <w:jc w:val="both"/>
        <w:ind w:left="400"/>
        <w:spacing w:after="0" w:line="252" w:lineRule="auto"/>
        <w:rPr>
          <w:sz w:val="20"/>
          <w:szCs w:val="20"/>
          <w:color w:val="auto"/>
        </w:rPr>
      </w:pPr>
      <w:r>
        <w:rPr>
          <w:rFonts w:ascii="Arial" w:cs="Arial" w:eastAsia="Arial" w:hAnsi="Arial"/>
          <w:sz w:val="18"/>
          <w:szCs w:val="18"/>
          <w:color w:val="3A4967"/>
        </w:rPr>
        <w:t>Additionally, certain states are considering or have passed laws and regulations that allow the sale and distribution of cannabis. Currently, it is not possible to predict the impact of this on sales of alcohol, but it is possible that legal cannabis usage could adversely impact the demand for the Company’s products. The company has a cannabis-based beverage product in Canada and could be ready to produce that in the United States if the regulatory environment changes.</w:t>
      </w:r>
    </w:p>
    <w:p>
      <w:pPr>
        <w:spacing w:after="0" w:line="183" w:lineRule="exact"/>
        <w:rPr>
          <w:sz w:val="20"/>
          <w:szCs w:val="20"/>
          <w:color w:val="auto"/>
        </w:rPr>
      </w:pPr>
    </w:p>
    <w:p>
      <w:pPr>
        <w:ind w:left="400" w:right="1240"/>
        <w:spacing w:after="0" w:line="233" w:lineRule="auto"/>
        <w:rPr>
          <w:sz w:val="20"/>
          <w:szCs w:val="20"/>
          <w:color w:val="auto"/>
        </w:rPr>
      </w:pPr>
      <w:r>
        <w:rPr>
          <w:rFonts w:ascii="Arial" w:cs="Arial" w:eastAsia="Arial" w:hAnsi="Arial"/>
          <w:sz w:val="22"/>
          <w:szCs w:val="22"/>
          <w:b w:val="1"/>
          <w:bCs w:val="1"/>
          <w:color w:val="6D7890"/>
        </w:rPr>
        <w:t>The Company is dependent on its distributors.</w:t>
      </w:r>
    </w:p>
    <w:p>
      <w:pPr>
        <w:spacing w:after="0" w:line="96" w:lineRule="exact"/>
        <w:rPr>
          <w:sz w:val="20"/>
          <w:szCs w:val="20"/>
          <w:color w:val="auto"/>
        </w:rPr>
      </w:pPr>
    </w:p>
    <w:p>
      <w:pPr>
        <w:jc w:val="both"/>
        <w:ind w:left="400"/>
        <w:spacing w:after="0" w:line="281" w:lineRule="auto"/>
        <w:rPr>
          <w:sz w:val="20"/>
          <w:szCs w:val="20"/>
          <w:color w:val="auto"/>
        </w:rPr>
      </w:pPr>
      <w:r>
        <w:rPr>
          <w:rFonts w:ascii="Arial" w:cs="Arial" w:eastAsia="Arial" w:hAnsi="Arial"/>
          <w:sz w:val="17"/>
          <w:szCs w:val="17"/>
          <w:color w:val="3A4967"/>
        </w:rPr>
        <w:t>In the United States, where approximately 95% of its beverages are sold, the Company sells most of its alcohol beverages to independent beer Distributors for distribution to retailers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ultimately, to drinkers. Although the Company currently has arrangements with over 300 Distributors, sustained growth will require it to maintain such relationships and possibly enter into agreements with additional Distributors. Changes in control or ownership within the current distribution network could lead to less support of the Company’s products.</w:t>
      </w:r>
    </w:p>
    <w:p>
      <w:pPr>
        <w:spacing w:after="0" w:line="10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Contributing to distribution risk is the fact that the Company’s distribution agreements are generally terminable by the Distributor on relatively short notice. While these distribution agreements contain provisions giving the Company enforcement and termination rights, some state laws prohibit the Company from exercising these contractual rights. The Company’s ability to maintain its existing distribution arrangements may be adversely affected by the fact that many of its Distributors are reliant on one of the major beer producers for a large percentage of their revenue and, therefore, they may be influenced by such producers. If the Company’s existing distribution agreements are terminated, it may not be able to enter into new distribution agreements on substantially similar terms, which may result in an increase in the costs of distribution.</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A4967"/>
        </w:rPr>
        <w:t>No assurance can be given that the Company will be able to maintain its current distribution network or secure additional Distributors on terms not less favorable to the Company than its current arrangements.</w:t>
      </w:r>
    </w:p>
    <w:p>
      <w:pPr>
        <w:spacing w:after="0" w:line="238"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120"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Risks Related to the Company’s Business and Operations</w:t>
      </w:r>
    </w:p>
    <w:p>
      <w:pPr>
        <w:sectPr>
          <w:pgSz w:w="11880" w:h="15481" w:orient="portrait"/>
          <w:cols w:equalWidth="0" w:num="1">
            <w:col w:w="10580"/>
          </w:cols>
          <w:pgMar w:left="460" w:top="579" w:right="841" w:bottom="0" w:gutter="0" w:footer="0" w:header="0"/>
          <w:type w:val="continuous"/>
        </w:sectPr>
      </w:pPr>
    </w:p>
    <w:p>
      <w:pPr>
        <w:spacing w:after="0" w:line="244" w:lineRule="exact"/>
        <w:rPr>
          <w:sz w:val="20"/>
          <w:szCs w:val="20"/>
          <w:color w:val="auto"/>
        </w:rPr>
      </w:pPr>
    </w:p>
    <w:p>
      <w:pPr>
        <w:ind w:left="400" w:right="20"/>
        <w:spacing w:after="0" w:line="220" w:lineRule="auto"/>
        <w:rPr>
          <w:sz w:val="20"/>
          <w:szCs w:val="20"/>
          <w:color w:val="auto"/>
        </w:rPr>
      </w:pPr>
      <w:r>
        <w:rPr>
          <w:rFonts w:ascii="Arial" w:cs="Arial" w:eastAsia="Arial" w:hAnsi="Arial"/>
          <w:sz w:val="22"/>
          <w:szCs w:val="22"/>
          <w:b w:val="1"/>
          <w:bCs w:val="1"/>
          <w:color w:val="6D7890"/>
        </w:rPr>
        <w:t>There is no assurance that the Company will grow its business in the future or that the Company can adapt to the challenges of the changing competitive environment.</w:t>
      </w:r>
    </w:p>
    <w:p>
      <w:pPr>
        <w:spacing w:after="0" w:line="99" w:lineRule="exact"/>
        <w:rPr>
          <w:sz w:val="20"/>
          <w:szCs w:val="20"/>
          <w:color w:val="auto"/>
        </w:rPr>
      </w:pPr>
    </w:p>
    <w:p>
      <w:pPr>
        <w:jc w:val="both"/>
        <w:ind w:left="400"/>
        <w:spacing w:after="0" w:line="267" w:lineRule="auto"/>
        <w:rPr>
          <w:sz w:val="20"/>
          <w:szCs w:val="20"/>
          <w:color w:val="auto"/>
        </w:rPr>
      </w:pPr>
      <w:r>
        <w:rPr>
          <w:rFonts w:ascii="Arial" w:cs="Arial" w:eastAsia="Arial" w:hAnsi="Arial"/>
          <w:sz w:val="17"/>
          <w:szCs w:val="17"/>
          <w:color w:val="3A4967"/>
        </w:rPr>
        <w:t>Beginning in the second half of 2021, the market for hard seltzer products experienced decelerating growth trends, which contributed to the Company’s depletion volume decline of 5% in 2022, 6% in 2023 (5% decline on a 52-week comparable basis) and 2% in 2024. The slowdown in growth trends greatly impacted the Company’s volume of production and shipments, as well as its volume projections for the future. The volume reduction also resulted in increased supply chain related costs. These costs include the destruction of excess inventory, provisions for excess and obsolete inventories, property, plant and equipment impairments, write-offs of third-party production prepayments and provisions for costs associated with the termination of various third-party production contracts.</w:t>
      </w:r>
    </w:p>
    <w:p>
      <w:pPr>
        <w:spacing w:after="0" w:line="94" w:lineRule="exact"/>
        <w:rPr>
          <w:sz w:val="20"/>
          <w:szCs w:val="20"/>
          <w:color w:val="auto"/>
        </w:rPr>
      </w:pPr>
    </w:p>
    <w:p>
      <w:pPr>
        <w:jc w:val="both"/>
        <w:ind w:left="400"/>
        <w:spacing w:after="0" w:line="286" w:lineRule="auto"/>
        <w:rPr>
          <w:sz w:val="20"/>
          <w:szCs w:val="20"/>
          <w:color w:val="auto"/>
        </w:rPr>
      </w:pPr>
      <w:r>
        <w:rPr>
          <w:rFonts w:ascii="Arial" w:cs="Arial" w:eastAsia="Arial" w:hAnsi="Arial"/>
          <w:sz w:val="16"/>
          <w:szCs w:val="16"/>
          <w:color w:val="3A4967"/>
        </w:rPr>
        <w:t>The Company is targeting a percentage change in shipments and depletion volume of between down single digits to up single digits. The Company’s ability to meet these targets may be affected by an increasing number of competing beverages. The development of new products by the Company to meet these challenges may lead to reduced sales of the Company’s existing brands and there is no guarantee that these new product initiatives will generate stable long term volume. While the Company believes that a combination of innovation, new brand messaging and the use of traditional and social media, and increased investment in sales execution can lead to increased demand, there is no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253365</wp:posOffset>
            </wp:positionV>
            <wp:extent cx="2584450" cy="1917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3A4967"/>
        </w:rPr>
        <w:t>that the Company’s actions will be successful in maintaining the Company’s historical levels of profitability. Reduced sales, among other factors, could lead to lower brewery utilization, lower funds available to invest in brand support and reduced profitability, and these challenges may require a different mix and level of marketing investments to stabilize and grow volumes. A lower growth environment or periods of sales declines will present challenges for the Company to motivate and retain employees, maintain the current levels of distributor and retailer support of its brands, and fund its current brand investment levels. This could potentially lead to a review of long term organization and capacity needs. Currently, the Company believes it can meet its volume targets in 2025 and return to volume growth in future years, but there is no guarantee its efforts will be successful or profitable.</w:t>
      </w:r>
    </w:p>
    <w:p>
      <w:pPr>
        <w:spacing w:after="0" w:line="159" w:lineRule="exact"/>
        <w:rPr>
          <w:sz w:val="20"/>
          <w:szCs w:val="20"/>
          <w:color w:val="auto"/>
        </w:rPr>
      </w:pPr>
    </w:p>
    <w:p>
      <w:pPr>
        <w:ind w:right="100"/>
        <w:spacing w:after="0" w:line="220" w:lineRule="auto"/>
        <w:rPr>
          <w:sz w:val="20"/>
          <w:szCs w:val="20"/>
          <w:color w:val="auto"/>
        </w:rPr>
      </w:pPr>
      <w:r>
        <w:rPr>
          <w:rFonts w:ascii="Arial" w:cs="Arial" w:eastAsia="Arial" w:hAnsi="Arial"/>
          <w:sz w:val="22"/>
          <w:szCs w:val="22"/>
          <w:b w:val="1"/>
          <w:bCs w:val="1"/>
          <w:color w:val="6D7890"/>
        </w:rPr>
        <w:t>The Company’s inability to react to changes in demand could have a material adverse effect on the Company’s operations or financial results.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Historically, during periods of growth, the Company has faced challenges in meeting demand. The challenges were both production constraints, primarily resulting from canning and variety pack capacity limitations, and can supply constraints. During these periods of growth, the Company experienced increased inventory obsolescence, and operational, and freight costs, as it reacted. In response to these issues, the Company significantly increased its capacity and personnel to address these challenges.</w:t>
      </w:r>
    </w:p>
    <w:p>
      <w:pPr>
        <w:spacing w:after="0" w:line="326"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65"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12</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22" w:name="page23"/>
    <w:bookmarkEnd w:id="22"/>
    <w:p>
      <w:pPr>
        <w:ind w:left="9729"/>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463665" cy="4763"/>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569"/>
          </w:cols>
          <w:pgMar w:left="851"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9"/>
        <w:spacing w:after="0" w:line="267" w:lineRule="auto"/>
        <w:rPr>
          <w:sz w:val="20"/>
          <w:szCs w:val="20"/>
          <w:color w:val="auto"/>
        </w:rPr>
      </w:pPr>
      <w:r>
        <w:rPr>
          <w:rFonts w:ascii="Arial" w:cs="Arial" w:eastAsia="Arial" w:hAnsi="Arial"/>
          <w:sz w:val="17"/>
          <w:szCs w:val="17"/>
          <w:color w:val="3A4967"/>
        </w:rPr>
        <w:t>With a decline in volume over the second half of 2021 through 2024, the Company incurred additional supply chain related costs associated with downsizing its production model to adjust to reduced demand. In recent years, the Company has been able to better match its supply chain to meet demand, but a sudden increase could result in a recurrence of challenges in meeting demand and a sudden decrease could result in other incremental costs. There can be no assurance that the Company will effectively address changing consumer demand or manage increasing product complexity, without experiencing similar issues in the future. Planning failures, operating inefficiencies, insufficient employee training, control deficiencies, or other similar issues could well have a material adverse effect on the Company’s business and financial results. Growth or decline in the Company’s revenues, changes in operating procedures, and increased complexity have required significant capital investment. The Company on an overall basis has yet to see any operating cost leverage from these investments and there is no guarantee that it will.</w:t>
      </w:r>
    </w:p>
    <w:p>
      <w:pPr>
        <w:spacing w:after="0" w:line="86" w:lineRule="exact"/>
        <w:rPr>
          <w:sz w:val="20"/>
          <w:szCs w:val="20"/>
          <w:color w:val="auto"/>
        </w:rPr>
      </w:pPr>
    </w:p>
    <w:p>
      <w:pPr>
        <w:jc w:val="both"/>
        <w:ind w:left="9"/>
        <w:spacing w:after="0" w:line="252" w:lineRule="auto"/>
        <w:rPr>
          <w:sz w:val="20"/>
          <w:szCs w:val="20"/>
          <w:color w:val="auto"/>
        </w:rPr>
      </w:pPr>
      <w:r>
        <w:rPr>
          <w:rFonts w:ascii="Arial" w:cs="Arial" w:eastAsia="Arial" w:hAnsi="Arial"/>
          <w:sz w:val="18"/>
          <w:szCs w:val="18"/>
          <w:color w:val="3A4967"/>
        </w:rPr>
        <w:t>The Company remains reliant on third party-owned production facilities, particularly City Brewing Company, LLC, and its subsidiaries, to meet demand. The percentage of its domestic volume produced at Company owned breweries decreased from over 90% in 2017 to approximately 74% in 2024. The Company currently expects that the percentage of total domestic production at Company owned breweries in 2025 will be 80%. The Company expects its reliance on production at City Brewing Company, LLC to decline from approximately 26% of production in 2024 to approximately 20% of production in 2025.</w:t>
      </w:r>
    </w:p>
    <w:p>
      <w:pPr>
        <w:spacing w:after="0" w:line="99" w:lineRule="exact"/>
        <w:rPr>
          <w:sz w:val="20"/>
          <w:szCs w:val="20"/>
          <w:color w:val="auto"/>
        </w:rPr>
      </w:pPr>
    </w:p>
    <w:p>
      <w:pPr>
        <w:jc w:val="both"/>
        <w:ind w:left="9"/>
        <w:spacing w:after="0" w:line="267" w:lineRule="auto"/>
        <w:rPr>
          <w:sz w:val="20"/>
          <w:szCs w:val="20"/>
          <w:color w:val="auto"/>
        </w:rPr>
      </w:pPr>
      <w:r>
        <w:rPr>
          <w:rFonts w:ascii="Arial" w:cs="Arial" w:eastAsia="Arial" w:hAnsi="Arial"/>
          <w:sz w:val="18"/>
          <w:szCs w:val="18"/>
          <w:color w:val="3A4967"/>
        </w:rPr>
        <w:t>The Company’s ability to grow and to meet potentially increasing consumer demand will be affected by:</w:t>
      </w:r>
    </w:p>
    <w:p>
      <w:pPr>
        <w:spacing w:after="0" w:line="85" w:lineRule="exact"/>
        <w:rPr>
          <w:sz w:val="20"/>
          <w:szCs w:val="20"/>
          <w:color w:val="auto"/>
        </w:rPr>
      </w:pPr>
    </w:p>
    <w:p>
      <w:pPr>
        <w:jc w:val="both"/>
        <w:ind w:left="169" w:hanging="169"/>
        <w:spacing w:after="0" w:line="259" w:lineRule="auto"/>
        <w:tabs>
          <w:tab w:leader="none" w:pos="169" w:val="left"/>
        </w:tabs>
        <w:numPr>
          <w:ilvl w:val="0"/>
          <w:numId w:val="8"/>
        </w:numPr>
        <w:rPr>
          <w:rFonts w:ascii="Wingdings" w:cs="Wingdings" w:eastAsia="Wingdings" w:hAnsi="Wingdings"/>
          <w:sz w:val="15"/>
          <w:szCs w:val="15"/>
          <w:color w:val="3A4967"/>
        </w:rPr>
      </w:pPr>
      <w:r>
        <w:rPr>
          <w:rFonts w:ascii="Arial" w:cs="Arial" w:eastAsia="Arial" w:hAnsi="Arial"/>
          <w:sz w:val="18"/>
          <w:szCs w:val="18"/>
          <w:color w:val="3A4967"/>
        </w:rPr>
        <w:t>its ability to meet production goals and/or targets at the Company’s owned breweries and third party-owned production facilities;</w:t>
      </w:r>
    </w:p>
    <w:p>
      <w:pPr>
        <w:spacing w:after="0" w:line="34" w:lineRule="exact"/>
        <w:rPr>
          <w:rFonts w:ascii="Wingdings" w:cs="Wingdings" w:eastAsia="Wingdings" w:hAnsi="Wingdings"/>
          <w:sz w:val="15"/>
          <w:szCs w:val="15"/>
          <w:color w:val="3A4967"/>
        </w:rPr>
      </w:pPr>
    </w:p>
    <w:p>
      <w:pPr>
        <w:jc w:val="both"/>
        <w:ind w:left="169" w:hanging="169"/>
        <w:spacing w:after="0" w:line="267" w:lineRule="auto"/>
        <w:tabs>
          <w:tab w:leader="none" w:pos="169" w:val="left"/>
        </w:tabs>
        <w:numPr>
          <w:ilvl w:val="0"/>
          <w:numId w:val="8"/>
        </w:numPr>
        <w:rPr>
          <w:rFonts w:ascii="Wingdings" w:cs="Wingdings" w:eastAsia="Wingdings" w:hAnsi="Wingdings"/>
          <w:sz w:val="15"/>
          <w:szCs w:val="15"/>
          <w:color w:val="3A4967"/>
        </w:rPr>
      </w:pPr>
      <w:r>
        <w:rPr>
          <w:rFonts w:ascii="Arial" w:cs="Arial" w:eastAsia="Arial" w:hAnsi="Arial"/>
          <w:sz w:val="18"/>
          <w:szCs w:val="18"/>
          <w:color w:val="3A4967"/>
        </w:rPr>
        <w:t>its ability to enter into new production contracts with third party-owned breweries on commercially acceptable terms;</w:t>
      </w:r>
    </w:p>
    <w:p>
      <w:pPr>
        <w:spacing w:after="0" w:line="28" w:lineRule="exact"/>
        <w:rPr>
          <w:rFonts w:ascii="Wingdings" w:cs="Wingdings" w:eastAsia="Wingdings" w:hAnsi="Wingdings"/>
          <w:sz w:val="15"/>
          <w:szCs w:val="15"/>
          <w:color w:val="3A4967"/>
        </w:rPr>
      </w:pPr>
    </w:p>
    <w:p>
      <w:pPr>
        <w:jc w:val="both"/>
        <w:ind w:left="169" w:hanging="169"/>
        <w:spacing w:after="0" w:line="306" w:lineRule="auto"/>
        <w:tabs>
          <w:tab w:leader="none" w:pos="169" w:val="left"/>
        </w:tabs>
        <w:numPr>
          <w:ilvl w:val="0"/>
          <w:numId w:val="8"/>
        </w:numPr>
        <w:rPr>
          <w:rFonts w:ascii="Wingdings" w:cs="Wingdings" w:eastAsia="Wingdings" w:hAnsi="Wingdings"/>
          <w:sz w:val="13"/>
          <w:szCs w:val="13"/>
          <w:color w:val="3A4967"/>
        </w:rPr>
      </w:pPr>
      <w:r>
        <w:rPr>
          <w:rFonts w:ascii="Arial" w:cs="Arial" w:eastAsia="Arial" w:hAnsi="Arial"/>
          <w:sz w:val="16"/>
          <w:szCs w:val="16"/>
          <w:color w:val="3A4967"/>
        </w:rPr>
        <w:t>disruption or other operating performance issues at the Company’s owned breweries or limits on the availability of suitable production capacity at third party-owned production facilities;</w:t>
      </w:r>
    </w:p>
    <w:p>
      <w:pPr>
        <w:jc w:val="both"/>
        <w:ind w:left="169" w:hanging="169"/>
        <w:spacing w:after="0" w:line="259" w:lineRule="auto"/>
        <w:tabs>
          <w:tab w:leader="none" w:pos="169" w:val="left"/>
        </w:tabs>
        <w:numPr>
          <w:ilvl w:val="0"/>
          <w:numId w:val="8"/>
        </w:numPr>
        <w:rPr>
          <w:rFonts w:ascii="Wingdings" w:cs="Wingdings" w:eastAsia="Wingdings" w:hAnsi="Wingdings"/>
          <w:sz w:val="15"/>
          <w:szCs w:val="15"/>
          <w:color w:val="3A4967"/>
        </w:rPr>
      </w:pPr>
      <w:r>
        <w:rPr>
          <w:rFonts w:ascii="Arial" w:cs="Arial" w:eastAsia="Arial" w:hAnsi="Arial"/>
          <w:sz w:val="18"/>
          <w:szCs w:val="18"/>
          <w:color w:val="3A4967"/>
        </w:rPr>
        <w:t>its ability to obtain sufficient quantities of certain packaging materials and ingredients, such as cans, flavorings, cardboard wraps and glass bottles from suppliers; and</w:t>
      </w:r>
    </w:p>
    <w:p>
      <w:pPr>
        <w:spacing w:after="0" w:line="34" w:lineRule="exact"/>
        <w:rPr>
          <w:rFonts w:ascii="Wingdings" w:cs="Wingdings" w:eastAsia="Wingdings" w:hAnsi="Wingdings"/>
          <w:sz w:val="15"/>
          <w:szCs w:val="15"/>
          <w:color w:val="3A4967"/>
        </w:rPr>
      </w:pPr>
    </w:p>
    <w:p>
      <w:pPr>
        <w:jc w:val="both"/>
        <w:ind w:left="169" w:hanging="169"/>
        <w:spacing w:after="0" w:line="259" w:lineRule="auto"/>
        <w:tabs>
          <w:tab w:leader="none" w:pos="169" w:val="left"/>
        </w:tabs>
        <w:numPr>
          <w:ilvl w:val="0"/>
          <w:numId w:val="8"/>
        </w:numPr>
        <w:rPr>
          <w:rFonts w:ascii="Wingdings" w:cs="Wingdings" w:eastAsia="Wingdings" w:hAnsi="Wingdings"/>
          <w:sz w:val="15"/>
          <w:szCs w:val="15"/>
          <w:color w:val="3A4967"/>
        </w:rPr>
      </w:pPr>
      <w:r>
        <w:rPr>
          <w:rFonts w:ascii="Arial" w:cs="Arial" w:eastAsia="Arial" w:hAnsi="Arial"/>
          <w:sz w:val="18"/>
          <w:szCs w:val="18"/>
          <w:color w:val="3A4967"/>
        </w:rPr>
        <w:t>its ability to reduce risk of both over and under supply by improving and automating manual internal processes for demand and production planning.</w:t>
      </w:r>
    </w:p>
    <w:p>
      <w:pPr>
        <w:spacing w:after="0" w:line="35" w:lineRule="exact"/>
        <w:rPr>
          <w:sz w:val="20"/>
          <w:szCs w:val="20"/>
          <w:color w:val="auto"/>
        </w:rPr>
      </w:pPr>
    </w:p>
    <w:p>
      <w:pPr>
        <w:jc w:val="both"/>
        <w:ind w:left="9"/>
        <w:spacing w:after="0" w:line="253" w:lineRule="auto"/>
        <w:rPr>
          <w:sz w:val="20"/>
          <w:szCs w:val="20"/>
          <w:color w:val="auto"/>
        </w:rPr>
      </w:pPr>
      <w:r>
        <w:rPr>
          <w:rFonts w:ascii="Arial" w:cs="Arial" w:eastAsia="Arial" w:hAnsi="Arial"/>
          <w:sz w:val="18"/>
          <w:szCs w:val="18"/>
          <w:color w:val="3A4967"/>
        </w:rPr>
        <w:t>If the Company were unable to increase supply to meet increased consumer demand for its products, the Company’s business and financial results could well be adversely affected. Alternatively, if there is a sudden decline in demand for the Company’s products, additional costs and inefficiencies could likely result from efforts to adjust the Company’s production model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636905</wp:posOffset>
            </wp:positionV>
            <wp:extent cx="2584450" cy="1917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620"/>
        <w:spacing w:after="0"/>
        <w:rPr>
          <w:sz w:val="20"/>
          <w:szCs w:val="20"/>
          <w:color w:val="auto"/>
        </w:rPr>
      </w:pPr>
      <w:r>
        <w:rPr>
          <w:rFonts w:ascii="Arial" w:cs="Arial" w:eastAsia="Arial" w:hAnsi="Arial"/>
          <w:sz w:val="14"/>
          <w:szCs w:val="14"/>
          <w:color w:val="3A4967"/>
        </w:rPr>
        <w:t xml:space="preserve">Item 1A </w:t>
      </w:r>
      <w:r>
        <w:rPr>
          <w:rFonts w:ascii="Arial" w:cs="Arial" w:eastAsia="Arial" w:hAnsi="Arial"/>
          <w:sz w:val="14"/>
          <w:szCs w:val="14"/>
          <w:color w:val="6D7890"/>
        </w:rPr>
        <w:t>Risk Factors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60"/>
        <w:spacing w:after="0" w:line="224" w:lineRule="auto"/>
        <w:rPr>
          <w:sz w:val="20"/>
          <w:szCs w:val="20"/>
          <w:color w:val="auto"/>
        </w:rPr>
      </w:pPr>
      <w:r>
        <w:rPr>
          <w:rFonts w:ascii="Arial" w:cs="Arial" w:eastAsia="Arial" w:hAnsi="Arial"/>
          <w:sz w:val="22"/>
          <w:szCs w:val="22"/>
          <w:b w:val="1"/>
          <w:bCs w:val="1"/>
          <w:color w:val="6D7890"/>
        </w:rPr>
        <w:t>The Company’s advertising and promotional investments may affect the Company’s financial results but not be effective.</w:t>
      </w:r>
    </w:p>
    <w:p>
      <w:pPr>
        <w:spacing w:after="0" w:line="98" w:lineRule="exact"/>
        <w:rPr>
          <w:sz w:val="20"/>
          <w:szCs w:val="20"/>
          <w:color w:val="auto"/>
        </w:rPr>
      </w:pPr>
    </w:p>
    <w:p>
      <w:pPr>
        <w:jc w:val="both"/>
        <w:ind w:right="380"/>
        <w:spacing w:after="0" w:line="251" w:lineRule="auto"/>
        <w:rPr>
          <w:sz w:val="20"/>
          <w:szCs w:val="20"/>
          <w:color w:val="auto"/>
        </w:rPr>
      </w:pPr>
      <w:r>
        <w:rPr>
          <w:rFonts w:ascii="Arial" w:cs="Arial" w:eastAsia="Arial" w:hAnsi="Arial"/>
          <w:sz w:val="18"/>
          <w:szCs w:val="18"/>
          <w:color w:val="3A4967"/>
        </w:rPr>
        <w:t>The Company has made and expects to continue to make, significant advertising and promotional expenditures to enhance its existing brands and promote new brands. These expenditures may adversely affect the Company’s results of operations in a particular quarter or even for the full year, and may not result in increased sales. Variations in the levels of advertising and promotional expenditures have in the past caused, and are expected in the future to continue to cause, variability in the Company’s quarterly results of operations. While the Company attempts to invest only in effective advertising and promotional activities, it is difficult to correlate such investments with sales results, and there is no guarantee that the Company’s expenditures will be effective in building brand equity or growing long term sales.</w:t>
      </w:r>
    </w:p>
    <w:p>
      <w:pPr>
        <w:spacing w:after="0" w:line="187" w:lineRule="exact"/>
        <w:rPr>
          <w:sz w:val="20"/>
          <w:szCs w:val="20"/>
          <w:color w:val="auto"/>
        </w:rPr>
      </w:pPr>
    </w:p>
    <w:p>
      <w:pPr>
        <w:ind w:right="520"/>
        <w:spacing w:after="0" w:line="220" w:lineRule="auto"/>
        <w:rPr>
          <w:sz w:val="20"/>
          <w:szCs w:val="20"/>
          <w:color w:val="auto"/>
        </w:rPr>
      </w:pPr>
      <w:r>
        <w:rPr>
          <w:rFonts w:ascii="Arial" w:cs="Arial" w:eastAsia="Arial" w:hAnsi="Arial"/>
          <w:sz w:val="22"/>
          <w:szCs w:val="22"/>
          <w:b w:val="1"/>
          <w:bCs w:val="1"/>
          <w:color w:val="6D7890"/>
        </w:rPr>
        <w:t>The Company is dependent on key packaging suppliers and an increase in packaging costs could harm the Company’s financial results.</w:t>
      </w:r>
    </w:p>
    <w:p>
      <w:pPr>
        <w:spacing w:after="0" w:line="99"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3A4967"/>
        </w:rPr>
        <w:t>In 2020 and 2021, as the Truly and the Twisted brand families grew significantly and overall demand for cans increased, the Company experienced supply constraints for cans. These supply constraints impacted the Company’s production schedules and increased can cost by having to use a more expensive supplier.</w:t>
      </w:r>
    </w:p>
    <w:p>
      <w:pPr>
        <w:spacing w:after="0" w:line="100" w:lineRule="exact"/>
        <w:rPr>
          <w:sz w:val="20"/>
          <w:szCs w:val="20"/>
          <w:color w:val="auto"/>
        </w:rPr>
      </w:pPr>
    </w:p>
    <w:p>
      <w:pPr>
        <w:jc w:val="both"/>
        <w:ind w:right="380"/>
        <w:spacing w:after="0" w:line="266" w:lineRule="auto"/>
        <w:rPr>
          <w:sz w:val="20"/>
          <w:szCs w:val="20"/>
          <w:color w:val="auto"/>
        </w:rPr>
      </w:pPr>
      <w:r>
        <w:rPr>
          <w:rFonts w:ascii="Arial" w:cs="Arial" w:eastAsia="Arial" w:hAnsi="Arial"/>
          <w:sz w:val="17"/>
          <w:szCs w:val="17"/>
          <w:color w:val="3A4967"/>
        </w:rPr>
        <w:t>The Company maintains competitive sources for the supply of packaging materials, such as cans, glass and cardboard. The Company enters into limited-term supply agreements with certain vendors in order to receive preferential pricing. In 2024, certain flavorings, crowns, and labels were each supplied by single sources. The loss of any of the Company’s packaging materials suppliers could, in the short-term, adversely affect the Company’s results of operations, cash flows and financial position until alternative supply arrangements were secured. Additionally, there has been acquisition, change in control and consolidation activity in several of the packaging supplier networks which could potentially lead to further disruption in supply and changes in economics. If packaging costs continue to increase, there is no guarantee that such costs can be fully passed along through increased prices. The company’s long-term supply agreements have varying lengths and terms and there is no guarantee that the economics of these contracts can be replicated when renewed. The Company’s inability to preserve the current economics on renewal could expose the Company to significant cost increases in future years. Some of these contracts require the Company to make commitments on minimum volume of purchases based on Company forecasts. If the Company’s needs decline significantly from its forecasts, the Company would likely incur storage costs for excess production or contractual penalties that might be significant and could have a material adverse impact on the Company’s financial results.</w:t>
      </w:r>
    </w:p>
    <w:p>
      <w:pPr>
        <w:spacing w:after="0" w:line="202" w:lineRule="exact"/>
        <w:rPr>
          <w:sz w:val="20"/>
          <w:szCs w:val="20"/>
          <w:color w:val="auto"/>
        </w:rPr>
      </w:pPr>
    </w:p>
    <w:p>
      <w:pPr>
        <w:sectPr>
          <w:pgSz w:w="11880" w:h="15481" w:orient="portrait"/>
          <w:cols w:equalWidth="0" w:num="2">
            <w:col w:w="4929" w:space="340"/>
            <w:col w:w="5300"/>
          </w:cols>
          <w:pgMar w:left="851" w:top="579" w:right="4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149"/>
        <w:spacing w:after="0"/>
        <w:tabs>
          <w:tab w:leader="none" w:pos="10369"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939925" cy="4763"/>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-97155</wp:posOffset>
            </wp:positionV>
            <wp:extent cx="1939925" cy="4763"/>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-539750</wp:posOffset>
            </wp:positionH>
            <wp:positionV relativeFrom="paragraph">
              <wp:posOffset>205740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205740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9"/>
          </w:cols>
          <w:pgMar w:left="851" w:top="579" w:right="461" w:bottom="0" w:gutter="0" w:footer="0" w:header="0"/>
          <w:type w:val="continuous"/>
        </w:sectPr>
      </w:pPr>
    </w:p>
    <w:bookmarkStart w:id="23" w:name="page24"/>
    <w:bookmarkEnd w:id="23"/>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1A </w:t>
      </w:r>
      <w:r>
        <w:rPr>
          <w:rFonts w:ascii="Arial" w:cs="Arial" w:eastAsia="Arial" w:hAnsi="Arial"/>
          <w:sz w:val="13"/>
          <w:szCs w:val="13"/>
          <w:color w:val="6D7890"/>
        </w:rPr>
        <w:t>Risk Factors</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 w:right="60"/>
        <w:spacing w:after="0" w:line="209" w:lineRule="auto"/>
        <w:rPr>
          <w:sz w:val="20"/>
          <w:szCs w:val="20"/>
          <w:color w:val="auto"/>
        </w:rPr>
      </w:pPr>
      <w:r>
        <w:rPr>
          <w:rFonts w:ascii="Arial" w:cs="Arial" w:eastAsia="Arial" w:hAnsi="Arial"/>
          <w:sz w:val="22"/>
          <w:szCs w:val="22"/>
          <w:b w:val="1"/>
          <w:bCs w:val="1"/>
          <w:color w:val="6D7890"/>
        </w:rPr>
        <w:t>The Company is dependent on key ingredient suppliers, including foreign sources; its dependence on foreign sources creates foreign currency and tariff exposure for the Company; the Company’s use</w:t>
      </w:r>
    </w:p>
    <w:p>
      <w:pPr>
        <w:spacing w:after="0" w:line="5" w:lineRule="exact"/>
        <w:rPr>
          <w:sz w:val="20"/>
          <w:szCs w:val="20"/>
          <w:color w:val="auto"/>
        </w:rPr>
      </w:pPr>
    </w:p>
    <w:p>
      <w:pPr>
        <w:ind w:left="400" w:right="500"/>
        <w:spacing w:after="0" w:line="223" w:lineRule="auto"/>
        <w:rPr>
          <w:sz w:val="20"/>
          <w:szCs w:val="20"/>
          <w:color w:val="auto"/>
        </w:rPr>
      </w:pPr>
      <w:r>
        <w:rPr>
          <w:rFonts w:ascii="Arial" w:cs="Arial" w:eastAsia="Arial" w:hAnsi="Arial"/>
          <w:sz w:val="22"/>
          <w:szCs w:val="22"/>
          <w:b w:val="1"/>
          <w:bCs w:val="1"/>
          <w:color w:val="6D7890"/>
        </w:rPr>
        <w:t>of natural ingredients creates weather and crop reliability and excess/shortage inventory exposure for the Company.</w:t>
      </w:r>
    </w:p>
    <w:p>
      <w:pPr>
        <w:spacing w:after="0" w:line="96" w:lineRule="exact"/>
        <w:rPr>
          <w:sz w:val="20"/>
          <w:szCs w:val="20"/>
          <w:color w:val="auto"/>
        </w:rPr>
      </w:pPr>
    </w:p>
    <w:p>
      <w:pPr>
        <w:jc w:val="both"/>
        <w:ind w:left="400"/>
        <w:spacing w:after="0" w:line="268" w:lineRule="auto"/>
        <w:rPr>
          <w:sz w:val="20"/>
          <w:szCs w:val="20"/>
          <w:color w:val="auto"/>
        </w:rPr>
      </w:pPr>
      <w:r>
        <w:rPr>
          <w:rFonts w:ascii="Arial" w:cs="Arial" w:eastAsia="Arial" w:hAnsi="Arial"/>
          <w:sz w:val="17"/>
          <w:szCs w:val="17"/>
          <w:color w:val="3A4967"/>
        </w:rPr>
        <w:t>The Company purchases a substantial portion of the ingredients used in its beverages, including its flavorings, fruit juice, malt, hops, apples, and other ingredients, from a limited number of domestic and foreign suppliers. There can be no assurance that the Company would be able to acquire such ingredients from substitute sources on a timely or cost -effective basis, if current suppliers could not adequately fulfill orders or if tariffs significantly increase costs. The loss or significant reduction in the capability or increase of costs of a supplier to support the Company’s requirements could, in the short-term, adversely affect the Company’s business and financial results, until alternative supply arrangements are secured.</w:t>
      </w:r>
    </w:p>
    <w:p>
      <w:pPr>
        <w:spacing w:after="0" w:line="86" w:lineRule="exact"/>
        <w:rPr>
          <w:sz w:val="20"/>
          <w:szCs w:val="20"/>
          <w:color w:val="auto"/>
        </w:rPr>
      </w:pPr>
    </w:p>
    <w:p>
      <w:pPr>
        <w:jc w:val="both"/>
        <w:ind w:left="400"/>
        <w:spacing w:after="0" w:line="273" w:lineRule="auto"/>
        <w:rPr>
          <w:sz w:val="20"/>
          <w:szCs w:val="20"/>
          <w:color w:val="auto"/>
        </w:rPr>
      </w:pPr>
      <w:r>
        <w:rPr>
          <w:rFonts w:ascii="Arial" w:cs="Arial" w:eastAsia="Arial" w:hAnsi="Arial"/>
          <w:sz w:val="17"/>
          <w:szCs w:val="17"/>
          <w:color w:val="3A4967"/>
        </w:rPr>
        <w:t>The Company’s beverages include many unique and proprietary flavors and combinations of flavors and some of these flavorings are single sourced. Twisted Tea and Truly Hard Seltzer brand beverages are particularly reliant on the use of flavorings and variety of flavors as part of their appeal to drinkers.</w:t>
      </w:r>
    </w:p>
    <w:p>
      <w:pPr>
        <w:spacing w:after="0" w:line="82"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3A4967"/>
        </w:rPr>
        <w:t>The Company purchased most of the malt used in the production of its beer from four suppliers during 2024. The Company is exposed to the quality of the barley crop each year, and significant failure of a crop would adversely affect the Company’s costs.</w:t>
      </w:r>
    </w:p>
    <w:p>
      <w:pPr>
        <w:spacing w:after="0" w:line="98" w:lineRule="exact"/>
        <w:rPr>
          <w:sz w:val="20"/>
          <w:szCs w:val="20"/>
          <w:color w:val="auto"/>
        </w:rPr>
      </w:pPr>
    </w:p>
    <w:p>
      <w:pPr>
        <w:jc w:val="both"/>
        <w:ind w:left="400"/>
        <w:spacing w:after="0" w:line="284" w:lineRule="auto"/>
        <w:rPr>
          <w:sz w:val="20"/>
          <w:szCs w:val="20"/>
          <w:color w:val="auto"/>
        </w:rPr>
      </w:pPr>
      <w:r>
        <w:rPr>
          <w:rFonts w:ascii="Arial" w:cs="Arial" w:eastAsia="Arial" w:hAnsi="Arial"/>
          <w:sz w:val="16"/>
          <w:szCs w:val="16"/>
          <w:color w:val="3A4967"/>
        </w:rPr>
        <w:t>The Company uses Noble hop varieties from Europe for many of its Samuel Adams beers and also uses hops grown in other areas of Europe, the United States, and New Zealand. Noble hops are grown in several specific areas in Germany and the Czech Republic that are recognized for growing hops with superior taste and aroma properties. The Company stores its hops in multiple cold storage warehouses to minimize the impact of a catastrophe at a single site. The performance and availability of the hops, as with any agricultural product, may be materially adversely affected by factors such as adverse weather or pests and there is no guarantee the contracts will be fulfilled completely. The Company has purchase commitments with seven primary hop dealers and attempts to maintain a one to two-year supply of essential hop varieties on-hand in order to limit the risk of an unexpected reduction in supply and procures hops needed for new beers, based on its best estimate of likely short-term demand. The failure of management’s assumptions regarding future sales growth, product mix and hops market conditions to prove accurate could result in future material losses.</w:t>
      </w:r>
    </w:p>
    <w:p>
      <w:pPr>
        <w:spacing w:after="0" w:line="298" w:lineRule="exact"/>
        <w:rPr>
          <w:sz w:val="20"/>
          <w:szCs w:val="20"/>
          <w:color w:val="auto"/>
        </w:rPr>
      </w:pPr>
    </w:p>
    <w:p>
      <w:pPr>
        <w:jc w:val="both"/>
        <w:ind w:left="400"/>
        <w:spacing w:after="0" w:line="270" w:lineRule="auto"/>
        <w:rPr>
          <w:sz w:val="20"/>
          <w:szCs w:val="20"/>
          <w:color w:val="auto"/>
        </w:rPr>
      </w:pPr>
      <w:r>
        <w:rPr>
          <w:rFonts w:ascii="Arial" w:cs="Arial" w:eastAsia="Arial" w:hAnsi="Arial"/>
          <w:sz w:val="17"/>
          <w:szCs w:val="17"/>
          <w:color w:val="3A4967"/>
        </w:rPr>
        <w:t>The Company uses special varieties of apples in its ciders that it believes are important for the ciders’ flavor profile. These apples are sourced primarily from European and United States suppliers and include bittersweet apples from France and culinary apples from Italy and Washington state. There is limited availability of these apples and many outside factors, including weather conditions, farmers rotating from apples to other crops,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217805</wp:posOffset>
            </wp:positionV>
            <wp:extent cx="2584450" cy="1917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3A4967"/>
        </w:rPr>
        <w:t>government regulations and legislation affecting agriculture, could affect both price and supply.</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A4967"/>
        </w:rPr>
        <w:t>The Company’s new product development can also be constrained by any limited availability of the desired ingredients. Growth rates higher than planned or the introduction of new products requiring special ingredients could create demand for ingredients greater than the Company can source.</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3A4967"/>
        </w:rPr>
        <w:t>The Company’s contracts for certain hops and apples are payable in Euros, Pounds Sterling and New Zealand dollars, and therefore, the Company is subject to the risk that the currencies may fluctuate adversely against the U.S. dollar. The Company has, as a practice, not hedged this exposure, although this practice is regularly reviewed. The cost of hops has increased in recent years due to the rising market price of hops and exchange rate changes. The continuation of these trends will impact the Company’s product cost and potentially the Company’s ability to meet the demand for its beers. The Company buys some other ingredients and capital equipment from foreign suppliers for which the Company also carries exposure to foreign exchange rate and tariff changes. Significant adverse fluctuations in foreign currency exchange rates and increased tariffs may have a material adverse effect on the Company’s business and financial results.</w:t>
      </w:r>
    </w:p>
    <w:p>
      <w:pPr>
        <w:spacing w:after="0" w:line="186" w:lineRule="exact"/>
        <w:rPr>
          <w:sz w:val="20"/>
          <w:szCs w:val="20"/>
          <w:color w:val="auto"/>
        </w:rPr>
      </w:pPr>
    </w:p>
    <w:p>
      <w:pPr>
        <w:ind w:right="40"/>
        <w:spacing w:after="0" w:line="216" w:lineRule="auto"/>
        <w:rPr>
          <w:sz w:val="20"/>
          <w:szCs w:val="20"/>
          <w:color w:val="auto"/>
        </w:rPr>
      </w:pPr>
      <w:r>
        <w:rPr>
          <w:rFonts w:ascii="Arial" w:cs="Arial" w:eastAsia="Arial" w:hAnsi="Arial"/>
          <w:sz w:val="22"/>
          <w:szCs w:val="22"/>
          <w:b w:val="1"/>
          <w:bCs w:val="1"/>
          <w:color w:val="6D7890"/>
        </w:rPr>
        <w:t>The Company’s reliance on production facilities owned by others and an inability to leverage investment in the Company-owned breweries could have a material adverse effect on the Company’s operations or financial results.</w:t>
      </w:r>
    </w:p>
    <w:p>
      <w:pPr>
        <w:spacing w:after="0" w:line="10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During 2024, the Company produced approximately 74% of its domestic volume at breweries owned by the Company and, as noted above, anticipates producing 80% of its domestic volume at breweries owned by the Company in 2025. While, on balance, the Company views greater reliance on its own breweries favorably, this reliance on its own breweries exposes the Company to capacity constraints and risk of disruption of supply, as these breweries are operating at or close to current capacity in peak months. As volumes at the Pennsylvania Brewery increase, severe interruptions there would be problematic, particularly during peak seasons . Potential interruptions at breweries include labor issues, governmental action, quality issues, contractual disputes, machinery failures, operational shutdowns, pandemic- related or other staffing shortages, or natural or unavoidable catastrophes. If interruptions were to occur, the Company could face significant delays in starting replacement brewing locations and its operating results could be materially adversely affected.</w:t>
      </w:r>
    </w:p>
    <w:p>
      <w:pPr>
        <w:spacing w:after="0" w:line="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3A4967"/>
        </w:rPr>
        <w:t>The Company continues to avail itself of capacity at third-party production facilities . Also as noted above, during 2024, approximately 26% of the Company’s annual domestic shipment volume was produced under production service agreements with City Brewing Company, LLC and its subsidiaries. In selecting third party production facilities for production services arrangements, the Company carefully weighs a facility’s sleek can packaging and automated variety packaging capability and capacity, its quality</w:t>
      </w:r>
    </w:p>
    <w:p>
      <w:pPr>
        <w:spacing w:after="0" w:line="324"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10"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14</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24" w:name="page25"/>
    <w:bookmarkEnd w:id="24"/>
    <w:p>
      <w:pPr>
        <w:ind w:left="972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control capabilities throughout the production process. To the extent that the Company needs to avail itself of a third-party production services arrangement, it exposes itself to higher than planned costs of operating under such contract arrangements than would apply at the Company-owned breweries, potential lower service levels and reliability than internal production, and potential unexpected declines in the production capacity available to it, any of which could have a material adverse effect on the Company’s business and financial results. The use of such third party facilities also creates higher logistical costs and uncertainty in the ability to deliver product to the Company’s customers efficiently and on time.</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3A4967"/>
        </w:rPr>
        <w:t>As the beer industry continues to consolidate and the Company has grown, the capacity and willingness of breweries owned by others where the Company could brew, ferment or package some of its products, if necessary, has become a more significant concern and, thus, there is no guarantee that the Company’s needs will be uniformly met. The Company continues to work at its Company -owned breweries and with its third-party production partners to attempt to minimize any potential disruptions. Nevertheless, should an interruption occur, the Company could experience temporary shortfalls in production and/or increased production and/or distribution costs and be required to make significant capital investments to secure alternative capacity for certain brands and packages, the combination of which could have a material adverse effect on the Company’s business and financial results. A production interruption caused by an acquisition or change of control or bankruptcy of City Brewing Company, LLC, or its subsidiaries, or a simultaneous interruption at several of the Company’s other production locations would likely cause significant disruption, increased costs and, potentially, lost sales.</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The Company’s emphasis on owning production facilities requires it to continue to make a significant level of capital expenditure to maintain and improve these facilities and to incur significant fixed operating costs to support them. In an uncertain volume environment, the Company faces the risk of not being able to support the owned brewery operating costs, if volumes were to decline. At the same time, despite making these expenditures and incurring these costs, if demand were to further increase above current volume estimates, the Company could still face the risk of not being able to meet the increased demand.</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The Company attempts to mitigate production and distribution risks through a combination of owned breweries and access to third-party contract production facilities, but there is no guarantee that this strategy will be successful, and it might result in short term costs and inefficiencies which could adversely impact our business and financial results.</w:t>
      </w:r>
    </w:p>
    <w:p>
      <w:pPr>
        <w:spacing w:after="0" w:line="180" w:lineRule="exact"/>
        <w:rPr>
          <w:sz w:val="20"/>
          <w:szCs w:val="20"/>
          <w:color w:val="auto"/>
        </w:rPr>
      </w:pPr>
    </w:p>
    <w:p>
      <w:pPr>
        <w:ind w:right="420"/>
        <w:spacing w:after="0" w:line="220" w:lineRule="auto"/>
        <w:rPr>
          <w:sz w:val="20"/>
          <w:szCs w:val="20"/>
          <w:color w:val="auto"/>
        </w:rPr>
      </w:pPr>
      <w:r>
        <w:rPr>
          <w:rFonts w:ascii="Arial" w:cs="Arial" w:eastAsia="Arial" w:hAnsi="Arial"/>
          <w:sz w:val="22"/>
          <w:szCs w:val="22"/>
          <w:b w:val="1"/>
          <w:bCs w:val="1"/>
          <w:color w:val="6D7890"/>
        </w:rPr>
        <w:t>Turnover in Company leadership or other key positions may lead to loss of key knowledge or capability and adversely impact Company performance.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A4967"/>
        </w:rPr>
        <w:t>The Company has an experienced leadership team with an established track record of business success and innovation in the beverage and consumer goods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312420</wp:posOffset>
            </wp:positionV>
            <wp:extent cx="2584450" cy="1917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620"/>
        <w:spacing w:after="0"/>
        <w:rPr>
          <w:sz w:val="20"/>
          <w:szCs w:val="20"/>
          <w:color w:val="auto"/>
        </w:rPr>
      </w:pPr>
      <w:r>
        <w:rPr>
          <w:rFonts w:ascii="Arial" w:cs="Arial" w:eastAsia="Arial" w:hAnsi="Arial"/>
          <w:sz w:val="14"/>
          <w:szCs w:val="14"/>
          <w:color w:val="3A4967"/>
        </w:rPr>
        <w:t xml:space="preserve">Item 1A </w:t>
      </w:r>
      <w:r>
        <w:rPr>
          <w:rFonts w:ascii="Arial" w:cs="Arial" w:eastAsia="Arial" w:hAnsi="Arial"/>
          <w:sz w:val="14"/>
          <w:szCs w:val="14"/>
          <w:color w:val="6D7890"/>
        </w:rPr>
        <w:t>Risk Factors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380"/>
        <w:spacing w:after="0" w:line="251" w:lineRule="auto"/>
        <w:rPr>
          <w:sz w:val="20"/>
          <w:szCs w:val="20"/>
          <w:color w:val="auto"/>
        </w:rPr>
      </w:pPr>
      <w:r>
        <w:rPr>
          <w:rFonts w:ascii="Arial" w:cs="Arial" w:eastAsia="Arial" w:hAnsi="Arial"/>
          <w:sz w:val="18"/>
          <w:szCs w:val="18"/>
          <w:color w:val="3A4967"/>
        </w:rPr>
        <w:t>The Company has and is likely to experience changes in key leadership or key positions regularly. The departure of key leadership personnel can take from the Company significant knowledge and experience . This loss of knowledge and experience can be mitigated through successful succession planning or external hiring and transition, but there can be no assurance that the Company will be successful in such efforts. Attracting, retaining, integrating and developing high performance individuals in key roles is a core component of the Company’s strategy for addressing its business opportunities. Attracting and retaining qualified senior leadership may be more challenging under adverse business conditions, such as the current declining growth environment the Company is facing. Failure to attract and retain the right talent, or to manage the transition of responsibilities resulting from such turnover smoothly, would affect the Company’s ability to meet its challenges and may cause the Company to miss performance objectives or financial targets.</w:t>
      </w:r>
    </w:p>
    <w:p>
      <w:pPr>
        <w:spacing w:after="0" w:line="185" w:lineRule="exact"/>
        <w:rPr>
          <w:sz w:val="20"/>
          <w:szCs w:val="20"/>
          <w:color w:val="auto"/>
        </w:rPr>
      </w:pPr>
    </w:p>
    <w:p>
      <w:pPr>
        <w:ind w:right="700"/>
        <w:spacing w:after="0" w:line="218" w:lineRule="auto"/>
        <w:rPr>
          <w:sz w:val="20"/>
          <w:szCs w:val="20"/>
          <w:color w:val="auto"/>
        </w:rPr>
      </w:pPr>
      <w:r>
        <w:rPr>
          <w:rFonts w:ascii="Arial" w:cs="Arial" w:eastAsia="Arial" w:hAnsi="Arial"/>
          <w:sz w:val="22"/>
          <w:szCs w:val="22"/>
          <w:b w:val="1"/>
          <w:bCs w:val="1"/>
          <w:color w:val="6D7890"/>
        </w:rPr>
        <w:t>The Company has significantly increased its product offerings and distribution footprint, which increases complexity and could adversely affect the Company’s performance and financial results.</w:t>
      </w:r>
    </w:p>
    <w:p>
      <w:pPr>
        <w:spacing w:after="0" w:line="98" w:lineRule="exact"/>
        <w:rPr>
          <w:sz w:val="20"/>
          <w:szCs w:val="20"/>
          <w:color w:val="auto"/>
        </w:rPr>
      </w:pPr>
    </w:p>
    <w:p>
      <w:pPr>
        <w:jc w:val="both"/>
        <w:ind w:right="380"/>
        <w:spacing w:after="0" w:line="267" w:lineRule="auto"/>
        <w:rPr>
          <w:sz w:val="20"/>
          <w:szCs w:val="20"/>
          <w:color w:val="auto"/>
        </w:rPr>
      </w:pPr>
      <w:r>
        <w:rPr>
          <w:rFonts w:ascii="Arial" w:cs="Arial" w:eastAsia="Arial" w:hAnsi="Arial"/>
          <w:sz w:val="17"/>
          <w:szCs w:val="17"/>
          <w:color w:val="3A4967"/>
        </w:rPr>
        <w:t>The Company has significantly increased the number of commercially available flavored malt beverages, hard seltzers, beers, hard ciders, and spirits RTDs that it produces. In the last five years, the Company has developed, introduced and reformulated many new and existing beverage styles under the Twisted Tea, Truly Hard Seltzer, Samuel Adams, Dogfish Head, Angry Orchard, Sun Cruiser and Hard Mountain Dew brands. The Company currently operates 9 retail locations where its beverages are sold and consumed on-premise, including six brewery tap rooms, an apple orchard and innovation cidery, a restaurant and a boutique inn. The Company’s most significant innovations in 2024 was the introduction of its Sun Cruiser brand, a new vodka based RTD, as well as the launch of its Truly Unruly Mix Pack and Twisted Tea Extreme. In the first quarter of 2025, the Company is planning to launch Truly Unruly Lemonade Mix Pack, Sun Cruiser vodka based hard lemonade and Dogfish Head Grateful Dead Juicy Pale Ale. During the rest of 2025, the Company has plans to add new beverage styles and may reformulate existing styles of beverages.</w:t>
      </w:r>
    </w:p>
    <w:p>
      <w:pPr>
        <w:spacing w:after="0" w:line="86" w:lineRule="exact"/>
        <w:rPr>
          <w:sz w:val="20"/>
          <w:szCs w:val="20"/>
          <w:color w:val="auto"/>
        </w:rPr>
      </w:pPr>
    </w:p>
    <w:p>
      <w:pPr>
        <w:jc w:val="both"/>
        <w:ind w:right="380"/>
        <w:spacing w:after="0" w:line="287" w:lineRule="auto"/>
        <w:rPr>
          <w:sz w:val="20"/>
          <w:szCs w:val="20"/>
          <w:color w:val="auto"/>
        </w:rPr>
      </w:pPr>
      <w:r>
        <w:rPr>
          <w:rFonts w:ascii="Arial" w:cs="Arial" w:eastAsia="Arial" w:hAnsi="Arial"/>
          <w:sz w:val="16"/>
          <w:szCs w:val="16"/>
          <w:color w:val="3A4967"/>
        </w:rPr>
        <w:t>These additional brands, styles, reformulations and locations, along with the increases in demand for certain existing brands, have added to the complexity of the Company’s product development process, as well as its brewing, fermenting, distilling, packaging, marketing and selling processes, and retail operations. There can be no assurance that the Company will effectively manage such increased complexity, without experiencing coordination issues, operating inefficiencies, supply shortages or control deficiencies. Such inefficiencies or deficiencies could have a material adverse effect on the Company’s business and financial results.</w:t>
      </w:r>
    </w:p>
    <w:p>
      <w:pPr>
        <w:spacing w:after="0" w:line="1052"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362"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25" w:name="page26"/>
    <w:bookmarkEnd w:id="25"/>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1A </w:t>
      </w:r>
      <w:r>
        <w:rPr>
          <w:rFonts w:ascii="Arial" w:cs="Arial" w:eastAsia="Arial" w:hAnsi="Arial"/>
          <w:sz w:val="13"/>
          <w:szCs w:val="13"/>
          <w:color w:val="6D7890"/>
        </w:rPr>
        <w:t>Risk Factors</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 w:right="140"/>
        <w:spacing w:after="0" w:line="216" w:lineRule="auto"/>
        <w:rPr>
          <w:sz w:val="20"/>
          <w:szCs w:val="20"/>
          <w:color w:val="auto"/>
        </w:rPr>
      </w:pPr>
      <w:r>
        <w:rPr>
          <w:rFonts w:ascii="Arial" w:cs="Arial" w:eastAsia="Arial" w:hAnsi="Arial"/>
          <w:sz w:val="22"/>
          <w:szCs w:val="22"/>
          <w:b w:val="1"/>
          <w:bCs w:val="1"/>
          <w:color w:val="6D7890"/>
        </w:rPr>
        <w:t>Changes in drinker attitudes on brand equity and reliance on the Company’s founders in the Samuel Adams and Dogfish Head brand communications may adversely affect demand for the Company’s production and results of operations.</w:t>
      </w:r>
    </w:p>
    <w:p>
      <w:pPr>
        <w:spacing w:after="0" w:line="101" w:lineRule="exact"/>
        <w:rPr>
          <w:sz w:val="20"/>
          <w:szCs w:val="20"/>
          <w:color w:val="auto"/>
        </w:rPr>
      </w:pPr>
    </w:p>
    <w:p>
      <w:pPr>
        <w:jc w:val="both"/>
        <w:ind w:left="400"/>
        <w:spacing w:after="0" w:line="266" w:lineRule="auto"/>
        <w:rPr>
          <w:sz w:val="20"/>
          <w:szCs w:val="20"/>
          <w:color w:val="auto"/>
        </w:rPr>
      </w:pPr>
      <w:r>
        <w:rPr>
          <w:rFonts w:ascii="Arial" w:cs="Arial" w:eastAsia="Arial" w:hAnsi="Arial"/>
          <w:sz w:val="17"/>
          <w:szCs w:val="17"/>
          <w:color w:val="3A4967"/>
        </w:rPr>
        <w:t>The success of the Company’s brands depends upon the positive image that drinkers have of those brands and maintaining a good reputation is critical to selling our branded products. Our reputation could be impacted negatively by public perception, adverse publicity, negative comments in social media, or our responses to negative publicity or comments, either by members of the Company or those who may be affiliated with it. There is also no guarantee that the brand equities that the Company has built in its brands will continue to appeal to drinkers. Changes in drinker attitudes or demands, or competitor activity and promotion, could adversely affect the strength of the Company’s brands and the revenue that is generated from that strength. It is possible that the Company could react to such changes and reposition its brands, but there is no certainty that the Company would be able to maintain volumes, pricing power and profitability. It is also possible that marketing messages or other actions taken by the Company could damage its brand equities, as opposed to building them. If such damage were to occur, it would likely have a negative effect on the financial condition of the Company.</w:t>
      </w:r>
    </w:p>
    <w:p>
      <w:pPr>
        <w:spacing w:after="0" w:line="100" w:lineRule="exact"/>
        <w:rPr>
          <w:sz w:val="20"/>
          <w:szCs w:val="20"/>
          <w:color w:val="auto"/>
        </w:rPr>
      </w:pPr>
    </w:p>
    <w:p>
      <w:pPr>
        <w:jc w:val="both"/>
        <w:ind w:left="400"/>
        <w:spacing w:after="0" w:line="266" w:lineRule="auto"/>
        <w:rPr>
          <w:sz w:val="20"/>
          <w:szCs w:val="20"/>
          <w:color w:val="auto"/>
        </w:rPr>
      </w:pPr>
      <w:r>
        <w:rPr>
          <w:rFonts w:ascii="Arial" w:cs="Arial" w:eastAsia="Arial" w:hAnsi="Arial"/>
          <w:sz w:val="17"/>
          <w:szCs w:val="17"/>
          <w:color w:val="3A4967"/>
        </w:rPr>
        <w:t>In addition to these inherent brand risks, C. James Koch, the founder and Chairman of the Company, as well as the founders of Dogfish Head brand, Samuel Calagione, Founder and Brewer, Dogfish Head Brewery and Mariah Calagione, Founder and Communitarian, Dogfish Head Brewery, are an integral part of the Company’s history, brand equity and current and potential future brand messaging and the Company relies on the positive public perception of these founders. Mariah Calagione has recently announced her retirement from the Company effective during 2025. The role of these founders as founders, brewers, leaders or former leaders of the Company is emphasized as part of the Company’s brand communication and has appeal to some drinkers. If these founders were not available to the Company, this could negatively affect the strength of the Company’s messaging and, accordingly, the Company’s growth prospects. The Company and its brands may also be impacted if drinkers’ perceptions of these founders, including their social or political views, were to change negatively. If any negative changes were to occur, the Company might need to adapt its strategy for communicating its key messages regarding its history, equity, and current and potential future brand messaging. Any such change in the Company’s messaging strategy might have a detrimental impact on the future growth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1407160</wp:posOffset>
            </wp:positionV>
            <wp:extent cx="2584450" cy="1917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80"/>
        <w:spacing w:after="0" w:line="220" w:lineRule="auto"/>
        <w:rPr>
          <w:sz w:val="20"/>
          <w:szCs w:val="20"/>
          <w:color w:val="auto"/>
        </w:rPr>
      </w:pPr>
      <w:r>
        <w:rPr>
          <w:rFonts w:ascii="Arial" w:cs="Arial" w:eastAsia="Arial" w:hAnsi="Arial"/>
          <w:sz w:val="22"/>
          <w:szCs w:val="22"/>
          <w:b w:val="1"/>
          <w:bCs w:val="1"/>
          <w:color w:val="6D7890"/>
        </w:rPr>
        <w:t>The Company’s operations are subject to certain operating hazards that could result in unexpected costs or product recalls that could harm the Company’s business.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The Company’s operations are subject to certain hazards and liability risks faced by all beverage companies, such as potential contamination of ingredients or products by bacteria or other external agents that may be wrongfully or accidentally introduced into products or packaging, or defective packaging and handling. Such occurrences may create bad tasting beverages, or pose health risk to the consumer or risk to the integrity and safety of the packaging. These could result in unexpected costs to the Company and, in the case of a costly product recall, potentially serious damage to the Company’s reputation for product quality, as well as product liability claims.</w:t>
      </w:r>
    </w:p>
    <w:p>
      <w:pPr>
        <w:spacing w:after="0" w:line="168" w:lineRule="exact"/>
        <w:rPr>
          <w:sz w:val="20"/>
          <w:szCs w:val="20"/>
          <w:color w:val="auto"/>
        </w:rPr>
      </w:pPr>
    </w:p>
    <w:p>
      <w:pPr>
        <w:ind w:right="240"/>
        <w:spacing w:after="0" w:line="218" w:lineRule="auto"/>
        <w:rPr>
          <w:sz w:val="20"/>
          <w:szCs w:val="20"/>
          <w:color w:val="auto"/>
        </w:rPr>
      </w:pPr>
      <w:r>
        <w:rPr>
          <w:rFonts w:ascii="Arial" w:cs="Arial" w:eastAsia="Arial" w:hAnsi="Arial"/>
          <w:sz w:val="22"/>
          <w:szCs w:val="22"/>
          <w:b w:val="1"/>
          <w:bCs w:val="1"/>
          <w:color w:val="6D7890"/>
        </w:rPr>
        <w:t>The Company relies upon complex information systems and vulnerabilities or disruptions of these systems could expose us to liability and harm our business and operations.</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3A4967"/>
        </w:rPr>
        <w:t>The Company depends on information technology to be able to operate efficiently and interface with customers and suppliers, as well as maintain financial and accounting reporting accuracy to ensure compliance with all applicable laws. If the Company does not allocate and effectively manage the resources necessary to build and sustain the proper technology infrastructure, the Company could be subject to transaction errors, processing inefficiencies, the loss of customers, business disruptions, or the loss of or damage to intellectual property and proprietary information through security breaches. The Company recognizes that many groups on a world-wide basis have experienced increases in security breaches, cyber-attacks, and other hacking activities such as denial of service, malware and ransomware. As with all large information technology systems, the Company’s systems could be penetrated by outside threat actors intent on extracting confidential or proprietary information, corrupting information, disrupting business processes, or engaging in the unauthorized use of strategic information. Such unauthorized access could disrupt business operations and could result in the loss of assets or revenues, remediation costs or damage to the Company’s reputation, as well as litigation against the Company by third parties adversely affected by the unauthorized access. Such events could have a material adverse effect on the Company’s business and financial results. The Company also relies on third parties for supply of software, software and data hosting and telecommunications and networking, and is reliant on those third parties for the quality and integrity of these complex services. Failure by a third-party supplier could have material adverse effects on the Company’s ability to operate.</w:t>
      </w:r>
    </w:p>
    <w:p>
      <w:pPr>
        <w:spacing w:after="0" w:line="200"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16</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26" w:name="page27"/>
    <w:bookmarkEnd w:id="26"/>
    <w:p>
      <w:pPr>
        <w:ind w:left="972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spacing w:after="0" w:line="220" w:lineRule="auto"/>
        <w:rPr>
          <w:sz w:val="20"/>
          <w:szCs w:val="20"/>
          <w:color w:val="auto"/>
        </w:rPr>
      </w:pPr>
      <w:r>
        <w:rPr>
          <w:rFonts w:ascii="Arial" w:cs="Arial" w:eastAsia="Arial" w:hAnsi="Arial"/>
          <w:sz w:val="22"/>
          <w:szCs w:val="22"/>
          <w:b w:val="1"/>
          <w:bCs w:val="1"/>
          <w:color w:val="6D7890"/>
        </w:rPr>
        <w:t>We use AI in our business, and challenges with properly managing its use could result in harm to our brands, reputation, business or customers.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The Company has started to implement the use of AI solutions, including machine learning and generative AI tools that collect, aggregate, and analyze data to assist in the development of the Company’s products and in the use of internal tools that support the Company’s business. These applications may become increasingly important in operations over time. This emerging technology presents a number of risks inherent in its use. AI algorithms trained with noisy data may create accuracy issues, unintended biases, and discriminatory outcomes that could harm the Company’s brands, reputation, business, or customers. Additionally, no assurance can be made that the usage of AI will assist the Company in being more efficient.</w:t>
      </w:r>
    </w:p>
    <w:p>
      <w:pPr>
        <w:spacing w:after="0" w:line="8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3A4967"/>
        </w:rPr>
        <w:t>Further, dependence on AI without adequate safeguards to make certain business decisions may introduce additional operational vulnerabilities by producing inaccurate outcomes, recommendations, or other suggestions based on flaws in the underlying data or other unintended results. The Company’s competitors or other third parties may incorporate AI into their business, services, and products more rapidly or more successfully than the Company, which could hinder the Company’s ability to compete effectively and adversely affect the Company’s results of operations. Implementing the use of AI successfully, ethically and as intended, will require significant resources. In addition, the use of AI may increase cybersecurity and data privacy risks, such as intended, unintended, or inadvertent transmission of proprietary or sensitive information. The technologies underlying AI and their use cases are rapidly developing, and it is not possible to predict all of the legal, operational or technological risks related to the use of AI. While new AI initiatives, laws, and regulations are emerging and evolving, uncertainty will remain, and the Company’s obligation to comply with the evolving regulatory landscape could entail significant costs, negatively affect the Company’s business, or limit the Company’s ability to incorporate certain AI capabilities into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3044825</wp:posOffset>
            </wp:positionV>
            <wp:extent cx="2584450" cy="1917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629"/>
        <w:spacing w:after="0"/>
        <w:rPr>
          <w:sz w:val="20"/>
          <w:szCs w:val="20"/>
          <w:color w:val="auto"/>
        </w:rPr>
      </w:pPr>
      <w:r>
        <w:rPr>
          <w:rFonts w:ascii="Arial" w:cs="Arial" w:eastAsia="Arial" w:hAnsi="Arial"/>
          <w:sz w:val="14"/>
          <w:szCs w:val="14"/>
          <w:color w:val="3A4967"/>
        </w:rPr>
        <w:t xml:space="preserve">Item 1A </w:t>
      </w:r>
      <w:r>
        <w:rPr>
          <w:rFonts w:ascii="Arial" w:cs="Arial" w:eastAsia="Arial" w:hAnsi="Arial"/>
          <w:sz w:val="14"/>
          <w:szCs w:val="14"/>
          <w:color w:val="6D7890"/>
        </w:rPr>
        <w:t>Risk Factors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 w:right="520"/>
        <w:spacing w:after="0" w:line="233" w:lineRule="auto"/>
        <w:rPr>
          <w:sz w:val="20"/>
          <w:szCs w:val="20"/>
          <w:color w:val="auto"/>
        </w:rPr>
      </w:pPr>
      <w:r>
        <w:rPr>
          <w:rFonts w:ascii="Arial" w:cs="Arial" w:eastAsia="Arial" w:hAnsi="Arial"/>
          <w:sz w:val="22"/>
          <w:szCs w:val="22"/>
          <w:b w:val="1"/>
          <w:bCs w:val="1"/>
          <w:color w:val="6D7890"/>
        </w:rPr>
        <w:t>An increase in energy costs could harm the Company’s financial results.</w:t>
      </w:r>
    </w:p>
    <w:p>
      <w:pPr>
        <w:spacing w:after="0" w:line="96" w:lineRule="exact"/>
        <w:rPr>
          <w:sz w:val="20"/>
          <w:szCs w:val="20"/>
          <w:color w:val="auto"/>
        </w:rPr>
      </w:pPr>
    </w:p>
    <w:p>
      <w:pPr>
        <w:jc w:val="both"/>
        <w:ind w:left="9" w:right="380"/>
        <w:spacing w:after="0" w:line="269" w:lineRule="auto"/>
        <w:rPr>
          <w:sz w:val="20"/>
          <w:szCs w:val="20"/>
          <w:color w:val="auto"/>
        </w:rPr>
      </w:pPr>
      <w:r>
        <w:rPr>
          <w:rFonts w:ascii="Arial" w:cs="Arial" w:eastAsia="Arial" w:hAnsi="Arial"/>
          <w:sz w:val="17"/>
          <w:szCs w:val="17"/>
          <w:color w:val="3A4967"/>
        </w:rPr>
        <w:t>In the last five years, the Company has experienced significant variation in direct and indirect energy costs, and energy costs could change unpredictably. Increased energy costs would result in higher transportation, freight and other operating costs, including increases in the cost of ingredients and supplies. The Company’s future operating expenses and margins could be dependent on its ability to manage the impact of such cost increases. If energy costs increase, there is no guarantee that such costs can be fully passed along through increased prices.</w:t>
      </w:r>
    </w:p>
    <w:p>
      <w:pPr>
        <w:spacing w:after="0" w:line="166" w:lineRule="exact"/>
        <w:rPr>
          <w:sz w:val="20"/>
          <w:szCs w:val="20"/>
          <w:color w:val="auto"/>
        </w:rPr>
      </w:pPr>
    </w:p>
    <w:p>
      <w:pPr>
        <w:ind w:left="9" w:right="940"/>
        <w:spacing w:after="0" w:line="233" w:lineRule="auto"/>
        <w:rPr>
          <w:sz w:val="20"/>
          <w:szCs w:val="20"/>
          <w:color w:val="auto"/>
        </w:rPr>
      </w:pPr>
      <w:r>
        <w:rPr>
          <w:rFonts w:ascii="Arial" w:cs="Arial" w:eastAsia="Arial" w:hAnsi="Arial"/>
          <w:sz w:val="22"/>
          <w:szCs w:val="22"/>
          <w:b w:val="1"/>
          <w:bCs w:val="1"/>
          <w:color w:val="6D7890"/>
        </w:rPr>
        <w:t>The Class B shareholder has significant control over the Company.</w:t>
      </w:r>
    </w:p>
    <w:p>
      <w:pPr>
        <w:spacing w:after="0" w:line="96" w:lineRule="exact"/>
        <w:rPr>
          <w:sz w:val="20"/>
          <w:szCs w:val="20"/>
          <w:color w:val="auto"/>
        </w:rPr>
      </w:pPr>
    </w:p>
    <w:p>
      <w:pPr>
        <w:jc w:val="both"/>
        <w:ind w:left="9" w:right="380"/>
        <w:spacing w:after="0" w:line="266" w:lineRule="auto"/>
        <w:rPr>
          <w:sz w:val="20"/>
          <w:szCs w:val="20"/>
          <w:color w:val="auto"/>
        </w:rPr>
      </w:pPr>
      <w:r>
        <w:rPr>
          <w:rFonts w:ascii="Arial" w:cs="Arial" w:eastAsia="Arial" w:hAnsi="Arial"/>
          <w:sz w:val="17"/>
          <w:szCs w:val="17"/>
          <w:color w:val="3A4967"/>
        </w:rPr>
        <w:t>The Company’s Class A Common Stock is not entitled to any voting rights except for the right as a class to (1) approve certain mergers, charter amendments and by-law amendments and</w:t>
      </w:r>
    </w:p>
    <w:p>
      <w:pPr>
        <w:spacing w:after="0" w:line="2" w:lineRule="exact"/>
        <w:rPr>
          <w:sz w:val="20"/>
          <w:szCs w:val="20"/>
          <w:color w:val="auto"/>
        </w:rPr>
      </w:pPr>
    </w:p>
    <w:p>
      <w:pPr>
        <w:jc w:val="both"/>
        <w:ind w:left="9" w:right="380" w:hanging="9"/>
        <w:spacing w:after="0" w:line="266" w:lineRule="auto"/>
        <w:tabs>
          <w:tab w:leader="none" w:pos="264" w:val="left"/>
        </w:tabs>
        <w:numPr>
          <w:ilvl w:val="0"/>
          <w:numId w:val="9"/>
        </w:numPr>
        <w:rPr>
          <w:rFonts w:ascii="Arial" w:cs="Arial" w:eastAsia="Arial" w:hAnsi="Arial"/>
          <w:sz w:val="17"/>
          <w:szCs w:val="17"/>
          <w:color w:val="3A4967"/>
        </w:rPr>
      </w:pPr>
      <w:r>
        <w:rPr>
          <w:rFonts w:ascii="Arial" w:cs="Arial" w:eastAsia="Arial" w:hAnsi="Arial"/>
          <w:sz w:val="17"/>
          <w:szCs w:val="17"/>
          <w:color w:val="3A4967"/>
        </w:rPr>
        <w:t>elect a minority of the directors of the Company. Although not as a matter of right, the Class A stockholders have also been afforded the opportunity to vote on an advisory basis on executive compensation. Consequently, the election of a majority of the Company’s directors and all other matters requiring stockholder approval are currently decided by C. James Koch, who is the founder and Chairman of the Company, as the holder of 100% of the voting rights to the outstanding shares of the Company’s Class B Common Stock. As a result, Mr. Koch is able to exercise substantial influence over all matters requiring stockholder approval, including the composition of the board of directors, approval of equity-based and other executive compensation and other significant corporate and governance matters, such as approval of the Company’s independent registered public accounting firm. This could have the effect of delaying or preventing a change in control of the Company and makes most material transactions difficult or impossible to accomplish without the support of Mr. Koch. While Mr. Koch is currently the 100% holder of the Company’s Class B Common Stock, there is nothing that prevents Mr. Koch or his heirs from transferring some or all shares of the Class B Common Stock to others.</w:t>
      </w:r>
    </w:p>
    <w:p>
      <w:pPr>
        <w:spacing w:after="0" w:line="200" w:lineRule="exact"/>
        <w:rPr>
          <w:sz w:val="20"/>
          <w:szCs w:val="20"/>
          <w:color w:val="auto"/>
        </w:rPr>
      </w:pPr>
    </w:p>
    <w:p>
      <w:pPr>
        <w:sectPr>
          <w:pgSz w:w="11880" w:h="15481" w:orient="portrait"/>
          <w:cols w:equalWidth="0" w:num="2">
            <w:col w:w="4920" w:space="331"/>
            <w:col w:w="5309"/>
          </w:cols>
          <w:pgMar w:left="860" w:top="579" w:right="4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27" w:name="page28"/>
    <w:bookmarkEnd w:id="27"/>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1A </w:t>
      </w:r>
      <w:r>
        <w:rPr>
          <w:rFonts w:ascii="Arial" w:cs="Arial" w:eastAsia="Arial" w:hAnsi="Arial"/>
          <w:sz w:val="13"/>
          <w:szCs w:val="13"/>
          <w:color w:val="6D7890"/>
        </w:rPr>
        <w:t>Risk Factors</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Risks Related to Law and Regulations</w:t>
      </w:r>
    </w:p>
    <w:p>
      <w:pPr>
        <w:spacing w:after="0" w:line="244" w:lineRule="exact"/>
        <w:rPr>
          <w:sz w:val="20"/>
          <w:szCs w:val="20"/>
          <w:color w:val="auto"/>
        </w:rPr>
      </w:pPr>
    </w:p>
    <w:p>
      <w:pPr>
        <w:ind w:left="400" w:right="320"/>
        <w:spacing w:after="0" w:line="216" w:lineRule="auto"/>
        <w:rPr>
          <w:sz w:val="20"/>
          <w:szCs w:val="20"/>
          <w:color w:val="auto"/>
        </w:rPr>
      </w:pPr>
      <w:r>
        <w:rPr>
          <w:rFonts w:ascii="Arial" w:cs="Arial" w:eastAsia="Arial" w:hAnsi="Arial"/>
          <w:sz w:val="22"/>
          <w:szCs w:val="22"/>
          <w:b w:val="1"/>
          <w:bCs w:val="1"/>
          <w:color w:val="6D7890"/>
        </w:rPr>
        <w:t>Changes in tax, environmental and other regulations, government shutdowns or failure to comply with existing licensing, trade or other regulations could have a material adverse effect on the Company’s financial condition.</w:t>
      </w:r>
    </w:p>
    <w:p>
      <w:pPr>
        <w:spacing w:after="0" w:line="95" w:lineRule="exact"/>
        <w:rPr>
          <w:sz w:val="20"/>
          <w:szCs w:val="20"/>
          <w:color w:val="auto"/>
        </w:rPr>
      </w:pPr>
    </w:p>
    <w:p>
      <w:pPr>
        <w:jc w:val="both"/>
        <w:ind w:left="400"/>
        <w:spacing w:after="0" w:line="260" w:lineRule="auto"/>
        <w:rPr>
          <w:sz w:val="20"/>
          <w:szCs w:val="20"/>
          <w:color w:val="auto"/>
        </w:rPr>
      </w:pPr>
      <w:r>
        <w:rPr>
          <w:rFonts w:ascii="Arial" w:cs="Arial" w:eastAsia="Arial" w:hAnsi="Arial"/>
          <w:sz w:val="17"/>
          <w:szCs w:val="17"/>
          <w:color w:val="3A4967"/>
        </w:rPr>
        <w:t>The Company’s business is highly regulated by federal, state and local laws and regulations regarding such matters as licensing requirements, trade and pricing practices, labeling, advertising, promotion and marketing practices, relationships with Distributors, environmental impact of operations and other matters. These laws and regulations are subject to frequent reevaluation, varying interpretations and political debate, and inquiries from governmental regulators charged with their enforcement. In addition, any delays in federal or state government required approvals caused by federal or state government shutdowns, could prevent new brands or innovations from getting to market on time or at all. Failure to comply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3A4967"/>
        </w:rPr>
        <w:t>existing laws and regulations to which the Company’s operations are subject or any revisions to such laws and regulations or the failure to pay taxes or other fees imposed on the Company’s operations and results could result in the loss, revocation or suspension of the Company’s licenses, permits or approvals, and could have a material adverse effect on the Company’s business, financial condition and results of operations. Changes in federal and other tax rates could have a significant effect on the Company’s financial results.</w:t>
      </w:r>
    </w:p>
    <w:p>
      <w:pPr>
        <w:spacing w:after="0" w:line="176" w:lineRule="exact"/>
        <w:rPr>
          <w:sz w:val="20"/>
          <w:szCs w:val="20"/>
          <w:color w:val="auto"/>
        </w:rPr>
      </w:pPr>
    </w:p>
    <w:p>
      <w:pPr>
        <w:ind w:right="300"/>
        <w:spacing w:after="0" w:line="224" w:lineRule="auto"/>
        <w:rPr>
          <w:sz w:val="20"/>
          <w:szCs w:val="20"/>
          <w:color w:val="auto"/>
        </w:rPr>
      </w:pPr>
      <w:r>
        <w:rPr>
          <w:rFonts w:ascii="Arial" w:cs="Arial" w:eastAsia="Arial" w:hAnsi="Arial"/>
          <w:sz w:val="22"/>
          <w:szCs w:val="22"/>
          <w:b w:val="1"/>
          <w:bCs w:val="1"/>
          <w:color w:val="6D7890"/>
        </w:rPr>
        <w:t>There is no guarantee that the Company will not face litigation that could harm the Company’s business.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A4967"/>
        </w:rPr>
        <w:t>The Company has from time to time in the past been involved in material litigation. Claims, whether or not meritorious, could be asserted against the Company that might adversely impact the Company’s results.</w:t>
      </w:r>
    </w:p>
    <w:p>
      <w:pPr>
        <w:spacing w:after="0" w:line="395"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77"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Risks Related to General Economic Conditions</w:t>
      </w:r>
    </w:p>
    <w:p>
      <w:pPr>
        <w:sectPr>
          <w:pgSz w:w="11880" w:h="15481" w:orient="portrait"/>
          <w:cols w:equalWidth="0" w:num="1">
            <w:col w:w="10580"/>
          </w:cols>
          <w:pgMar w:left="460" w:top="579" w:right="841" w:bottom="0" w:gutter="0" w:footer="0" w:header="0"/>
          <w:type w:val="continuous"/>
        </w:sectPr>
      </w:pPr>
    </w:p>
    <w:p>
      <w:pPr>
        <w:spacing w:after="0" w:line="244" w:lineRule="exact"/>
        <w:rPr>
          <w:sz w:val="20"/>
          <w:szCs w:val="20"/>
          <w:color w:val="auto"/>
        </w:rPr>
      </w:pPr>
    </w:p>
    <w:p>
      <w:pPr>
        <w:ind w:left="400"/>
        <w:spacing w:after="0" w:line="220" w:lineRule="auto"/>
        <w:rPr>
          <w:sz w:val="20"/>
          <w:szCs w:val="20"/>
          <w:color w:val="auto"/>
        </w:rPr>
      </w:pPr>
      <w:r>
        <w:rPr>
          <w:rFonts w:ascii="Arial" w:cs="Arial" w:eastAsia="Arial" w:hAnsi="Arial"/>
          <w:sz w:val="22"/>
          <w:szCs w:val="22"/>
          <w:b w:val="1"/>
          <w:bCs w:val="1"/>
          <w:color w:val="6D7890"/>
        </w:rPr>
        <w:t>The Company’s operating results and cash flow may be adversely affected by unfavorable economic, financial and societal market conditions.</w:t>
      </w:r>
    </w:p>
    <w:p>
      <w:pPr>
        <w:spacing w:after="0" w:line="93" w:lineRule="exact"/>
        <w:rPr>
          <w:sz w:val="20"/>
          <w:szCs w:val="20"/>
          <w:color w:val="auto"/>
        </w:rPr>
      </w:pPr>
    </w:p>
    <w:p>
      <w:pPr>
        <w:jc w:val="both"/>
        <w:ind w:left="400"/>
        <w:spacing w:after="0" w:line="274" w:lineRule="auto"/>
        <w:rPr>
          <w:sz w:val="20"/>
          <w:szCs w:val="20"/>
          <w:color w:val="auto"/>
        </w:rPr>
      </w:pPr>
      <w:r>
        <w:rPr>
          <w:rFonts w:ascii="Arial" w:cs="Arial" w:eastAsia="Arial" w:hAnsi="Arial"/>
          <w:sz w:val="16"/>
          <w:szCs w:val="16"/>
          <w:color w:val="3A4967"/>
        </w:rPr>
        <w:t>Volatility, uncertainty, and inflation in the financial markets and economic conditions generally may directly or indirectly affect the Company’s performance and operating results in a variety of ways, including: (a) prices for energy, labor, packaging, ingredients, and agricultural products may rise faster than current estimates, including increases resulting from currency fluctuations;</w:t>
      </w:r>
    </w:p>
    <w:p>
      <w:pPr>
        <w:spacing w:after="0" w:line="4" w:lineRule="exact"/>
        <w:rPr>
          <w:sz w:val="20"/>
          <w:szCs w:val="20"/>
          <w:color w:val="auto"/>
        </w:rPr>
      </w:pPr>
    </w:p>
    <w:p>
      <w:pPr>
        <w:jc w:val="both"/>
        <w:ind w:left="400" w:hanging="9"/>
        <w:spacing w:after="0" w:line="256" w:lineRule="auto"/>
        <w:tabs>
          <w:tab w:leader="none" w:pos="654" w:val="left"/>
        </w:tabs>
        <w:numPr>
          <w:ilvl w:val="0"/>
          <w:numId w:val="10"/>
        </w:numPr>
        <w:rPr>
          <w:rFonts w:ascii="Arial" w:cs="Arial" w:eastAsia="Arial" w:hAnsi="Arial"/>
          <w:sz w:val="18"/>
          <w:szCs w:val="18"/>
          <w:color w:val="3A4967"/>
        </w:rPr>
      </w:pPr>
      <w:r>
        <w:rPr>
          <w:rFonts w:ascii="Arial" w:cs="Arial" w:eastAsia="Arial" w:hAnsi="Arial"/>
          <w:sz w:val="18"/>
          <w:szCs w:val="18"/>
          <w:color w:val="3A4967"/>
        </w:rPr>
        <w:t>the Company’s key suppliers may not be able to fund their capital requirements, resulting in disruption in the supplies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3187065</wp:posOffset>
            </wp:positionV>
            <wp:extent cx="2584450" cy="1917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3A4967"/>
        </w:rPr>
        <w:t>the Company’s raw and packaging materials; (c) the credit risks of the Company’s Distributors may increase; (d) the impact of currency fluctuations on amounts owed to the Company by distributors that pay in foreign currencies; (e) the Company’s credit facility, or portion thereof, may become unavailable at a time when needed by the Company to meet critical needs; (f) overall alcoholic beverage consumption may decline; or (g) drinkers of the Company’s products may change their purchase preferences and frequency, which might result in sales declines.</w:t>
      </w:r>
    </w:p>
    <w:p>
      <w:pPr>
        <w:spacing w:after="0" w:line="985"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18</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28" w:name="page29"/>
    <w:bookmarkEnd w:id="28"/>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3A4967"/>
        </w:rPr>
        <w:t xml:space="preserve">Item 1C </w:t>
      </w:r>
      <w:r>
        <w:rPr>
          <w:rFonts w:ascii="Arial" w:cs="Arial" w:eastAsia="Arial" w:hAnsi="Arial"/>
          <w:sz w:val="14"/>
          <w:szCs w:val="14"/>
          <w:color w:val="6D7890"/>
        </w:rPr>
        <w:t>Cybersecurity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35"/>
          <w:szCs w:val="35"/>
          <w:b w:val="1"/>
          <w:bCs w:val="1"/>
          <w:color w:val="3A4967"/>
        </w:rPr>
        <w:t xml:space="preserve">Item 1B. </w:t>
      </w:r>
      <w:r>
        <w:rPr>
          <w:rFonts w:ascii="Arial" w:cs="Arial" w:eastAsia="Arial" w:hAnsi="Arial"/>
          <w:sz w:val="35"/>
          <w:szCs w:val="35"/>
          <w:b w:val="1"/>
          <w:bCs w:val="1"/>
          <w:color w:val="6D7890"/>
        </w:rPr>
        <w:t>Unresolved Staff Comments</w:t>
      </w:r>
    </w:p>
    <w:p>
      <w:pPr>
        <w:spacing w:after="0" w:line="262"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3A4967"/>
        </w:rPr>
        <w:t>The Company has not received any written comments from the staff of the Securities and Exchange Commission (the “SEC”) regarding the Company’s periodic or current reports that (1) the Company believes are material, (2) were issued not less than 180 days before the end of the Company’s 2024 fiscal year, and (3) remain unresolved.</w:t>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35"/>
          <w:szCs w:val="35"/>
          <w:b w:val="1"/>
          <w:bCs w:val="1"/>
          <w:color w:val="3A4967"/>
        </w:rPr>
        <w:t xml:space="preserve">Item 1C. </w:t>
      </w:r>
      <w:r>
        <w:rPr>
          <w:rFonts w:ascii="Arial" w:cs="Arial" w:eastAsia="Arial" w:hAnsi="Arial"/>
          <w:sz w:val="35"/>
          <w:szCs w:val="35"/>
          <w:b w:val="1"/>
          <w:bCs w:val="1"/>
          <w:color w:val="6D7890"/>
        </w:rPr>
        <w:t>Cybersecurity</w:t>
      </w:r>
    </w:p>
    <w:p>
      <w:pPr>
        <w:spacing w:after="0" w:line="2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The Company faces motivated and persistent cybersecurity threats from a variety of adversaries on a daily basis. As a manufacturing company dispersed across multiple states supported by a global supply chain, the Company recognizes the critical importance of maintaining the safety and security of its networks and systems, as well as ensuring the confidentiality, integrity, and availability of its data. The Company employs a holistic process for overseeing and managing cybersecurity and information security risks which is supported by both management and its Board of Directors.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As described in more detail below, the Company has established policies, standards, processes and practices for assessing, identifying, and managing material risks from cybersecurity threats. The Company has devoted significant financial and personnel resources to implement and maintain security measures to meet regulatory requirements and customer expectations and intends to continue to make significant investments to maintain the security of its data and cybersecurity infrastructure.</w:t>
      </w:r>
    </w:p>
    <w:p>
      <w:pPr>
        <w:spacing w:after="0" w:line="10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The Company’s cybersecurity program is led by its Chief Information Security Officer (CISO), who reports to its Chief Information Officer (CIO). The CISO is responsible for management of cybersecurity risk and the protection and defense of the Company’s networks and systems. The CISO manages a team of cybersecurity professionals with broad experience and expertise, including in incident response, forensics, threat intelligence, vulnerability management, and mitigation. The Company’s cybersecurity team has processes in place to assess, identify, manage, and address material cybersecurity threats and incidents. These include, among other things: annual and ongoing security awareness training for employees, mechanisms to detect and monitor unusual network and endpoint activity, integrated threat intelligence, and containment and incident response tools. The cybersecurity team also leverages multiple third-party security programs for full-time monitoring of security stacks and on-demand support to act as force multipliers in the event of severe or critical security events.</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The Company’s Board of Directors has ultimate oversight of cybersecurity risk and aids in making decisions with respect to company priorities, resource allocations, and oversight structures. The Board of Directors is assisted by the Audit Committee, which regularly reviews the cybersecurity program with management and reports to the Board of Directors. Cybersecurity reviews by the Audit Committee or the Board of Directors generally occur at least once annually, or more frequently as determined to be necessary or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237490</wp:posOffset>
            </wp:positionV>
            <wp:extent cx="2584450" cy="1917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 w:right="380"/>
        <w:spacing w:after="0" w:line="267" w:lineRule="auto"/>
        <w:rPr>
          <w:sz w:val="20"/>
          <w:szCs w:val="20"/>
          <w:color w:val="auto"/>
        </w:rPr>
      </w:pPr>
      <w:r>
        <w:rPr>
          <w:rFonts w:ascii="Arial" w:cs="Arial" w:eastAsia="Arial" w:hAnsi="Arial"/>
          <w:sz w:val="18"/>
          <w:szCs w:val="18"/>
          <w:color w:val="3A4967"/>
        </w:rPr>
        <w:t>The Company’s approach to cybersecurity risk management includes the following key elements:</w:t>
      </w:r>
    </w:p>
    <w:p>
      <w:pPr>
        <w:spacing w:after="0" w:line="85" w:lineRule="exact"/>
        <w:rPr>
          <w:sz w:val="20"/>
          <w:szCs w:val="20"/>
          <w:color w:val="auto"/>
        </w:rPr>
      </w:pPr>
    </w:p>
    <w:p>
      <w:pPr>
        <w:jc w:val="both"/>
        <w:ind w:left="169" w:right="380" w:hanging="169"/>
        <w:spacing w:after="0" w:line="284" w:lineRule="auto"/>
        <w:tabs>
          <w:tab w:leader="none" w:pos="169" w:val="left"/>
        </w:tabs>
        <w:numPr>
          <w:ilvl w:val="0"/>
          <w:numId w:val="11"/>
        </w:numPr>
        <w:rPr>
          <w:rFonts w:ascii="Wingdings" w:cs="Wingdings" w:eastAsia="Wingdings" w:hAnsi="Wingdings"/>
          <w:sz w:val="13"/>
          <w:szCs w:val="13"/>
          <w:color w:val="3A4967"/>
        </w:rPr>
      </w:pPr>
      <w:r>
        <w:rPr>
          <w:rFonts w:ascii="Arial" w:cs="Arial" w:eastAsia="Arial" w:hAnsi="Arial"/>
          <w:sz w:val="16"/>
          <w:szCs w:val="16"/>
          <w:color w:val="3A4967"/>
        </w:rPr>
        <w:t>Multi-Layered Defense and Continuous Monitoring. The Company works to protect its computing environments and products from cybersecurity threats through multi-layered defenses and apply lessons learned from its defense and monitoring efforts to proactively prevent future attacks. The Company utilizes best-in-class SIEM technologies, data analytics and threat intelligence to detect anomalies and search for cyber threats. The Company’s internal cybersecurity team and third-party security services provide comprehensive cyber threat detection and response capabilities and maintain a full-time monitoring system which complements the technology, processes and threat detection techniques we use to monitor, manage and mitigate cybersecurity threats. From time to time, the Company engages third-party consultants or other advisors to assist in assessing, identifying and/or managing cybersecurity threats and also periodically uses its Internal Audit function to conduct additional reviews and assessments.</w:t>
      </w:r>
    </w:p>
    <w:p>
      <w:pPr>
        <w:spacing w:after="0" w:line="27" w:lineRule="exact"/>
        <w:rPr>
          <w:rFonts w:ascii="Wingdings" w:cs="Wingdings" w:eastAsia="Wingdings" w:hAnsi="Wingdings"/>
          <w:sz w:val="13"/>
          <w:szCs w:val="13"/>
          <w:color w:val="3A4967"/>
        </w:rPr>
      </w:pPr>
    </w:p>
    <w:p>
      <w:pPr>
        <w:jc w:val="both"/>
        <w:ind w:left="169" w:right="380" w:hanging="169"/>
        <w:spacing w:after="0" w:line="294" w:lineRule="auto"/>
        <w:tabs>
          <w:tab w:leader="none" w:pos="169" w:val="left"/>
        </w:tabs>
        <w:numPr>
          <w:ilvl w:val="0"/>
          <w:numId w:val="11"/>
        </w:numPr>
        <w:rPr>
          <w:rFonts w:ascii="Wingdings" w:cs="Wingdings" w:eastAsia="Wingdings" w:hAnsi="Wingdings"/>
          <w:sz w:val="13"/>
          <w:szCs w:val="13"/>
          <w:color w:val="3A4967"/>
        </w:rPr>
      </w:pPr>
      <w:r>
        <w:rPr>
          <w:rFonts w:ascii="Arial" w:cs="Arial" w:eastAsia="Arial" w:hAnsi="Arial"/>
          <w:sz w:val="16"/>
          <w:szCs w:val="16"/>
          <w:color w:val="3A4967"/>
        </w:rPr>
        <w:t>Third-Party Risk Assessments. The Company conducts information security assessments before sharing or allowing the hosting of sensitive data in computing environments managed by third parties, and its standard terms and conditions contain contractual provisions requiring certain security protections.</w:t>
      </w:r>
    </w:p>
    <w:p>
      <w:pPr>
        <w:spacing w:after="0" w:line="9" w:lineRule="exact"/>
        <w:rPr>
          <w:rFonts w:ascii="Wingdings" w:cs="Wingdings" w:eastAsia="Wingdings" w:hAnsi="Wingdings"/>
          <w:sz w:val="13"/>
          <w:szCs w:val="13"/>
          <w:color w:val="3A4967"/>
        </w:rPr>
      </w:pPr>
    </w:p>
    <w:p>
      <w:pPr>
        <w:jc w:val="both"/>
        <w:ind w:left="169" w:right="380" w:hanging="169"/>
        <w:spacing w:after="0" w:line="288" w:lineRule="auto"/>
        <w:tabs>
          <w:tab w:leader="none" w:pos="169" w:val="left"/>
        </w:tabs>
        <w:numPr>
          <w:ilvl w:val="0"/>
          <w:numId w:val="11"/>
        </w:numPr>
        <w:rPr>
          <w:rFonts w:ascii="Wingdings" w:cs="Wingdings" w:eastAsia="Wingdings" w:hAnsi="Wingdings"/>
          <w:sz w:val="13"/>
          <w:szCs w:val="13"/>
          <w:color w:val="3A4967"/>
        </w:rPr>
      </w:pPr>
      <w:r>
        <w:rPr>
          <w:rFonts w:ascii="Arial" w:cs="Arial" w:eastAsia="Arial" w:hAnsi="Arial"/>
          <w:sz w:val="16"/>
          <w:szCs w:val="16"/>
          <w:color w:val="3A4967"/>
        </w:rPr>
        <w:t>Training and Awareness. The Company conducts monthly attack simulations across the Company and provide awareness training to our coworkers to help identify, avoid and mitigate cybersecurity threats. Employees with network access participate annually in required training, including spear phishing, malware, access control, and other awareness training. The Company also periodically hosts tabletop exercises with management and other employees to practice rapid cyber incident response;</w:t>
      </w:r>
    </w:p>
    <w:p>
      <w:pPr>
        <w:spacing w:after="0" w:line="18" w:lineRule="exact"/>
        <w:rPr>
          <w:rFonts w:ascii="Wingdings" w:cs="Wingdings" w:eastAsia="Wingdings" w:hAnsi="Wingdings"/>
          <w:sz w:val="13"/>
          <w:szCs w:val="13"/>
          <w:color w:val="3A4967"/>
        </w:rPr>
      </w:pPr>
    </w:p>
    <w:p>
      <w:pPr>
        <w:jc w:val="both"/>
        <w:ind w:left="169" w:right="380" w:hanging="169"/>
        <w:spacing w:after="0" w:line="270" w:lineRule="auto"/>
        <w:tabs>
          <w:tab w:leader="none" w:pos="169" w:val="left"/>
        </w:tabs>
        <w:numPr>
          <w:ilvl w:val="0"/>
          <w:numId w:val="11"/>
        </w:numPr>
        <w:rPr>
          <w:rFonts w:ascii="Wingdings" w:cs="Wingdings" w:eastAsia="Wingdings" w:hAnsi="Wingdings"/>
          <w:sz w:val="14"/>
          <w:szCs w:val="14"/>
          <w:color w:val="3A4967"/>
        </w:rPr>
      </w:pPr>
      <w:r>
        <w:rPr>
          <w:rFonts w:ascii="Arial" w:cs="Arial" w:eastAsia="Arial" w:hAnsi="Arial"/>
          <w:sz w:val="17"/>
          <w:szCs w:val="17"/>
          <w:color w:val="3A4967"/>
        </w:rPr>
        <w:t>Supplier Engagement. The Company requires its suppliers to comply with its standard information security terms and conditions as a condition of doing business, and requires them to complete information security questionnaires to review and assess any potential cyber-related risks depending on the nature of the services being provided. The Company also monitors supplier network access to its networks and systems.</w:t>
      </w:r>
    </w:p>
    <w:p>
      <w:pPr>
        <w:spacing w:after="0" w:line="29" w:lineRule="exact"/>
        <w:rPr>
          <w:sz w:val="20"/>
          <w:szCs w:val="20"/>
          <w:color w:val="auto"/>
        </w:rPr>
      </w:pPr>
    </w:p>
    <w:p>
      <w:pPr>
        <w:jc w:val="both"/>
        <w:ind w:left="9" w:right="380"/>
        <w:spacing w:after="0" w:line="290" w:lineRule="auto"/>
        <w:rPr>
          <w:sz w:val="20"/>
          <w:szCs w:val="20"/>
          <w:color w:val="auto"/>
        </w:rPr>
      </w:pPr>
      <w:r>
        <w:rPr>
          <w:rFonts w:ascii="Arial" w:cs="Arial" w:eastAsia="Arial" w:hAnsi="Arial"/>
          <w:sz w:val="16"/>
          <w:szCs w:val="16"/>
          <w:color w:val="3A4967"/>
        </w:rPr>
        <w:t>While the Company has experienced minor cybersecurity incidents in the past, to date none have materially affected the Company or its financial position, results of operations and/or cash flows. The Company continues to invest in the cybersecurity and resiliency of its networks and to enhance its internal controls and processes, which are designed to help protect its systems, infrastructure, and the information they contain.</w:t>
      </w:r>
    </w:p>
    <w:p>
      <w:pPr>
        <w:spacing w:after="0" w:line="200" w:lineRule="exact"/>
        <w:rPr>
          <w:sz w:val="20"/>
          <w:szCs w:val="20"/>
          <w:color w:val="auto"/>
        </w:rPr>
      </w:pPr>
    </w:p>
    <w:p>
      <w:pPr>
        <w:sectPr>
          <w:pgSz w:w="11880" w:h="15481" w:orient="portrait"/>
          <w:cols w:equalWidth="0" w:num="2">
            <w:col w:w="4920" w:space="331"/>
            <w:col w:w="5309"/>
          </w:cols>
          <w:pgMar w:left="860" w:top="579" w:right="461" w:bottom="0" w:gutter="0" w:footer="0" w:header="0"/>
          <w:type w:val="continuous"/>
        </w:sectPr>
      </w:pPr>
    </w:p>
    <w:p>
      <w:pPr>
        <w:spacing w:after="0" w:line="228"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29" w:name="page30"/>
    <w:bookmarkEnd w:id="29"/>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2 </w:t>
      </w:r>
      <w:r>
        <w:rPr>
          <w:rFonts w:ascii="Arial" w:cs="Arial" w:eastAsia="Arial" w:hAnsi="Arial"/>
          <w:sz w:val="14"/>
          <w:szCs w:val="14"/>
          <w:color w:val="6D7890"/>
        </w:rPr>
        <w:t>Properties</w:t>
      </w:r>
    </w:p>
    <w:p>
      <w:pPr>
        <w:spacing w:after="0" w:line="200" w:lineRule="exact"/>
        <w:rPr>
          <w:sz w:val="20"/>
          <w:szCs w:val="20"/>
          <w:color w:val="auto"/>
        </w:rPr>
      </w:pPr>
    </w:p>
    <w:p>
      <w:pPr>
        <w:spacing w:after="0" w:line="399" w:lineRule="exact"/>
        <w:rPr>
          <w:sz w:val="20"/>
          <w:szCs w:val="20"/>
          <w:color w:val="auto"/>
        </w:rPr>
      </w:pPr>
    </w:p>
    <w:p>
      <w:pPr>
        <w:ind w:left="400"/>
        <w:spacing w:after="0"/>
        <w:tabs>
          <w:tab w:leader="none" w:pos="2080" w:val="left"/>
        </w:tabs>
        <w:rPr>
          <w:sz w:val="20"/>
          <w:szCs w:val="20"/>
          <w:color w:val="auto"/>
        </w:rPr>
      </w:pPr>
      <w:r>
        <w:rPr>
          <w:rFonts w:ascii="Arial" w:cs="Arial" w:eastAsia="Arial" w:hAnsi="Arial"/>
          <w:sz w:val="35"/>
          <w:szCs w:val="35"/>
          <w:b w:val="1"/>
          <w:bCs w:val="1"/>
          <w:color w:val="3A4967"/>
        </w:rPr>
        <w:t>Item 2.</w:t>
      </w:r>
      <w:r>
        <w:rPr>
          <w:rFonts w:ascii="Arial" w:cs="Arial" w:eastAsia="Arial" w:hAnsi="Arial"/>
          <w:sz w:val="35"/>
          <w:szCs w:val="35"/>
          <w:b w:val="1"/>
          <w:bCs w:val="1"/>
          <w:color w:val="6D7890"/>
        </w:rPr>
        <w:tab/>
        <w:t>Properties</w:t>
      </w:r>
    </w:p>
    <w:p>
      <w:pPr>
        <w:sectPr>
          <w:pgSz w:w="11880" w:h="15481" w:orient="portrait"/>
          <w:cols w:equalWidth="0" w:num="1">
            <w:col w:w="10580"/>
          </w:cols>
          <w:pgMar w:left="460" w:top="579" w:right="841" w:bottom="0" w:gutter="0" w:footer="0" w:header="0"/>
        </w:sectPr>
      </w:pPr>
    </w:p>
    <w:p>
      <w:pPr>
        <w:spacing w:after="0" w:line="262"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3A4967"/>
        </w:rPr>
        <w:t>The Company maintains its principal corporate offices in approximately 57,623 square feet of leased space located in Boston, Massachusetts, the term of which is set to expire in February 2031.</w:t>
      </w:r>
    </w:p>
    <w:p>
      <w:pPr>
        <w:spacing w:after="0" w:line="94"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3A4967"/>
        </w:rPr>
        <w:t>The Company leases approximately 43,000 square feet of space in Boston, Massachusetts, on which it maintains a Samuel Adams Boston Brewery brand tap room and tour center. The current term of the lease for this facility will expire in 2034, although it has an option to extend the term for an additional fifteen years in five-year increments.</w:t>
      </w:r>
    </w:p>
    <w:p>
      <w:pPr>
        <w:spacing w:after="0" w:line="100"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3A4967"/>
        </w:rPr>
        <w:t>The Company leases approximately 6,666 square feet of space in Boston, Massachusetts, on which it maintains a research and development site. The current term of the lease for this facility will expire in 2026, although it has an option to renew for one (1) additional period of five (5) years and, thereafter, one (1) additional period of three (3) years.</w:t>
      </w:r>
    </w:p>
    <w:p>
      <w:pPr>
        <w:spacing w:after="0" w:line="100" w:lineRule="exact"/>
        <w:rPr>
          <w:sz w:val="20"/>
          <w:szCs w:val="20"/>
          <w:color w:val="auto"/>
        </w:rPr>
      </w:pPr>
    </w:p>
    <w:p>
      <w:pPr>
        <w:jc w:val="both"/>
        <w:ind w:left="400"/>
        <w:spacing w:after="0" w:line="273" w:lineRule="auto"/>
        <w:rPr>
          <w:sz w:val="20"/>
          <w:szCs w:val="20"/>
          <w:color w:val="auto"/>
        </w:rPr>
      </w:pPr>
      <w:r>
        <w:rPr>
          <w:rFonts w:ascii="Arial" w:cs="Arial" w:eastAsia="Arial" w:hAnsi="Arial"/>
          <w:sz w:val="17"/>
          <w:szCs w:val="17"/>
          <w:color w:val="3A4967"/>
        </w:rPr>
        <w:t>The Company leases approximately 9,000 square feet of space in Boston, Massachusetts, on which it maintains a Samuel Adams brand tap room and small brewery. The current term of the lease for this facility will expire in 2028, although it has two options to extend the term for an additional 5 years.</w:t>
      </w:r>
    </w:p>
    <w:p>
      <w:pPr>
        <w:spacing w:after="0" w:line="82"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3A4967"/>
        </w:rPr>
        <w:t>The Company owns approximately 76 acres of land in Breinigsville, Pennsylvania, consisting of three parcels on which the Company’s Pennsylvania Brewery is located. The buildings on this property consist of approximately 1 million square feet of brewery and warehouse space.</w:t>
      </w:r>
    </w:p>
    <w:p>
      <w:pPr>
        <w:spacing w:after="0" w:line="98"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3A4967"/>
        </w:rPr>
        <w:t>The company leases approximately 585,000 square feet of space in Alburtis, PA, on which it maintains a warehouse for raw and finished goods. The current lease for this facility will expire January 2027, although it has an option to renew for one (1) five-year extension.</w:t>
      </w:r>
    </w:p>
    <w:p>
      <w:pPr>
        <w:spacing w:after="0" w:line="98" w:lineRule="exact"/>
        <w:rPr>
          <w:sz w:val="20"/>
          <w:szCs w:val="20"/>
          <w:color w:val="auto"/>
        </w:rPr>
      </w:pPr>
    </w:p>
    <w:p>
      <w:pPr>
        <w:jc w:val="both"/>
        <w:ind w:left="400"/>
        <w:spacing w:after="0" w:line="271" w:lineRule="auto"/>
        <w:rPr>
          <w:sz w:val="20"/>
          <w:szCs w:val="20"/>
          <w:color w:val="auto"/>
        </w:rPr>
      </w:pPr>
      <w:r>
        <w:rPr>
          <w:rFonts w:ascii="Arial" w:cs="Arial" w:eastAsia="Arial" w:hAnsi="Arial"/>
          <w:sz w:val="17"/>
          <w:szCs w:val="17"/>
          <w:color w:val="3A4967"/>
        </w:rPr>
        <w:t>The Company owns approximately 12 acres of land in Cincinnati, Ohio, on which the Company’s Cincinnati Brewery is located, and leases, with an option to purchase, approximately 0.75 acre of land from 3</w:t>
      </w:r>
      <w:r>
        <w:rPr>
          <w:rFonts w:ascii="Arial" w:cs="Arial" w:eastAsia="Arial" w:hAnsi="Arial"/>
          <w:sz w:val="10"/>
          <w:szCs w:val="10"/>
          <w:color w:val="3A4967"/>
        </w:rPr>
        <w:t>rd</w:t>
      </w:r>
      <w:r>
        <w:rPr>
          <w:rFonts w:ascii="Arial" w:cs="Arial" w:eastAsia="Arial" w:hAnsi="Arial"/>
          <w:sz w:val="17"/>
          <w:szCs w:val="17"/>
          <w:color w:val="3A4967"/>
        </w:rPr>
        <w:t xml:space="preserve"> party investment group which abuts its property. The buildings on this property consist of approximately 128,500 square feet of brewery and warehouse space.</w:t>
      </w:r>
    </w:p>
    <w:p>
      <w:pPr>
        <w:spacing w:after="0" w:line="85"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3A4967"/>
        </w:rPr>
        <w:t>The Company leases approximately 10,000 square feet of space in Cincinnati, Ohio, on which it maintains a Samuel Adams brand tap room and small brewery. The current term of the lease for this facility will expire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1778635</wp:posOffset>
            </wp:positionV>
            <wp:extent cx="2584450" cy="1917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A4967"/>
        </w:rPr>
        <w:t>The Company leases approximately 7,815 square feet of office space in Cincinnati, Ohio. Lease is due to expire in September 2025 with no extension options.</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3A4967"/>
        </w:rPr>
        <w:t>The Company owns approximately 64 acres of land in Walden, New York, consisting of an apple orchard and buildings, including a small cidery, gift shop, and tour center. The buildings on this property consist of approximately 17,650 square feet of space.</w:t>
      </w:r>
    </w:p>
    <w:p>
      <w:pPr>
        <w:spacing w:after="0" w:line="78"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3A4967"/>
        </w:rPr>
        <w:t>The Company owns approximately 57 acres of land in Milton, Delaware, on which the Company’s Milton Brewery is located. The buildings on this property consist of approximately 150,000 square feet of brewery and warehouse space.</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A4967"/>
        </w:rPr>
        <w:t>The Company owns approximately 0.5 acre of land in Lewes, Delaware, on which the Company’s Dogfish Head Inn is located. The buildings on this property consists of approximately 8,400 square feet of space.</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A4967"/>
        </w:rPr>
        <w:t>The Company leases approximately 14,000 square feet of space in Rehoboth, Delaware, on which it maintains Dogfish Head Brewings and Eats, a tap room, gift shop, small brewery and distillery, and the Chesapeake &amp; Maine restaurant. The current term of the lease for this facility will expire in 2029.</w:t>
      </w:r>
    </w:p>
    <w:p>
      <w:pPr>
        <w:spacing w:after="0" w:line="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3A4967"/>
        </w:rPr>
        <w:t>The Company leases approximately 48,650 square feet of space in Los Angeles, California, on which it maintains an Angel City and Truly brand tap room, small brewery, and tour center. The current term of the lease for this facility will expire in 2026.</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A4967"/>
        </w:rPr>
        <w:t>The Company, under a development agreement, has access to approximately 900 square feet of space in Windsor, Ontario, on which it maintains a cannabis research and development facility. The current term of the agreement for this facility will expire in 2026.</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3A4967"/>
        </w:rPr>
        <w:t>The Company also leases small offices in Burlington, Vermont, Montreal, Quebec, and Toronto, Ontario as well as various warehousing facilities across the United States and Canada.</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A4967"/>
        </w:rPr>
        <w:t>The Company believes that its facilities are adequate for its current needs and that suitable additional space will be available on commercially acceptable terms as required.</w:t>
      </w:r>
    </w:p>
    <w:p>
      <w:pPr>
        <w:spacing w:after="0" w:line="1379"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20</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30" w:name="page31"/>
    <w:bookmarkEnd w:id="30"/>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3A4967"/>
        </w:rPr>
        <w:t xml:space="preserve">Item 4 </w:t>
      </w:r>
      <w:r>
        <w:rPr>
          <w:rFonts w:ascii="Arial" w:cs="Arial" w:eastAsia="Arial" w:hAnsi="Arial"/>
          <w:sz w:val="14"/>
          <w:szCs w:val="14"/>
          <w:color w:val="6D7890"/>
        </w:rPr>
        <w:t>Mine Safety Disclosures</w:t>
      </w:r>
    </w:p>
    <w:p>
      <w:pPr>
        <w:spacing w:after="0" w:line="200" w:lineRule="exact"/>
        <w:rPr>
          <w:sz w:val="20"/>
          <w:szCs w:val="20"/>
          <w:color w:val="auto"/>
        </w:rPr>
      </w:pPr>
    </w:p>
    <w:p>
      <w:pPr>
        <w:spacing w:after="0" w:line="399" w:lineRule="exact"/>
        <w:rPr>
          <w:sz w:val="20"/>
          <w:szCs w:val="20"/>
          <w:color w:val="auto"/>
        </w:rPr>
      </w:pPr>
    </w:p>
    <w:p>
      <w:pPr>
        <w:spacing w:after="0"/>
        <w:tabs>
          <w:tab w:leader="none" w:pos="1680" w:val="left"/>
        </w:tabs>
        <w:rPr>
          <w:sz w:val="20"/>
          <w:szCs w:val="20"/>
          <w:color w:val="auto"/>
        </w:rPr>
      </w:pPr>
      <w:r>
        <w:rPr>
          <w:rFonts w:ascii="Arial" w:cs="Arial" w:eastAsia="Arial" w:hAnsi="Arial"/>
          <w:sz w:val="35"/>
          <w:szCs w:val="35"/>
          <w:b w:val="1"/>
          <w:bCs w:val="1"/>
          <w:color w:val="3A4967"/>
        </w:rPr>
        <w:t>Item 3.</w:t>
      </w:r>
      <w:r>
        <w:rPr>
          <w:rFonts w:ascii="Arial" w:cs="Arial" w:eastAsia="Arial" w:hAnsi="Arial"/>
          <w:sz w:val="35"/>
          <w:szCs w:val="35"/>
          <w:b w:val="1"/>
          <w:bCs w:val="1"/>
          <w:color w:val="6D7890"/>
        </w:rPr>
        <w:tab/>
        <w:t>Legal Proceedings</w:t>
      </w:r>
    </w:p>
    <w:p>
      <w:pPr>
        <w:sectPr>
          <w:pgSz w:w="11880" w:h="15481" w:orient="portrait"/>
          <w:cols w:equalWidth="0" w:num="1">
            <w:col w:w="10560"/>
          </w:cols>
          <w:pgMar w:left="860" w:top="579" w:right="461" w:bottom="0" w:gutter="0" w:footer="0" w:header="0"/>
        </w:sectPr>
      </w:pPr>
    </w:p>
    <w:p>
      <w:pPr>
        <w:spacing w:after="0" w:line="2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3A4967"/>
        </w:rPr>
        <w:t>The Company is party to legal proceedings and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able to be estimated. Material pending legal proceedings are discussed below.</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3A4967"/>
        </w:rPr>
        <w:t>Supplier Dispute. On December 31, 2022, Ardagh Metal Packaging USA Corp. (“Ardagh”) filed an action against the Company alleging, among other things, that the Company had failed to purchase contractual minimum volumes of certain aluminum beverage can containers in 2021 and 2022. The Company filed an Amended Answer, Amended Affirmative Defenses and Amended Counterclaims on March 25, 2024.</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both"/>
        <w:ind w:right="380"/>
        <w:spacing w:after="0" w:line="267" w:lineRule="auto"/>
        <w:rPr>
          <w:sz w:val="20"/>
          <w:szCs w:val="20"/>
          <w:color w:val="auto"/>
        </w:rPr>
      </w:pPr>
      <w:r>
        <w:rPr>
          <w:rFonts w:ascii="Arial" w:cs="Arial" w:eastAsia="Arial" w:hAnsi="Arial"/>
          <w:sz w:val="17"/>
          <w:szCs w:val="17"/>
          <w:color w:val="3A4967"/>
        </w:rPr>
        <w:t>On November 9, 2023, Ardagh filed a Notice of Plaintiff’s Motion for Judgment on the Pleadings on Count II of the Complaint, to which the Company filed an Opposition on November 22, 2023. On February 26, 2024, the Court granted the Motion. On March 27, 2024, the Company filed a Motion to Clarify and to Reconsider the Court’s decision. Following briefing by the parties, on June 17, 2024, the Court granted the Company’s Motion to Reconsider, denied Ardagh’s Motion for Judgment on the Pleadings, and vacated its February 26, 2024 Order. The Court set a fact discovery deadline of November 25, 2024 with some discovery motions still pending. Expert discovery has begun and the Court has set an expert discovery deadline of April 18, 2025. The Court has not set a date for summary judgment filings or trial. The Company denies that it breached the terms of the parties’ contract and intends to defend against the Ardagh claims vigorously.</w:t>
      </w:r>
    </w:p>
    <w:p>
      <w:pPr>
        <w:spacing w:after="0" w:line="317"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265" w:lineRule="exact"/>
        <w:rPr>
          <w:sz w:val="20"/>
          <w:szCs w:val="20"/>
          <w:color w:val="auto"/>
        </w:rPr>
      </w:pPr>
    </w:p>
    <w:p>
      <w:pPr>
        <w:spacing w:after="0"/>
        <w:tabs>
          <w:tab w:leader="none" w:pos="1680" w:val="left"/>
        </w:tabs>
        <w:rPr>
          <w:sz w:val="20"/>
          <w:szCs w:val="20"/>
          <w:color w:val="auto"/>
        </w:rPr>
      </w:pPr>
      <w:r>
        <w:rPr>
          <w:rFonts w:ascii="Arial" w:cs="Arial" w:eastAsia="Arial" w:hAnsi="Arial"/>
          <w:sz w:val="35"/>
          <w:szCs w:val="35"/>
          <w:b w:val="1"/>
          <w:bCs w:val="1"/>
          <w:color w:val="3A4967"/>
        </w:rPr>
        <w:t>Item 4.</w:t>
      </w:r>
      <w:r>
        <w:rPr>
          <w:rFonts w:ascii="Arial" w:cs="Arial" w:eastAsia="Arial" w:hAnsi="Arial"/>
          <w:sz w:val="35"/>
          <w:szCs w:val="35"/>
          <w:b w:val="1"/>
          <w:bCs w:val="1"/>
          <w:color w:val="6D7890"/>
        </w:rPr>
        <w:tab/>
        <w:t>Mine Safety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3A4967"/>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4785360</wp:posOffset>
            </wp:positionV>
            <wp:extent cx="2584450" cy="1917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31" w:name="page32"/>
    <w:bookmarkEnd w:id="31"/>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400"/>
        <w:spacing w:after="0"/>
        <w:rPr>
          <w:sz w:val="20"/>
          <w:szCs w:val="20"/>
          <w:color w:val="auto"/>
        </w:rPr>
      </w:pPr>
      <w:r>
        <w:rPr>
          <w:rFonts w:ascii="Arial" w:cs="Arial" w:eastAsia="Arial" w:hAnsi="Arial"/>
          <w:sz w:val="52"/>
          <w:szCs w:val="52"/>
          <w:b w:val="1"/>
          <w:bCs w:val="1"/>
          <w:color w:val="3A4967"/>
        </w:rPr>
        <w:t>PART II</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100" w:hanging="1700"/>
        <w:spacing w:after="0" w:line="260" w:lineRule="auto"/>
        <w:tabs>
          <w:tab w:leader="none" w:pos="2080" w:val="left"/>
        </w:tabs>
        <w:rPr>
          <w:sz w:val="20"/>
          <w:szCs w:val="20"/>
          <w:color w:val="auto"/>
        </w:rPr>
      </w:pPr>
      <w:r>
        <w:rPr>
          <w:rFonts w:ascii="Arial" w:cs="Arial" w:eastAsia="Arial" w:hAnsi="Arial"/>
          <w:sz w:val="35"/>
          <w:szCs w:val="35"/>
          <w:b w:val="1"/>
          <w:bCs w:val="1"/>
          <w:color w:val="3A4967"/>
        </w:rPr>
        <w:t>Item 5.</w:t>
      </w:r>
      <w:r>
        <w:rPr>
          <w:rFonts w:ascii="Arial" w:cs="Arial" w:eastAsia="Arial" w:hAnsi="Arial"/>
          <w:sz w:val="35"/>
          <w:szCs w:val="35"/>
          <w:b w:val="1"/>
          <w:bCs w:val="1"/>
          <w:color w:val="6D7890"/>
        </w:rPr>
        <w:tab/>
        <w:t>Market for Registrant’s Common Equity, Related Stockholder Matters and Issuer Purchases of Equity Securities</w:t>
      </w:r>
    </w:p>
    <w:p>
      <w:pPr>
        <w:sectPr>
          <w:pgSz w:w="11880" w:h="15481" w:orient="portrait"/>
          <w:cols w:equalWidth="0" w:num="1">
            <w:col w:w="10580"/>
          </w:cols>
          <w:pgMar w:left="460" w:top="1440" w:right="841" w:bottom="0" w:gutter="0" w:footer="0" w:header="0"/>
        </w:sectPr>
      </w:pPr>
    </w:p>
    <w:p>
      <w:pPr>
        <w:spacing w:after="0" w:line="196" w:lineRule="exact"/>
        <w:rPr>
          <w:sz w:val="20"/>
          <w:szCs w:val="20"/>
          <w:color w:val="auto"/>
        </w:rPr>
      </w:pPr>
    </w:p>
    <w:p>
      <w:pPr>
        <w:jc w:val="both"/>
        <w:ind w:left="400"/>
        <w:spacing w:after="0" w:line="276" w:lineRule="auto"/>
        <w:rPr>
          <w:sz w:val="20"/>
          <w:szCs w:val="20"/>
          <w:color w:val="auto"/>
        </w:rPr>
      </w:pPr>
      <w:r>
        <w:rPr>
          <w:rFonts w:ascii="Arial" w:cs="Arial" w:eastAsia="Arial" w:hAnsi="Arial"/>
          <w:sz w:val="17"/>
          <w:szCs w:val="17"/>
          <w:color w:val="3A4967"/>
        </w:rPr>
        <w:t>The graph set forth below shows the value of an investment of $100 on January 1, 2019 in each of the Company’s stock (“The Boston Beer Company, Inc.”), the Standard &amp; Poor’s 500 Index (“S&amp;P 500 Index”) and the Standard &amp; Poor’s 500 Beverage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A4967"/>
        </w:rPr>
        <w:t>Index, which consists of producers of alcoholic and non-alcoholic beverages (“S&amp;P 500 Beverages Index”) for the five years ending December 28, 2024.</w:t>
      </w:r>
    </w:p>
    <w:p>
      <w:pPr>
        <w:spacing w:after="0" w:line="419" w:lineRule="exact"/>
        <w:rPr>
          <w:sz w:val="20"/>
          <w:szCs w:val="20"/>
          <w:color w:val="auto"/>
        </w:rPr>
      </w:pPr>
    </w:p>
    <w:p>
      <w:pPr>
        <w:sectPr>
          <w:pgSz w:w="11880" w:h="15481" w:orient="portrait"/>
          <w:cols w:equalWidth="0" w:num="2">
            <w:col w:w="5320" w:space="340"/>
            <w:col w:w="4920"/>
          </w:cols>
          <w:pgMar w:left="460" w:top="1440" w:right="841" w:bottom="0" w:gutter="0" w:footer="0" w:header="0"/>
          <w:type w:val="continuous"/>
        </w:sectPr>
      </w:pPr>
    </w:p>
    <w:p>
      <w:pPr>
        <w:ind w:left="400"/>
        <w:spacing w:after="0"/>
        <w:rPr>
          <w:sz w:val="20"/>
          <w:szCs w:val="20"/>
          <w:color w:val="auto"/>
        </w:rPr>
      </w:pPr>
      <w:r>
        <w:rPr>
          <w:rFonts w:ascii="Arial" w:cs="Arial" w:eastAsia="Arial" w:hAnsi="Arial"/>
          <w:sz w:val="18"/>
          <w:szCs w:val="18"/>
          <w:b w:val="1"/>
          <w:bCs w:val="1"/>
          <w:color w:val="3A4967"/>
        </w:rPr>
        <w:t>TOTAL RETURN TO SHAREHOLDERS (INCLUDES REINVESTMENT OF DIVIDENDS)</w:t>
      </w:r>
    </w:p>
    <w:p>
      <w:pPr>
        <w:spacing w:after="0" w:line="143"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560" w:type="dxa"/>
            <w:vAlign w:val="bottom"/>
            <w:gridSpan w:val="4"/>
          </w:tcPr>
          <w:p>
            <w:pPr>
              <w:jc w:val="right"/>
              <w:ind w:right="736"/>
              <w:spacing w:after="0"/>
              <w:rPr>
                <w:sz w:val="20"/>
                <w:szCs w:val="20"/>
                <w:color w:val="auto"/>
              </w:rPr>
            </w:pPr>
            <w:r>
              <w:rPr>
                <w:rFonts w:ascii="Arial" w:cs="Arial" w:eastAsia="Arial" w:hAnsi="Arial"/>
                <w:sz w:val="16"/>
                <w:szCs w:val="16"/>
                <w:b w:val="1"/>
                <w:bCs w:val="1"/>
                <w:color w:val="3A4967"/>
              </w:rPr>
              <w:t>ANNUAL RETURN PERCENTAGE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3A4967"/>
              </w:rPr>
              <w:t>Years Ending</w:t>
            </w: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60" w:type="dxa"/>
            <w:vAlign w:val="bottom"/>
            <w:tcBorders>
              <w:bottom w:val="single" w:sz="8" w:color="3A4967"/>
            </w:tcBorders>
            <w:gridSpan w:val="2"/>
          </w:tcPr>
          <w:p>
            <w:pPr>
              <w:spacing w:after="0"/>
              <w:rPr>
                <w:sz w:val="3"/>
                <w:szCs w:val="3"/>
                <w:color w:val="auto"/>
              </w:rPr>
            </w:pPr>
          </w:p>
        </w:tc>
        <w:tc>
          <w:tcPr>
            <w:tcW w:w="920" w:type="dxa"/>
            <w:vAlign w:val="bottom"/>
            <w:tcBorders>
              <w:bottom w:val="single" w:sz="8" w:color="3A4967"/>
            </w:tcBorders>
          </w:tcPr>
          <w:p>
            <w:pPr>
              <w:spacing w:after="0"/>
              <w:rPr>
                <w:sz w:val="3"/>
                <w:szCs w:val="3"/>
                <w:color w:val="auto"/>
              </w:rPr>
            </w:pPr>
          </w:p>
        </w:tc>
        <w:tc>
          <w:tcPr>
            <w:tcW w:w="22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126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100" w:type="dxa"/>
            <w:vAlign w:val="bottom"/>
            <w:gridSpan w:val="2"/>
          </w:tcPr>
          <w:p>
            <w:pPr>
              <w:ind w:left="80"/>
              <w:spacing w:after="0"/>
              <w:rPr>
                <w:sz w:val="20"/>
                <w:szCs w:val="20"/>
                <w:color w:val="auto"/>
              </w:rPr>
            </w:pPr>
            <w:r>
              <w:rPr>
                <w:rFonts w:ascii="Arial" w:cs="Arial" w:eastAsia="Arial" w:hAnsi="Arial"/>
                <w:sz w:val="16"/>
                <w:szCs w:val="16"/>
                <w:b w:val="1"/>
                <w:bCs w:val="1"/>
                <w:color w:val="3A4967"/>
              </w:rPr>
              <w:t>Company Name / Index</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gridSpan w:val="3"/>
          </w:tcPr>
          <w:p>
            <w:pPr>
              <w:jc w:val="right"/>
              <w:ind w:right="277"/>
              <w:spacing w:after="0"/>
              <w:rPr>
                <w:sz w:val="20"/>
                <w:szCs w:val="20"/>
                <w:color w:val="auto"/>
              </w:rPr>
            </w:pPr>
            <w:r>
              <w:rPr>
                <w:rFonts w:ascii="Arial" w:cs="Arial" w:eastAsia="Arial" w:hAnsi="Arial"/>
                <w:sz w:val="16"/>
                <w:szCs w:val="16"/>
                <w:b w:val="1"/>
                <w:bCs w:val="1"/>
                <w:color w:val="3A4967"/>
              </w:rPr>
              <w:t>12/26/2020</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3A4967"/>
              </w:rPr>
              <w:t>12/25/2021</w:t>
            </w:r>
          </w:p>
        </w:tc>
        <w:tc>
          <w:tcPr>
            <w:tcW w:w="220" w:type="dxa"/>
            <w:vAlign w:val="bottom"/>
          </w:tcPr>
          <w:p>
            <w:pPr>
              <w:spacing w:after="0"/>
              <w:rPr>
                <w:sz w:val="20"/>
                <w:szCs w:val="20"/>
                <w:color w:val="auto"/>
              </w:rPr>
            </w:pPr>
          </w:p>
        </w:tc>
        <w:tc>
          <w:tcPr>
            <w:tcW w:w="1160" w:type="dxa"/>
            <w:vAlign w:val="bottom"/>
          </w:tcPr>
          <w:p>
            <w:pPr>
              <w:jc w:val="right"/>
              <w:ind w:right="178"/>
              <w:spacing w:after="0"/>
              <w:rPr>
                <w:sz w:val="20"/>
                <w:szCs w:val="20"/>
                <w:color w:val="auto"/>
              </w:rPr>
            </w:pPr>
            <w:r>
              <w:rPr>
                <w:rFonts w:ascii="Arial" w:cs="Arial" w:eastAsia="Arial" w:hAnsi="Arial"/>
                <w:sz w:val="16"/>
                <w:szCs w:val="16"/>
                <w:b w:val="1"/>
                <w:bCs w:val="1"/>
                <w:color w:val="3A4967"/>
              </w:rPr>
              <w:t>12/31/2022</w:t>
            </w:r>
          </w:p>
        </w:tc>
        <w:tc>
          <w:tcPr>
            <w:tcW w:w="1260" w:type="dxa"/>
            <w:vAlign w:val="bottom"/>
          </w:tcPr>
          <w:p>
            <w:pPr>
              <w:jc w:val="right"/>
              <w:ind w:right="276"/>
              <w:spacing w:after="0"/>
              <w:rPr>
                <w:sz w:val="20"/>
                <w:szCs w:val="20"/>
                <w:color w:val="auto"/>
              </w:rPr>
            </w:pPr>
            <w:r>
              <w:rPr>
                <w:rFonts w:ascii="Arial" w:cs="Arial" w:eastAsia="Arial" w:hAnsi="Arial"/>
                <w:sz w:val="16"/>
                <w:szCs w:val="16"/>
                <w:b w:val="1"/>
                <w:bCs w:val="1"/>
                <w:color w:val="3A4967"/>
              </w:rPr>
              <w:t>12/30/2023</w:t>
            </w:r>
          </w:p>
        </w:tc>
        <w:tc>
          <w:tcPr>
            <w:tcW w:w="1020" w:type="dxa"/>
            <w:vAlign w:val="bottom"/>
          </w:tcPr>
          <w:p>
            <w:pPr>
              <w:jc w:val="right"/>
              <w:ind w:right="56"/>
              <w:spacing w:after="0"/>
              <w:rPr>
                <w:sz w:val="20"/>
                <w:szCs w:val="20"/>
                <w:color w:val="auto"/>
              </w:rPr>
            </w:pPr>
            <w:r>
              <w:rPr>
                <w:rFonts w:ascii="Arial" w:cs="Arial" w:eastAsia="Arial" w:hAnsi="Arial"/>
                <w:sz w:val="16"/>
                <w:szCs w:val="16"/>
                <w:b w:val="1"/>
                <w:bCs w:val="1"/>
                <w:color w:val="3A4967"/>
              </w:rPr>
              <w:t>12/28/2024</w:t>
            </w:r>
          </w:p>
        </w:tc>
        <w:tc>
          <w:tcPr>
            <w:tcW w:w="0" w:type="dxa"/>
            <w:vAlign w:val="bottom"/>
          </w:tcPr>
          <w:p>
            <w:pPr>
              <w:spacing w:after="0"/>
              <w:rPr>
                <w:sz w:val="1"/>
                <w:szCs w:val="1"/>
                <w:color w:val="auto"/>
              </w:rPr>
            </w:pPr>
          </w:p>
        </w:tc>
      </w:tr>
      <w:tr>
        <w:trPr>
          <w:trHeight w:val="36"/>
        </w:trPr>
        <w:tc>
          <w:tcPr>
            <w:tcW w:w="960" w:type="dxa"/>
            <w:vAlign w:val="bottom"/>
            <w:tcBorders>
              <w:bottom w:val="single" w:sz="8" w:color="3A4967"/>
            </w:tcBorders>
          </w:tcPr>
          <w:p>
            <w:pPr>
              <w:spacing w:after="0"/>
              <w:rPr>
                <w:sz w:val="3"/>
                <w:szCs w:val="3"/>
                <w:color w:val="auto"/>
              </w:rPr>
            </w:pPr>
          </w:p>
        </w:tc>
        <w:tc>
          <w:tcPr>
            <w:tcW w:w="2120" w:type="dxa"/>
            <w:vAlign w:val="bottom"/>
            <w:tcBorders>
              <w:bottom w:val="single" w:sz="8" w:color="3A4967"/>
            </w:tcBorders>
            <w:gridSpan w:val="2"/>
          </w:tcPr>
          <w:p>
            <w:pPr>
              <w:spacing w:after="0"/>
              <w:rPr>
                <w:sz w:val="3"/>
                <w:szCs w:val="3"/>
                <w:color w:val="auto"/>
              </w:rPr>
            </w:pPr>
          </w:p>
        </w:tc>
        <w:tc>
          <w:tcPr>
            <w:tcW w:w="400" w:type="dxa"/>
            <w:vAlign w:val="bottom"/>
            <w:tcBorders>
              <w:bottom w:val="single" w:sz="8" w:color="3A4967"/>
            </w:tcBorders>
          </w:tcPr>
          <w:p>
            <w:pPr>
              <w:spacing w:after="0"/>
              <w:rPr>
                <w:sz w:val="3"/>
                <w:szCs w:val="3"/>
                <w:color w:val="auto"/>
              </w:rPr>
            </w:pPr>
          </w:p>
        </w:tc>
        <w:tc>
          <w:tcPr>
            <w:tcW w:w="660" w:type="dxa"/>
            <w:vAlign w:val="bottom"/>
            <w:tcBorders>
              <w:bottom w:val="single" w:sz="8" w:color="3A4967"/>
            </w:tcBorders>
          </w:tcPr>
          <w:p>
            <w:pPr>
              <w:spacing w:after="0"/>
              <w:rPr>
                <w:sz w:val="3"/>
                <w:szCs w:val="3"/>
                <w:color w:val="auto"/>
              </w:rPr>
            </w:pPr>
          </w:p>
        </w:tc>
        <w:tc>
          <w:tcPr>
            <w:tcW w:w="42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920" w:type="dxa"/>
            <w:vAlign w:val="bottom"/>
            <w:tcBorders>
              <w:bottom w:val="single" w:sz="8" w:color="3A4967"/>
            </w:tcBorders>
          </w:tcPr>
          <w:p>
            <w:pPr>
              <w:spacing w:after="0"/>
              <w:rPr>
                <w:sz w:val="3"/>
                <w:szCs w:val="3"/>
                <w:color w:val="auto"/>
              </w:rPr>
            </w:pPr>
          </w:p>
        </w:tc>
        <w:tc>
          <w:tcPr>
            <w:tcW w:w="22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126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080" w:type="dxa"/>
            <w:vAlign w:val="bottom"/>
            <w:gridSpan w:val="3"/>
          </w:tcPr>
          <w:p>
            <w:pPr>
              <w:ind w:left="80"/>
              <w:spacing w:after="0"/>
              <w:rPr>
                <w:sz w:val="20"/>
                <w:szCs w:val="20"/>
                <w:color w:val="auto"/>
              </w:rPr>
            </w:pPr>
            <w:r>
              <w:rPr>
                <w:rFonts w:ascii="Arial" w:cs="Arial" w:eastAsia="Arial" w:hAnsi="Arial"/>
                <w:sz w:val="17"/>
                <w:szCs w:val="17"/>
                <w:color w:val="3A4967"/>
              </w:rPr>
              <w:t>The Boston Beer Company, Inc.</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277"/>
              <w:spacing w:after="0"/>
              <w:rPr>
                <w:sz w:val="20"/>
                <w:szCs w:val="20"/>
                <w:color w:val="auto"/>
              </w:rPr>
            </w:pPr>
            <w:r>
              <w:rPr>
                <w:rFonts w:ascii="Arial" w:cs="Arial" w:eastAsia="Arial" w:hAnsi="Arial"/>
                <w:sz w:val="17"/>
                <w:szCs w:val="17"/>
                <w:color w:val="3A4967"/>
              </w:rPr>
              <w:t>167.97</w:t>
            </w:r>
          </w:p>
        </w:tc>
        <w:tc>
          <w:tcPr>
            <w:tcW w:w="920" w:type="dxa"/>
            <w:vAlign w:val="bottom"/>
          </w:tcPr>
          <w:p>
            <w:pPr>
              <w:jc w:val="right"/>
              <w:spacing w:after="0"/>
              <w:rPr>
                <w:sz w:val="20"/>
                <w:szCs w:val="20"/>
                <w:color w:val="auto"/>
              </w:rPr>
            </w:pPr>
            <w:r>
              <w:rPr>
                <w:rFonts w:ascii="Arial" w:cs="Arial" w:eastAsia="Arial" w:hAnsi="Arial"/>
                <w:sz w:val="17"/>
                <w:szCs w:val="17"/>
                <w:color w:val="3A4967"/>
              </w:rPr>
              <w:t>(48.29)</w:t>
            </w:r>
          </w:p>
        </w:tc>
        <w:tc>
          <w:tcPr>
            <w:tcW w:w="220" w:type="dxa"/>
            <w:vAlign w:val="bottom"/>
          </w:tcPr>
          <w:p>
            <w:pPr>
              <w:spacing w:after="0"/>
              <w:rPr>
                <w:sz w:val="18"/>
                <w:szCs w:val="18"/>
                <w:color w:val="auto"/>
              </w:rPr>
            </w:pPr>
          </w:p>
        </w:tc>
        <w:tc>
          <w:tcPr>
            <w:tcW w:w="1160" w:type="dxa"/>
            <w:vAlign w:val="bottom"/>
          </w:tcPr>
          <w:p>
            <w:pPr>
              <w:jc w:val="right"/>
              <w:ind w:right="138"/>
              <w:spacing w:after="0"/>
              <w:rPr>
                <w:sz w:val="20"/>
                <w:szCs w:val="20"/>
                <w:color w:val="auto"/>
              </w:rPr>
            </w:pPr>
            <w:r>
              <w:rPr>
                <w:rFonts w:ascii="Arial" w:cs="Arial" w:eastAsia="Arial" w:hAnsi="Arial"/>
                <w:sz w:val="17"/>
                <w:szCs w:val="17"/>
                <w:color w:val="3A4967"/>
              </w:rPr>
              <w:t>(37.22)</w:t>
            </w:r>
          </w:p>
        </w:tc>
        <w:tc>
          <w:tcPr>
            <w:tcW w:w="1260" w:type="dxa"/>
            <w:vAlign w:val="bottom"/>
          </w:tcPr>
          <w:p>
            <w:pPr>
              <w:jc w:val="right"/>
              <w:ind w:right="276"/>
              <w:spacing w:after="0"/>
              <w:rPr>
                <w:sz w:val="20"/>
                <w:szCs w:val="20"/>
                <w:color w:val="auto"/>
              </w:rPr>
            </w:pPr>
            <w:r>
              <w:rPr>
                <w:rFonts w:ascii="Arial" w:cs="Arial" w:eastAsia="Arial" w:hAnsi="Arial"/>
                <w:sz w:val="17"/>
                <w:szCs w:val="17"/>
                <w:color w:val="3A4967"/>
              </w:rPr>
              <w:t>4.88</w:t>
            </w:r>
          </w:p>
        </w:tc>
        <w:tc>
          <w:tcPr>
            <w:tcW w:w="1020" w:type="dxa"/>
            <w:vAlign w:val="bottom"/>
          </w:tcPr>
          <w:p>
            <w:pPr>
              <w:jc w:val="right"/>
              <w:ind w:right="16"/>
              <w:spacing w:after="0"/>
              <w:rPr>
                <w:sz w:val="20"/>
                <w:szCs w:val="20"/>
                <w:color w:val="auto"/>
              </w:rPr>
            </w:pPr>
            <w:r>
              <w:rPr>
                <w:rFonts w:ascii="Arial" w:cs="Arial" w:eastAsia="Arial" w:hAnsi="Arial"/>
                <w:sz w:val="17"/>
                <w:szCs w:val="17"/>
                <w:color w:val="3A4967"/>
              </w:rPr>
              <w:t>(12.87)</w:t>
            </w:r>
          </w:p>
        </w:tc>
        <w:tc>
          <w:tcPr>
            <w:tcW w:w="0" w:type="dxa"/>
            <w:vAlign w:val="bottom"/>
          </w:tcPr>
          <w:p>
            <w:pPr>
              <w:spacing w:after="0"/>
              <w:rPr>
                <w:sz w:val="1"/>
                <w:szCs w:val="1"/>
                <w:color w:val="auto"/>
              </w:rPr>
            </w:pPr>
          </w:p>
        </w:tc>
      </w:tr>
      <w:tr>
        <w:trPr>
          <w:trHeight w:val="269"/>
        </w:trPr>
        <w:tc>
          <w:tcPr>
            <w:tcW w:w="2100" w:type="dxa"/>
            <w:vAlign w:val="bottom"/>
            <w:gridSpan w:val="2"/>
          </w:tcPr>
          <w:p>
            <w:pPr>
              <w:ind w:left="80"/>
              <w:spacing w:after="0"/>
              <w:rPr>
                <w:sz w:val="20"/>
                <w:szCs w:val="20"/>
                <w:color w:val="auto"/>
              </w:rPr>
            </w:pPr>
            <w:r>
              <w:rPr>
                <w:rFonts w:ascii="Arial" w:cs="Arial" w:eastAsia="Arial" w:hAnsi="Arial"/>
                <w:sz w:val="17"/>
                <w:szCs w:val="17"/>
                <w:color w:val="3A4967"/>
              </w:rPr>
              <w:t>S&amp;P 500 Index</w:t>
            </w: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77"/>
              <w:spacing w:after="0"/>
              <w:rPr>
                <w:sz w:val="20"/>
                <w:szCs w:val="20"/>
                <w:color w:val="auto"/>
              </w:rPr>
            </w:pPr>
            <w:r>
              <w:rPr>
                <w:rFonts w:ascii="Arial" w:cs="Arial" w:eastAsia="Arial" w:hAnsi="Arial"/>
                <w:sz w:val="17"/>
                <w:szCs w:val="17"/>
                <w:color w:val="3A4967"/>
              </w:rPr>
              <w:t>16.40</w:t>
            </w:r>
          </w:p>
        </w:tc>
        <w:tc>
          <w:tcPr>
            <w:tcW w:w="920" w:type="dxa"/>
            <w:vAlign w:val="bottom"/>
          </w:tcPr>
          <w:p>
            <w:pPr>
              <w:jc w:val="right"/>
              <w:spacing w:after="0"/>
              <w:rPr>
                <w:sz w:val="20"/>
                <w:szCs w:val="20"/>
                <w:color w:val="auto"/>
              </w:rPr>
            </w:pPr>
            <w:r>
              <w:rPr>
                <w:rFonts w:ascii="Arial" w:cs="Arial" w:eastAsia="Arial" w:hAnsi="Arial"/>
                <w:sz w:val="17"/>
                <w:szCs w:val="17"/>
                <w:color w:val="3A4967"/>
              </w:rPr>
              <w:t>29.44</w:t>
            </w:r>
          </w:p>
        </w:tc>
        <w:tc>
          <w:tcPr>
            <w:tcW w:w="220" w:type="dxa"/>
            <w:vAlign w:val="bottom"/>
          </w:tcPr>
          <w:p>
            <w:pPr>
              <w:spacing w:after="0"/>
              <w:rPr>
                <w:sz w:val="23"/>
                <w:szCs w:val="23"/>
                <w:color w:val="auto"/>
              </w:rPr>
            </w:pPr>
          </w:p>
        </w:tc>
        <w:tc>
          <w:tcPr>
            <w:tcW w:w="1160" w:type="dxa"/>
            <w:vAlign w:val="bottom"/>
          </w:tcPr>
          <w:p>
            <w:pPr>
              <w:jc w:val="right"/>
              <w:ind w:right="138"/>
              <w:spacing w:after="0"/>
              <w:rPr>
                <w:sz w:val="20"/>
                <w:szCs w:val="20"/>
                <w:color w:val="auto"/>
              </w:rPr>
            </w:pPr>
            <w:r>
              <w:rPr>
                <w:rFonts w:ascii="Arial" w:cs="Arial" w:eastAsia="Arial" w:hAnsi="Arial"/>
                <w:sz w:val="17"/>
                <w:szCs w:val="17"/>
                <w:color w:val="3A4967"/>
              </w:rPr>
              <w:t>(17.40)</w:t>
            </w:r>
          </w:p>
        </w:tc>
        <w:tc>
          <w:tcPr>
            <w:tcW w:w="1260" w:type="dxa"/>
            <w:vAlign w:val="bottom"/>
          </w:tcPr>
          <w:p>
            <w:pPr>
              <w:jc w:val="right"/>
              <w:ind w:right="276"/>
              <w:spacing w:after="0"/>
              <w:rPr>
                <w:sz w:val="20"/>
                <w:szCs w:val="20"/>
                <w:color w:val="auto"/>
              </w:rPr>
            </w:pPr>
            <w:r>
              <w:rPr>
                <w:rFonts w:ascii="Arial" w:cs="Arial" w:eastAsia="Arial" w:hAnsi="Arial"/>
                <w:sz w:val="17"/>
                <w:szCs w:val="17"/>
                <w:color w:val="3A4967"/>
              </w:rPr>
              <w:t>26.29</w:t>
            </w:r>
          </w:p>
        </w:tc>
        <w:tc>
          <w:tcPr>
            <w:tcW w:w="1020" w:type="dxa"/>
            <w:vAlign w:val="bottom"/>
          </w:tcPr>
          <w:p>
            <w:pPr>
              <w:jc w:val="right"/>
              <w:ind w:right="56"/>
              <w:spacing w:after="0"/>
              <w:rPr>
                <w:sz w:val="20"/>
                <w:szCs w:val="20"/>
                <w:color w:val="auto"/>
              </w:rPr>
            </w:pPr>
            <w:r>
              <w:rPr>
                <w:rFonts w:ascii="Arial" w:cs="Arial" w:eastAsia="Arial" w:hAnsi="Arial"/>
                <w:sz w:val="17"/>
                <w:szCs w:val="17"/>
                <w:color w:val="3A4967"/>
              </w:rPr>
              <w:t>26.90</w:t>
            </w:r>
          </w:p>
        </w:tc>
        <w:tc>
          <w:tcPr>
            <w:tcW w:w="0" w:type="dxa"/>
            <w:vAlign w:val="bottom"/>
          </w:tcPr>
          <w:p>
            <w:pPr>
              <w:spacing w:after="0"/>
              <w:rPr>
                <w:sz w:val="1"/>
                <w:szCs w:val="1"/>
                <w:color w:val="auto"/>
              </w:rPr>
            </w:pPr>
          </w:p>
        </w:tc>
      </w:tr>
      <w:tr>
        <w:trPr>
          <w:trHeight w:val="276"/>
        </w:trPr>
        <w:tc>
          <w:tcPr>
            <w:tcW w:w="2100" w:type="dxa"/>
            <w:vAlign w:val="bottom"/>
            <w:gridSpan w:val="2"/>
          </w:tcPr>
          <w:p>
            <w:pPr>
              <w:ind w:left="80"/>
              <w:spacing w:after="0"/>
              <w:rPr>
                <w:sz w:val="20"/>
                <w:szCs w:val="20"/>
                <w:color w:val="auto"/>
              </w:rPr>
            </w:pPr>
            <w:r>
              <w:rPr>
                <w:rFonts w:ascii="Arial" w:cs="Arial" w:eastAsia="Arial" w:hAnsi="Arial"/>
                <w:sz w:val="17"/>
                <w:szCs w:val="17"/>
                <w:color w:val="3A4967"/>
              </w:rPr>
              <w:t>S&amp;P 500 Beverages Index</w:t>
            </w: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77"/>
              <w:spacing w:after="0"/>
              <w:rPr>
                <w:sz w:val="20"/>
                <w:szCs w:val="20"/>
                <w:color w:val="auto"/>
              </w:rPr>
            </w:pPr>
            <w:r>
              <w:rPr>
                <w:rFonts w:ascii="Arial" w:cs="Arial" w:eastAsia="Arial" w:hAnsi="Arial"/>
                <w:sz w:val="17"/>
                <w:szCs w:val="17"/>
                <w:color w:val="3A4967"/>
              </w:rPr>
              <w:t>6.56</w:t>
            </w:r>
          </w:p>
        </w:tc>
        <w:tc>
          <w:tcPr>
            <w:tcW w:w="920" w:type="dxa"/>
            <w:vAlign w:val="bottom"/>
          </w:tcPr>
          <w:p>
            <w:pPr>
              <w:jc w:val="right"/>
              <w:spacing w:after="0"/>
              <w:rPr>
                <w:sz w:val="20"/>
                <w:szCs w:val="20"/>
                <w:color w:val="auto"/>
              </w:rPr>
            </w:pPr>
            <w:r>
              <w:rPr>
                <w:rFonts w:ascii="Arial" w:cs="Arial" w:eastAsia="Arial" w:hAnsi="Arial"/>
                <w:sz w:val="17"/>
                <w:szCs w:val="17"/>
                <w:color w:val="3A4967"/>
              </w:rPr>
              <w:t>14.51</w:t>
            </w:r>
          </w:p>
        </w:tc>
        <w:tc>
          <w:tcPr>
            <w:tcW w:w="220" w:type="dxa"/>
            <w:vAlign w:val="bottom"/>
          </w:tcPr>
          <w:p>
            <w:pPr>
              <w:spacing w:after="0"/>
              <w:rPr>
                <w:sz w:val="23"/>
                <w:szCs w:val="23"/>
                <w:color w:val="auto"/>
              </w:rPr>
            </w:pPr>
          </w:p>
        </w:tc>
        <w:tc>
          <w:tcPr>
            <w:tcW w:w="1160" w:type="dxa"/>
            <w:vAlign w:val="bottom"/>
          </w:tcPr>
          <w:p>
            <w:pPr>
              <w:jc w:val="right"/>
              <w:ind w:right="178"/>
              <w:spacing w:after="0"/>
              <w:rPr>
                <w:sz w:val="20"/>
                <w:szCs w:val="20"/>
                <w:color w:val="auto"/>
              </w:rPr>
            </w:pPr>
            <w:r>
              <w:rPr>
                <w:rFonts w:ascii="Arial" w:cs="Arial" w:eastAsia="Arial" w:hAnsi="Arial"/>
                <w:sz w:val="17"/>
                <w:szCs w:val="17"/>
                <w:color w:val="3A4967"/>
              </w:rPr>
              <w:t>8.93</w:t>
            </w:r>
          </w:p>
        </w:tc>
        <w:tc>
          <w:tcPr>
            <w:tcW w:w="1260" w:type="dxa"/>
            <w:vAlign w:val="bottom"/>
          </w:tcPr>
          <w:p>
            <w:pPr>
              <w:jc w:val="right"/>
              <w:ind w:right="236"/>
              <w:spacing w:after="0"/>
              <w:rPr>
                <w:sz w:val="20"/>
                <w:szCs w:val="20"/>
                <w:color w:val="auto"/>
              </w:rPr>
            </w:pPr>
            <w:r>
              <w:rPr>
                <w:rFonts w:ascii="Arial" w:cs="Arial" w:eastAsia="Arial" w:hAnsi="Arial"/>
                <w:sz w:val="17"/>
                <w:szCs w:val="17"/>
                <w:color w:val="3A4967"/>
              </w:rPr>
              <w:t>(1.98)</w:t>
            </w:r>
          </w:p>
        </w:tc>
        <w:tc>
          <w:tcPr>
            <w:tcW w:w="1020" w:type="dxa"/>
            <w:vAlign w:val="bottom"/>
          </w:tcPr>
          <w:p>
            <w:pPr>
              <w:jc w:val="right"/>
              <w:ind w:right="16"/>
              <w:spacing w:after="0"/>
              <w:rPr>
                <w:sz w:val="20"/>
                <w:szCs w:val="20"/>
                <w:color w:val="auto"/>
              </w:rPr>
            </w:pPr>
            <w:r>
              <w:rPr>
                <w:rFonts w:ascii="Arial" w:cs="Arial" w:eastAsia="Arial" w:hAnsi="Arial"/>
                <w:sz w:val="17"/>
                <w:szCs w:val="17"/>
                <w:color w:val="3A4967"/>
              </w:rPr>
              <w:t>(0.89)</w:t>
            </w:r>
          </w:p>
        </w:tc>
        <w:tc>
          <w:tcPr>
            <w:tcW w:w="0" w:type="dxa"/>
            <w:vAlign w:val="bottom"/>
          </w:tcPr>
          <w:p>
            <w:pPr>
              <w:spacing w:after="0"/>
              <w:rPr>
                <w:sz w:val="1"/>
                <w:szCs w:val="1"/>
                <w:color w:val="auto"/>
              </w:rPr>
            </w:pPr>
          </w:p>
        </w:tc>
      </w:tr>
      <w:tr>
        <w:trPr>
          <w:trHeight w:val="56"/>
        </w:trPr>
        <w:tc>
          <w:tcPr>
            <w:tcW w:w="960" w:type="dxa"/>
            <w:vAlign w:val="bottom"/>
            <w:tcBorders>
              <w:bottom w:val="single" w:sz="8" w:color="3A4967"/>
            </w:tcBorders>
          </w:tcPr>
          <w:p>
            <w:pPr>
              <w:spacing w:after="0"/>
              <w:rPr>
                <w:sz w:val="4"/>
                <w:szCs w:val="4"/>
                <w:color w:val="auto"/>
              </w:rPr>
            </w:pPr>
          </w:p>
        </w:tc>
        <w:tc>
          <w:tcPr>
            <w:tcW w:w="1140" w:type="dxa"/>
            <w:vAlign w:val="bottom"/>
            <w:tcBorders>
              <w:bottom w:val="single" w:sz="8" w:color="3A4967"/>
            </w:tcBorders>
          </w:tcPr>
          <w:p>
            <w:pPr>
              <w:spacing w:after="0"/>
              <w:rPr>
                <w:sz w:val="4"/>
                <w:szCs w:val="4"/>
                <w:color w:val="auto"/>
              </w:rPr>
            </w:pPr>
          </w:p>
        </w:tc>
        <w:tc>
          <w:tcPr>
            <w:tcW w:w="980" w:type="dxa"/>
            <w:vAlign w:val="bottom"/>
            <w:tcBorders>
              <w:bottom w:val="single" w:sz="8" w:color="3A4967"/>
            </w:tcBorders>
          </w:tcPr>
          <w:p>
            <w:pPr>
              <w:spacing w:after="0"/>
              <w:rPr>
                <w:sz w:val="4"/>
                <w:szCs w:val="4"/>
                <w:color w:val="auto"/>
              </w:rPr>
            </w:pPr>
          </w:p>
        </w:tc>
        <w:tc>
          <w:tcPr>
            <w:tcW w:w="400" w:type="dxa"/>
            <w:vAlign w:val="bottom"/>
            <w:tcBorders>
              <w:bottom w:val="single" w:sz="8" w:color="3A4967"/>
            </w:tcBorders>
          </w:tcPr>
          <w:p>
            <w:pPr>
              <w:spacing w:after="0"/>
              <w:rPr>
                <w:sz w:val="4"/>
                <w:szCs w:val="4"/>
                <w:color w:val="auto"/>
              </w:rPr>
            </w:pPr>
          </w:p>
        </w:tc>
        <w:tc>
          <w:tcPr>
            <w:tcW w:w="660" w:type="dxa"/>
            <w:vAlign w:val="bottom"/>
            <w:tcBorders>
              <w:bottom w:val="single" w:sz="8" w:color="3A4967"/>
            </w:tcBorders>
          </w:tcPr>
          <w:p>
            <w:pPr>
              <w:spacing w:after="0"/>
              <w:rPr>
                <w:sz w:val="4"/>
                <w:szCs w:val="4"/>
                <w:color w:val="auto"/>
              </w:rPr>
            </w:pPr>
          </w:p>
        </w:tc>
        <w:tc>
          <w:tcPr>
            <w:tcW w:w="420" w:type="dxa"/>
            <w:vAlign w:val="bottom"/>
            <w:tcBorders>
              <w:bottom w:val="single" w:sz="8" w:color="3A4967"/>
            </w:tcBorders>
          </w:tcPr>
          <w:p>
            <w:pPr>
              <w:spacing w:after="0"/>
              <w:rPr>
                <w:sz w:val="4"/>
                <w:szCs w:val="4"/>
                <w:color w:val="auto"/>
              </w:rPr>
            </w:pPr>
          </w:p>
        </w:tc>
        <w:tc>
          <w:tcPr>
            <w:tcW w:w="1040" w:type="dxa"/>
            <w:vAlign w:val="bottom"/>
            <w:tcBorders>
              <w:bottom w:val="single" w:sz="8" w:color="3A4967"/>
            </w:tcBorders>
          </w:tcPr>
          <w:p>
            <w:pPr>
              <w:spacing w:after="0"/>
              <w:rPr>
                <w:sz w:val="4"/>
                <w:szCs w:val="4"/>
                <w:color w:val="auto"/>
              </w:rPr>
            </w:pPr>
          </w:p>
        </w:tc>
        <w:tc>
          <w:tcPr>
            <w:tcW w:w="920" w:type="dxa"/>
            <w:vAlign w:val="bottom"/>
            <w:tcBorders>
              <w:bottom w:val="single" w:sz="8" w:color="3A4967"/>
            </w:tcBorders>
          </w:tcPr>
          <w:p>
            <w:pPr>
              <w:spacing w:after="0"/>
              <w:rPr>
                <w:sz w:val="4"/>
                <w:szCs w:val="4"/>
                <w:color w:val="auto"/>
              </w:rPr>
            </w:pPr>
          </w:p>
        </w:tc>
        <w:tc>
          <w:tcPr>
            <w:tcW w:w="1380" w:type="dxa"/>
            <w:vAlign w:val="bottom"/>
            <w:tcBorders>
              <w:bottom w:val="single" w:sz="8" w:color="3A4967"/>
            </w:tcBorders>
            <w:gridSpan w:val="2"/>
          </w:tcPr>
          <w:p>
            <w:pPr>
              <w:spacing w:after="0"/>
              <w:rPr>
                <w:sz w:val="4"/>
                <w:szCs w:val="4"/>
                <w:color w:val="auto"/>
              </w:rPr>
            </w:pPr>
          </w:p>
        </w:tc>
        <w:tc>
          <w:tcPr>
            <w:tcW w:w="1260" w:type="dxa"/>
            <w:vAlign w:val="bottom"/>
            <w:tcBorders>
              <w:bottom w:val="single" w:sz="8" w:color="3A4967"/>
            </w:tcBorders>
          </w:tcPr>
          <w:p>
            <w:pPr>
              <w:spacing w:after="0"/>
              <w:rPr>
                <w:sz w:val="4"/>
                <w:szCs w:val="4"/>
                <w:color w:val="auto"/>
              </w:rPr>
            </w:pPr>
          </w:p>
        </w:tc>
        <w:tc>
          <w:tcPr>
            <w:tcW w:w="1020" w:type="dxa"/>
            <w:vAlign w:val="bottom"/>
            <w:tcBorders>
              <w:bottom w:val="single" w:sz="8" w:color="3A4967"/>
            </w:tcBorders>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gridSpan w:val="3"/>
          </w:tcPr>
          <w:p>
            <w:pPr>
              <w:jc w:val="right"/>
              <w:ind w:right="418"/>
              <w:spacing w:after="0"/>
              <w:rPr>
                <w:sz w:val="20"/>
                <w:szCs w:val="20"/>
                <w:color w:val="auto"/>
              </w:rPr>
            </w:pPr>
            <w:r>
              <w:rPr>
                <w:rFonts w:ascii="Arial" w:cs="Arial" w:eastAsia="Arial" w:hAnsi="Arial"/>
                <w:sz w:val="16"/>
                <w:szCs w:val="16"/>
                <w:b w:val="1"/>
                <w:bCs w:val="1"/>
                <w:color w:val="3A4967"/>
              </w:rPr>
              <w:t>INDEXED RETURNS</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00" w:type="dxa"/>
            <w:vAlign w:val="bottom"/>
            <w:gridSpan w:val="3"/>
          </w:tcPr>
          <w:p>
            <w:pPr>
              <w:jc w:val="right"/>
              <w:ind w:right="698"/>
              <w:spacing w:after="0"/>
              <w:rPr>
                <w:sz w:val="20"/>
                <w:szCs w:val="20"/>
                <w:color w:val="auto"/>
              </w:rPr>
            </w:pPr>
            <w:r>
              <w:rPr>
                <w:rFonts w:ascii="Arial" w:cs="Arial" w:eastAsia="Arial" w:hAnsi="Arial"/>
                <w:sz w:val="16"/>
                <w:szCs w:val="16"/>
                <w:b w:val="1"/>
                <w:bCs w:val="1"/>
                <w:color w:val="3A4967"/>
              </w:rPr>
              <w:t>Years Ending</w:t>
            </w: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Borders>
              <w:bottom w:val="single" w:sz="8" w:color="3A4967"/>
            </w:tcBorders>
          </w:tcPr>
          <w:p>
            <w:pPr>
              <w:spacing w:after="0"/>
              <w:rPr>
                <w:sz w:val="3"/>
                <w:szCs w:val="3"/>
                <w:color w:val="auto"/>
              </w:rPr>
            </w:pPr>
          </w:p>
        </w:tc>
        <w:tc>
          <w:tcPr>
            <w:tcW w:w="1080" w:type="dxa"/>
            <w:vAlign w:val="bottom"/>
            <w:tcBorders>
              <w:bottom w:val="single" w:sz="8" w:color="3A4967"/>
            </w:tcBorders>
            <w:gridSpan w:val="2"/>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920" w:type="dxa"/>
            <w:vAlign w:val="bottom"/>
            <w:tcBorders>
              <w:bottom w:val="single" w:sz="8" w:color="3A4967"/>
            </w:tcBorders>
          </w:tcPr>
          <w:p>
            <w:pPr>
              <w:spacing w:after="0"/>
              <w:rPr>
                <w:sz w:val="3"/>
                <w:szCs w:val="3"/>
                <w:color w:val="auto"/>
              </w:rPr>
            </w:pPr>
          </w:p>
        </w:tc>
        <w:tc>
          <w:tcPr>
            <w:tcW w:w="22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126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3A4967"/>
                <w:w w:val="99"/>
              </w:rPr>
              <w:t>Base Period</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00" w:type="dxa"/>
            <w:vAlign w:val="bottom"/>
            <w:gridSpan w:val="2"/>
          </w:tcPr>
          <w:p>
            <w:pPr>
              <w:ind w:left="80"/>
              <w:spacing w:after="0"/>
              <w:rPr>
                <w:sz w:val="20"/>
                <w:szCs w:val="20"/>
                <w:color w:val="auto"/>
              </w:rPr>
            </w:pPr>
            <w:r>
              <w:rPr>
                <w:rFonts w:ascii="Arial" w:cs="Arial" w:eastAsia="Arial" w:hAnsi="Arial"/>
                <w:sz w:val="16"/>
                <w:szCs w:val="16"/>
                <w:b w:val="1"/>
                <w:bCs w:val="1"/>
                <w:color w:val="3A4967"/>
              </w:rPr>
              <w:t>Company Name / Index</w:t>
            </w: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3A4967"/>
              </w:rPr>
              <w:t>12/28/2019</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3A4967"/>
              </w:rPr>
              <w:t>12/26/2020</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12/25/2021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3A4967"/>
              </w:rPr>
              <w:t>12/31/2022</w:t>
            </w:r>
          </w:p>
        </w:tc>
        <w:tc>
          <w:tcPr>
            <w:tcW w:w="1260" w:type="dxa"/>
            <w:vAlign w:val="bottom"/>
          </w:tcPr>
          <w:p>
            <w:pPr>
              <w:jc w:val="right"/>
              <w:ind w:right="116"/>
              <w:spacing w:after="0"/>
              <w:rPr>
                <w:sz w:val="20"/>
                <w:szCs w:val="20"/>
                <w:color w:val="auto"/>
              </w:rPr>
            </w:pPr>
            <w:r>
              <w:rPr>
                <w:rFonts w:ascii="Arial" w:cs="Arial" w:eastAsia="Arial" w:hAnsi="Arial"/>
                <w:sz w:val="16"/>
                <w:szCs w:val="16"/>
                <w:b w:val="1"/>
                <w:bCs w:val="1"/>
                <w:color w:val="3A4967"/>
              </w:rPr>
              <w:t>12/30/2023</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3A4967"/>
              </w:rPr>
              <w:t>12/28/2024</w:t>
            </w:r>
          </w:p>
        </w:tc>
        <w:tc>
          <w:tcPr>
            <w:tcW w:w="0" w:type="dxa"/>
            <w:vAlign w:val="bottom"/>
          </w:tcPr>
          <w:p>
            <w:pPr>
              <w:spacing w:after="0"/>
              <w:rPr>
                <w:sz w:val="1"/>
                <w:szCs w:val="1"/>
                <w:color w:val="auto"/>
              </w:rPr>
            </w:pPr>
          </w:p>
        </w:tc>
      </w:tr>
      <w:tr>
        <w:trPr>
          <w:trHeight w:val="36"/>
        </w:trPr>
        <w:tc>
          <w:tcPr>
            <w:tcW w:w="960" w:type="dxa"/>
            <w:vAlign w:val="bottom"/>
            <w:tcBorders>
              <w:bottom w:val="single" w:sz="8" w:color="3A4967"/>
            </w:tcBorders>
          </w:tcPr>
          <w:p>
            <w:pPr>
              <w:spacing w:after="0"/>
              <w:rPr>
                <w:sz w:val="3"/>
                <w:szCs w:val="3"/>
                <w:color w:val="auto"/>
              </w:rPr>
            </w:pPr>
          </w:p>
        </w:tc>
        <w:tc>
          <w:tcPr>
            <w:tcW w:w="2120" w:type="dxa"/>
            <w:vAlign w:val="bottom"/>
            <w:tcBorders>
              <w:bottom w:val="single" w:sz="8" w:color="3A4967"/>
            </w:tcBorders>
            <w:gridSpan w:val="2"/>
          </w:tcPr>
          <w:p>
            <w:pPr>
              <w:spacing w:after="0"/>
              <w:rPr>
                <w:sz w:val="3"/>
                <w:szCs w:val="3"/>
                <w:color w:val="auto"/>
              </w:rPr>
            </w:pPr>
          </w:p>
        </w:tc>
        <w:tc>
          <w:tcPr>
            <w:tcW w:w="400" w:type="dxa"/>
            <w:vAlign w:val="bottom"/>
            <w:tcBorders>
              <w:bottom w:val="single" w:sz="8" w:color="3A4967"/>
            </w:tcBorders>
          </w:tcPr>
          <w:p>
            <w:pPr>
              <w:spacing w:after="0"/>
              <w:rPr>
                <w:sz w:val="3"/>
                <w:szCs w:val="3"/>
                <w:color w:val="auto"/>
              </w:rPr>
            </w:pPr>
          </w:p>
        </w:tc>
        <w:tc>
          <w:tcPr>
            <w:tcW w:w="1080" w:type="dxa"/>
            <w:vAlign w:val="bottom"/>
            <w:tcBorders>
              <w:bottom w:val="single" w:sz="8" w:color="3A4967"/>
            </w:tcBorders>
            <w:gridSpan w:val="2"/>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920" w:type="dxa"/>
            <w:vAlign w:val="bottom"/>
            <w:tcBorders>
              <w:bottom w:val="single" w:sz="8" w:color="3A4967"/>
            </w:tcBorders>
          </w:tcPr>
          <w:p>
            <w:pPr>
              <w:spacing w:after="0"/>
              <w:rPr>
                <w:sz w:val="3"/>
                <w:szCs w:val="3"/>
                <w:color w:val="auto"/>
              </w:rPr>
            </w:pPr>
          </w:p>
        </w:tc>
        <w:tc>
          <w:tcPr>
            <w:tcW w:w="22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126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080" w:type="dxa"/>
            <w:vAlign w:val="bottom"/>
            <w:gridSpan w:val="3"/>
          </w:tcPr>
          <w:p>
            <w:pPr>
              <w:ind w:left="80"/>
              <w:spacing w:after="0"/>
              <w:rPr>
                <w:sz w:val="20"/>
                <w:szCs w:val="20"/>
                <w:color w:val="auto"/>
              </w:rPr>
            </w:pPr>
            <w:r>
              <w:rPr>
                <w:rFonts w:ascii="Arial" w:cs="Arial" w:eastAsia="Arial" w:hAnsi="Arial"/>
                <w:sz w:val="17"/>
                <w:szCs w:val="17"/>
                <w:color w:val="3A4967"/>
              </w:rPr>
              <w:t>The Boston Beer Company, Inc.</w:t>
            </w:r>
          </w:p>
        </w:tc>
        <w:tc>
          <w:tcPr>
            <w:tcW w:w="4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3A4967"/>
              </w:rPr>
              <w:t>100</w:t>
            </w:r>
          </w:p>
        </w:tc>
        <w:tc>
          <w:tcPr>
            <w:tcW w:w="1040" w:type="dxa"/>
            <w:vAlign w:val="bottom"/>
          </w:tcPr>
          <w:p>
            <w:pPr>
              <w:jc w:val="right"/>
              <w:spacing w:after="0"/>
              <w:rPr>
                <w:sz w:val="20"/>
                <w:szCs w:val="20"/>
                <w:color w:val="auto"/>
              </w:rPr>
            </w:pPr>
            <w:r>
              <w:rPr>
                <w:rFonts w:ascii="Arial" w:cs="Arial" w:eastAsia="Arial" w:hAnsi="Arial"/>
                <w:sz w:val="17"/>
                <w:szCs w:val="17"/>
                <w:color w:val="3A4967"/>
              </w:rPr>
              <w:t>424.98</w:t>
            </w:r>
          </w:p>
        </w:tc>
        <w:tc>
          <w:tcPr>
            <w:tcW w:w="1140" w:type="dxa"/>
            <w:vAlign w:val="bottom"/>
            <w:gridSpan w:val="2"/>
          </w:tcPr>
          <w:p>
            <w:pPr>
              <w:jc w:val="right"/>
              <w:spacing w:after="0"/>
              <w:rPr>
                <w:sz w:val="20"/>
                <w:szCs w:val="20"/>
                <w:color w:val="auto"/>
              </w:rPr>
            </w:pPr>
            <w:r>
              <w:rPr>
                <w:rFonts w:ascii="Arial" w:cs="Arial" w:eastAsia="Arial" w:hAnsi="Arial"/>
                <w:sz w:val="17"/>
                <w:szCs w:val="17"/>
                <w:color w:val="3A4967"/>
              </w:rPr>
              <w:t>219.78</w:t>
            </w:r>
          </w:p>
        </w:tc>
        <w:tc>
          <w:tcPr>
            <w:tcW w:w="1160" w:type="dxa"/>
            <w:vAlign w:val="bottom"/>
          </w:tcPr>
          <w:p>
            <w:pPr>
              <w:jc w:val="right"/>
              <w:spacing w:after="0"/>
              <w:rPr>
                <w:sz w:val="20"/>
                <w:szCs w:val="20"/>
                <w:color w:val="auto"/>
              </w:rPr>
            </w:pPr>
            <w:r>
              <w:rPr>
                <w:rFonts w:ascii="Arial" w:cs="Arial" w:eastAsia="Arial" w:hAnsi="Arial"/>
                <w:sz w:val="17"/>
                <w:szCs w:val="17"/>
                <w:color w:val="3A4967"/>
              </w:rPr>
              <w:t>137.98</w:t>
            </w:r>
          </w:p>
        </w:tc>
        <w:tc>
          <w:tcPr>
            <w:tcW w:w="1260" w:type="dxa"/>
            <w:vAlign w:val="bottom"/>
          </w:tcPr>
          <w:p>
            <w:pPr>
              <w:jc w:val="right"/>
              <w:ind w:right="116"/>
              <w:spacing w:after="0"/>
              <w:rPr>
                <w:sz w:val="20"/>
                <w:szCs w:val="20"/>
                <w:color w:val="auto"/>
              </w:rPr>
            </w:pPr>
            <w:r>
              <w:rPr>
                <w:rFonts w:ascii="Arial" w:cs="Arial" w:eastAsia="Arial" w:hAnsi="Arial"/>
                <w:sz w:val="17"/>
                <w:szCs w:val="17"/>
                <w:color w:val="3A4967"/>
              </w:rPr>
              <w:t>144.71</w:t>
            </w:r>
          </w:p>
        </w:tc>
        <w:tc>
          <w:tcPr>
            <w:tcW w:w="1020" w:type="dxa"/>
            <w:vAlign w:val="bottom"/>
          </w:tcPr>
          <w:p>
            <w:pPr>
              <w:jc w:val="right"/>
              <w:spacing w:after="0"/>
              <w:rPr>
                <w:sz w:val="20"/>
                <w:szCs w:val="20"/>
                <w:color w:val="auto"/>
              </w:rPr>
            </w:pPr>
            <w:r>
              <w:rPr>
                <w:rFonts w:ascii="Arial" w:cs="Arial" w:eastAsia="Arial" w:hAnsi="Arial"/>
                <w:sz w:val="17"/>
                <w:szCs w:val="17"/>
                <w:color w:val="3A4967"/>
              </w:rPr>
              <w:t>79.50</w:t>
            </w:r>
          </w:p>
        </w:tc>
        <w:tc>
          <w:tcPr>
            <w:tcW w:w="0" w:type="dxa"/>
            <w:vAlign w:val="bottom"/>
          </w:tcPr>
          <w:p>
            <w:pPr>
              <w:spacing w:after="0"/>
              <w:rPr>
                <w:sz w:val="1"/>
                <w:szCs w:val="1"/>
                <w:color w:val="auto"/>
              </w:rPr>
            </w:pPr>
          </w:p>
        </w:tc>
      </w:tr>
      <w:tr>
        <w:trPr>
          <w:trHeight w:val="269"/>
        </w:trPr>
        <w:tc>
          <w:tcPr>
            <w:tcW w:w="2100" w:type="dxa"/>
            <w:vAlign w:val="bottom"/>
            <w:gridSpan w:val="2"/>
          </w:tcPr>
          <w:p>
            <w:pPr>
              <w:ind w:left="80"/>
              <w:spacing w:after="0"/>
              <w:rPr>
                <w:sz w:val="20"/>
                <w:szCs w:val="20"/>
                <w:color w:val="auto"/>
              </w:rPr>
            </w:pPr>
            <w:r>
              <w:rPr>
                <w:rFonts w:ascii="Arial" w:cs="Arial" w:eastAsia="Arial" w:hAnsi="Arial"/>
                <w:sz w:val="17"/>
                <w:szCs w:val="17"/>
                <w:color w:val="3A4967"/>
              </w:rPr>
              <w:t>S&amp;P 500 Index</w:t>
            </w: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3A4967"/>
              </w:rPr>
              <w:t>100</w:t>
            </w:r>
          </w:p>
        </w:tc>
        <w:tc>
          <w:tcPr>
            <w:tcW w:w="1040" w:type="dxa"/>
            <w:vAlign w:val="bottom"/>
          </w:tcPr>
          <w:p>
            <w:pPr>
              <w:jc w:val="right"/>
              <w:spacing w:after="0"/>
              <w:rPr>
                <w:sz w:val="20"/>
                <w:szCs w:val="20"/>
                <w:color w:val="auto"/>
              </w:rPr>
            </w:pPr>
            <w:r>
              <w:rPr>
                <w:rFonts w:ascii="Arial" w:cs="Arial" w:eastAsia="Arial" w:hAnsi="Arial"/>
                <w:sz w:val="17"/>
                <w:szCs w:val="17"/>
                <w:color w:val="3A4967"/>
              </w:rPr>
              <w:t>154.78</w:t>
            </w:r>
          </w:p>
        </w:tc>
        <w:tc>
          <w:tcPr>
            <w:tcW w:w="1140" w:type="dxa"/>
            <w:vAlign w:val="bottom"/>
            <w:gridSpan w:val="2"/>
          </w:tcPr>
          <w:p>
            <w:pPr>
              <w:jc w:val="right"/>
              <w:spacing w:after="0"/>
              <w:rPr>
                <w:sz w:val="20"/>
                <w:szCs w:val="20"/>
                <w:color w:val="auto"/>
              </w:rPr>
            </w:pPr>
            <w:r>
              <w:rPr>
                <w:rFonts w:ascii="Arial" w:cs="Arial" w:eastAsia="Arial" w:hAnsi="Arial"/>
                <w:sz w:val="17"/>
                <w:szCs w:val="17"/>
                <w:color w:val="3A4967"/>
              </w:rPr>
              <w:t>200.35</w:t>
            </w:r>
          </w:p>
        </w:tc>
        <w:tc>
          <w:tcPr>
            <w:tcW w:w="1160" w:type="dxa"/>
            <w:vAlign w:val="bottom"/>
          </w:tcPr>
          <w:p>
            <w:pPr>
              <w:jc w:val="right"/>
              <w:spacing w:after="0"/>
              <w:rPr>
                <w:sz w:val="20"/>
                <w:szCs w:val="20"/>
                <w:color w:val="auto"/>
              </w:rPr>
            </w:pPr>
            <w:r>
              <w:rPr>
                <w:rFonts w:ascii="Arial" w:cs="Arial" w:eastAsia="Arial" w:hAnsi="Arial"/>
                <w:sz w:val="17"/>
                <w:szCs w:val="17"/>
                <w:color w:val="3A4967"/>
              </w:rPr>
              <w:t>165.49</w:t>
            </w:r>
          </w:p>
        </w:tc>
        <w:tc>
          <w:tcPr>
            <w:tcW w:w="1260" w:type="dxa"/>
            <w:vAlign w:val="bottom"/>
          </w:tcPr>
          <w:p>
            <w:pPr>
              <w:jc w:val="right"/>
              <w:ind w:right="116"/>
              <w:spacing w:after="0"/>
              <w:rPr>
                <w:sz w:val="20"/>
                <w:szCs w:val="20"/>
                <w:color w:val="auto"/>
              </w:rPr>
            </w:pPr>
            <w:r>
              <w:rPr>
                <w:rFonts w:ascii="Arial" w:cs="Arial" w:eastAsia="Arial" w:hAnsi="Arial"/>
                <w:sz w:val="17"/>
                <w:szCs w:val="17"/>
                <w:color w:val="3A4967"/>
              </w:rPr>
              <w:t>209.00</w:t>
            </w:r>
          </w:p>
        </w:tc>
        <w:tc>
          <w:tcPr>
            <w:tcW w:w="1020" w:type="dxa"/>
            <w:vAlign w:val="bottom"/>
          </w:tcPr>
          <w:p>
            <w:pPr>
              <w:jc w:val="right"/>
              <w:spacing w:after="0"/>
              <w:rPr>
                <w:sz w:val="20"/>
                <w:szCs w:val="20"/>
                <w:color w:val="auto"/>
              </w:rPr>
            </w:pPr>
            <w:r>
              <w:rPr>
                <w:rFonts w:ascii="Arial" w:cs="Arial" w:eastAsia="Arial" w:hAnsi="Arial"/>
                <w:sz w:val="17"/>
                <w:szCs w:val="17"/>
                <w:color w:val="3A4967"/>
              </w:rPr>
              <w:t>199.46</w:t>
            </w:r>
          </w:p>
        </w:tc>
        <w:tc>
          <w:tcPr>
            <w:tcW w:w="0" w:type="dxa"/>
            <w:vAlign w:val="bottom"/>
          </w:tcPr>
          <w:p>
            <w:pPr>
              <w:spacing w:after="0"/>
              <w:rPr>
                <w:sz w:val="1"/>
                <w:szCs w:val="1"/>
                <w:color w:val="auto"/>
              </w:rPr>
            </w:pPr>
          </w:p>
        </w:tc>
      </w:tr>
      <w:tr>
        <w:trPr>
          <w:trHeight w:val="269"/>
        </w:trPr>
        <w:tc>
          <w:tcPr>
            <w:tcW w:w="2100" w:type="dxa"/>
            <w:vAlign w:val="bottom"/>
            <w:gridSpan w:val="2"/>
          </w:tcPr>
          <w:p>
            <w:pPr>
              <w:ind w:left="80"/>
              <w:spacing w:after="0"/>
              <w:rPr>
                <w:sz w:val="20"/>
                <w:szCs w:val="20"/>
                <w:color w:val="auto"/>
              </w:rPr>
            </w:pPr>
            <w:r>
              <w:rPr>
                <w:rFonts w:ascii="Arial" w:cs="Arial" w:eastAsia="Arial" w:hAnsi="Arial"/>
                <w:sz w:val="17"/>
                <w:szCs w:val="17"/>
                <w:color w:val="3A4967"/>
              </w:rPr>
              <w:t>S&amp;P 500 Beverages Index</w:t>
            </w: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3A4967"/>
              </w:rPr>
              <w:t>100</w:t>
            </w:r>
          </w:p>
        </w:tc>
        <w:tc>
          <w:tcPr>
            <w:tcW w:w="1040" w:type="dxa"/>
            <w:vAlign w:val="bottom"/>
          </w:tcPr>
          <w:p>
            <w:pPr>
              <w:jc w:val="right"/>
              <w:spacing w:after="0"/>
              <w:rPr>
                <w:sz w:val="20"/>
                <w:szCs w:val="20"/>
                <w:color w:val="auto"/>
              </w:rPr>
            </w:pPr>
            <w:r>
              <w:rPr>
                <w:rFonts w:ascii="Arial" w:cs="Arial" w:eastAsia="Arial" w:hAnsi="Arial"/>
                <w:sz w:val="17"/>
                <w:szCs w:val="17"/>
                <w:color w:val="3A4967"/>
              </w:rPr>
              <w:t>132.12</w:t>
            </w:r>
          </w:p>
        </w:tc>
        <w:tc>
          <w:tcPr>
            <w:tcW w:w="1140" w:type="dxa"/>
            <w:vAlign w:val="bottom"/>
            <w:gridSpan w:val="2"/>
          </w:tcPr>
          <w:p>
            <w:pPr>
              <w:jc w:val="right"/>
              <w:spacing w:after="0"/>
              <w:rPr>
                <w:sz w:val="20"/>
                <w:szCs w:val="20"/>
                <w:color w:val="auto"/>
              </w:rPr>
            </w:pPr>
            <w:r>
              <w:rPr>
                <w:rFonts w:ascii="Arial" w:cs="Arial" w:eastAsia="Arial" w:hAnsi="Arial"/>
                <w:sz w:val="17"/>
                <w:szCs w:val="17"/>
                <w:color w:val="3A4967"/>
              </w:rPr>
              <w:t>151.29</w:t>
            </w:r>
          </w:p>
        </w:tc>
        <w:tc>
          <w:tcPr>
            <w:tcW w:w="1160" w:type="dxa"/>
            <w:vAlign w:val="bottom"/>
          </w:tcPr>
          <w:p>
            <w:pPr>
              <w:jc w:val="right"/>
              <w:spacing w:after="0"/>
              <w:rPr>
                <w:sz w:val="20"/>
                <w:szCs w:val="20"/>
                <w:color w:val="auto"/>
              </w:rPr>
            </w:pPr>
            <w:r>
              <w:rPr>
                <w:rFonts w:ascii="Arial" w:cs="Arial" w:eastAsia="Arial" w:hAnsi="Arial"/>
                <w:sz w:val="17"/>
                <w:szCs w:val="17"/>
                <w:color w:val="3A4967"/>
              </w:rPr>
              <w:t>164.81</w:t>
            </w:r>
          </w:p>
        </w:tc>
        <w:tc>
          <w:tcPr>
            <w:tcW w:w="1260" w:type="dxa"/>
            <w:vAlign w:val="bottom"/>
          </w:tcPr>
          <w:p>
            <w:pPr>
              <w:jc w:val="right"/>
              <w:ind w:right="116"/>
              <w:spacing w:after="0"/>
              <w:rPr>
                <w:sz w:val="20"/>
                <w:szCs w:val="20"/>
                <w:color w:val="auto"/>
              </w:rPr>
            </w:pPr>
            <w:r>
              <w:rPr>
                <w:rFonts w:ascii="Arial" w:cs="Arial" w:eastAsia="Arial" w:hAnsi="Arial"/>
                <w:sz w:val="17"/>
                <w:szCs w:val="17"/>
                <w:color w:val="3A4967"/>
              </w:rPr>
              <w:t>161.54</w:t>
            </w:r>
          </w:p>
        </w:tc>
        <w:tc>
          <w:tcPr>
            <w:tcW w:w="1020" w:type="dxa"/>
            <w:vAlign w:val="bottom"/>
          </w:tcPr>
          <w:p>
            <w:pPr>
              <w:jc w:val="right"/>
              <w:spacing w:after="0"/>
              <w:rPr>
                <w:sz w:val="20"/>
                <w:szCs w:val="20"/>
                <w:color w:val="auto"/>
              </w:rPr>
            </w:pPr>
            <w:r>
              <w:rPr>
                <w:rFonts w:ascii="Arial" w:cs="Arial" w:eastAsia="Arial" w:hAnsi="Arial"/>
                <w:sz w:val="17"/>
                <w:szCs w:val="17"/>
                <w:color w:val="3A4967"/>
              </w:rPr>
              <w:t>129.12</w:t>
            </w:r>
          </w:p>
        </w:tc>
        <w:tc>
          <w:tcPr>
            <w:tcW w:w="0" w:type="dxa"/>
            <w:vAlign w:val="bottom"/>
          </w:tcPr>
          <w:p>
            <w:pPr>
              <w:spacing w:after="0"/>
              <w:rPr>
                <w:sz w:val="1"/>
                <w:szCs w:val="1"/>
                <w:color w:val="auto"/>
              </w:rPr>
            </w:pPr>
          </w:p>
        </w:tc>
      </w:tr>
      <w:tr>
        <w:trPr>
          <w:trHeight w:val="49"/>
        </w:trPr>
        <w:tc>
          <w:tcPr>
            <w:tcW w:w="960" w:type="dxa"/>
            <w:vAlign w:val="bottom"/>
            <w:tcBorders>
              <w:bottom w:val="single" w:sz="8" w:color="3A4967"/>
            </w:tcBorders>
          </w:tcPr>
          <w:p>
            <w:pPr>
              <w:spacing w:after="0"/>
              <w:rPr>
                <w:sz w:val="4"/>
                <w:szCs w:val="4"/>
                <w:color w:val="auto"/>
              </w:rPr>
            </w:pPr>
          </w:p>
        </w:tc>
        <w:tc>
          <w:tcPr>
            <w:tcW w:w="1140" w:type="dxa"/>
            <w:vAlign w:val="bottom"/>
            <w:tcBorders>
              <w:bottom w:val="single" w:sz="8" w:color="3A4967"/>
            </w:tcBorders>
          </w:tcPr>
          <w:p>
            <w:pPr>
              <w:spacing w:after="0"/>
              <w:rPr>
                <w:sz w:val="4"/>
                <w:szCs w:val="4"/>
                <w:color w:val="auto"/>
              </w:rPr>
            </w:pPr>
          </w:p>
        </w:tc>
        <w:tc>
          <w:tcPr>
            <w:tcW w:w="4420" w:type="dxa"/>
            <w:vAlign w:val="bottom"/>
            <w:tcBorders>
              <w:bottom w:val="single" w:sz="8" w:color="3A4967"/>
            </w:tcBorders>
            <w:gridSpan w:val="6"/>
          </w:tcPr>
          <w:p>
            <w:pPr>
              <w:spacing w:after="0"/>
              <w:rPr>
                <w:sz w:val="4"/>
                <w:szCs w:val="4"/>
                <w:color w:val="auto"/>
              </w:rPr>
            </w:pPr>
          </w:p>
        </w:tc>
        <w:tc>
          <w:tcPr>
            <w:tcW w:w="1380" w:type="dxa"/>
            <w:vAlign w:val="bottom"/>
            <w:tcBorders>
              <w:bottom w:val="single" w:sz="8" w:color="3A4967"/>
            </w:tcBorders>
            <w:gridSpan w:val="2"/>
          </w:tcPr>
          <w:p>
            <w:pPr>
              <w:spacing w:after="0"/>
              <w:rPr>
                <w:sz w:val="4"/>
                <w:szCs w:val="4"/>
                <w:color w:val="auto"/>
              </w:rPr>
            </w:pPr>
          </w:p>
        </w:tc>
        <w:tc>
          <w:tcPr>
            <w:tcW w:w="1260" w:type="dxa"/>
            <w:vAlign w:val="bottom"/>
            <w:tcBorders>
              <w:bottom w:val="single" w:sz="8" w:color="3A4967"/>
            </w:tcBorders>
          </w:tcPr>
          <w:p>
            <w:pPr>
              <w:spacing w:after="0"/>
              <w:rPr>
                <w:sz w:val="4"/>
                <w:szCs w:val="4"/>
                <w:color w:val="auto"/>
              </w:rPr>
            </w:pPr>
          </w:p>
        </w:tc>
        <w:tc>
          <w:tcPr>
            <w:tcW w:w="1020" w:type="dxa"/>
            <w:vAlign w:val="bottom"/>
            <w:tcBorders>
              <w:bottom w:val="single" w:sz="8" w:color="3A4967"/>
            </w:tcBorders>
          </w:tcPr>
          <w:p>
            <w:pPr>
              <w:spacing w:after="0"/>
              <w:rPr>
                <w:sz w:val="4"/>
                <w:szCs w:val="4"/>
                <w:color w:val="auto"/>
              </w:rPr>
            </w:pPr>
          </w:p>
        </w:tc>
        <w:tc>
          <w:tcPr>
            <w:tcW w:w="0" w:type="dxa"/>
            <w:vAlign w:val="bottom"/>
          </w:tcPr>
          <w:p>
            <w:pPr>
              <w:spacing w:after="0"/>
              <w:rPr>
                <w:sz w:val="1"/>
                <w:szCs w:val="1"/>
                <w:color w:val="auto"/>
              </w:rPr>
            </w:pPr>
          </w:p>
        </w:tc>
      </w:tr>
      <w:tr>
        <w:trPr>
          <w:trHeight w:val="400"/>
        </w:trPr>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0" w:type="dxa"/>
            <w:vAlign w:val="bottom"/>
            <w:gridSpan w:val="8"/>
          </w:tcPr>
          <w:p>
            <w:pPr>
              <w:jc w:val="right"/>
              <w:ind w:right="158"/>
              <w:spacing w:after="0"/>
              <w:rPr>
                <w:sz w:val="20"/>
                <w:szCs w:val="20"/>
                <w:color w:val="auto"/>
              </w:rPr>
            </w:pPr>
            <w:r>
              <w:rPr>
                <w:rFonts w:ascii="Arial" w:cs="Arial" w:eastAsia="Arial" w:hAnsi="Arial"/>
                <w:sz w:val="18"/>
                <w:szCs w:val="18"/>
                <w:b w:val="1"/>
                <w:bCs w:val="1"/>
                <w:color w:val="3A4967"/>
              </w:rPr>
              <w:t>COMPARISON OF CUMULATIVE FIVE YEAR TOTAL RETURN</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tcPr>
          <w:p>
            <w:pPr>
              <w:jc w:val="right"/>
              <w:spacing w:after="0"/>
              <w:rPr>
                <w:sz w:val="20"/>
                <w:szCs w:val="20"/>
                <w:color w:val="auto"/>
              </w:rPr>
            </w:pPr>
            <w:r>
              <w:rPr>
                <w:rFonts w:ascii="Arial" w:cs="Arial" w:eastAsia="Arial" w:hAnsi="Arial"/>
                <w:sz w:val="15"/>
                <w:szCs w:val="15"/>
                <w:color w:val="3A4967"/>
              </w:rPr>
              <w:t>$</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60" w:type="dxa"/>
            <w:vAlign w:val="bottom"/>
            <w:vMerge w:val="restart"/>
          </w:tcPr>
          <w:p>
            <w:pPr>
              <w:jc w:val="right"/>
              <w:spacing w:after="0"/>
              <w:rPr>
                <w:sz w:val="20"/>
                <w:szCs w:val="20"/>
                <w:color w:val="auto"/>
              </w:rPr>
            </w:pPr>
            <w:r>
              <w:rPr>
                <w:rFonts w:ascii="Arial" w:cs="Arial" w:eastAsia="Arial" w:hAnsi="Arial"/>
                <w:sz w:val="16"/>
                <w:szCs w:val="16"/>
                <w:color w:val="3A4967"/>
              </w:rPr>
              <w:t>500</w:t>
            </w: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vMerge w:val="continue"/>
          </w:tcPr>
          <w:p>
            <w:pPr>
              <w:spacing w:after="0"/>
              <w:rPr>
                <w:sz w:val="10"/>
                <w:szCs w:val="10"/>
                <w:color w:val="auto"/>
              </w:rPr>
            </w:pPr>
          </w:p>
        </w:tc>
        <w:tc>
          <w:tcPr>
            <w:tcW w:w="1140" w:type="dxa"/>
            <w:vAlign w:val="bottom"/>
            <w:tcBorders>
              <w:left w:val="single" w:sz="8" w:color="3A4967"/>
            </w:tcBorders>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8"/>
        </w:trPr>
        <w:tc>
          <w:tcPr>
            <w:tcW w:w="960" w:type="dxa"/>
            <w:vAlign w:val="bottom"/>
          </w:tcPr>
          <w:p>
            <w:pPr>
              <w:jc w:val="right"/>
              <w:spacing w:after="0"/>
              <w:rPr>
                <w:sz w:val="20"/>
                <w:szCs w:val="20"/>
                <w:color w:val="auto"/>
              </w:rPr>
            </w:pPr>
            <w:r>
              <w:rPr>
                <w:rFonts w:ascii="Arial" w:cs="Arial" w:eastAsia="Arial" w:hAnsi="Arial"/>
                <w:sz w:val="16"/>
                <w:szCs w:val="16"/>
                <w:color w:val="3A4967"/>
              </w:rPr>
              <w:t>400</w:t>
            </w:r>
          </w:p>
        </w:tc>
        <w:tc>
          <w:tcPr>
            <w:tcW w:w="1140" w:type="dxa"/>
            <w:vAlign w:val="bottom"/>
            <w:tcBorders>
              <w:left w:val="single" w:sz="8" w:color="3A4967"/>
            </w:tcBorders>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3"/>
            <w:vMerge w:val="restart"/>
          </w:tcPr>
          <w:p>
            <w:pPr>
              <w:ind w:left="620"/>
              <w:spacing w:after="0"/>
              <w:rPr>
                <w:sz w:val="20"/>
                <w:szCs w:val="20"/>
                <w:color w:val="auto"/>
              </w:rPr>
            </w:pPr>
            <w:r>
              <w:rPr>
                <w:rFonts w:ascii="Arial" w:cs="Arial" w:eastAsia="Arial" w:hAnsi="Arial"/>
                <w:sz w:val="16"/>
                <w:szCs w:val="16"/>
                <w:color w:val="3A4967"/>
              </w:rPr>
              <w:t>The Boston Beer Company, Inc.</w:t>
            </w:r>
          </w:p>
        </w:tc>
        <w:tc>
          <w:tcPr>
            <w:tcW w:w="0" w:type="dxa"/>
            <w:vAlign w:val="bottom"/>
          </w:tcPr>
          <w:p>
            <w:pPr>
              <w:spacing w:after="0"/>
              <w:rPr>
                <w:sz w:val="1"/>
                <w:szCs w:val="1"/>
                <w:color w:val="auto"/>
              </w:rPr>
            </w:pPr>
          </w:p>
        </w:tc>
      </w:tr>
      <w:tr>
        <w:trPr>
          <w:trHeight w:val="111"/>
        </w:trPr>
        <w:tc>
          <w:tcPr>
            <w:tcW w:w="960" w:type="dxa"/>
            <w:vAlign w:val="bottom"/>
          </w:tcPr>
          <w:p>
            <w:pPr>
              <w:spacing w:after="0"/>
              <w:rPr>
                <w:sz w:val="9"/>
                <w:szCs w:val="9"/>
                <w:color w:val="auto"/>
              </w:rPr>
            </w:pPr>
          </w:p>
        </w:tc>
        <w:tc>
          <w:tcPr>
            <w:tcW w:w="1140" w:type="dxa"/>
            <w:vAlign w:val="bottom"/>
            <w:tcBorders>
              <w:left w:val="single" w:sz="8" w:color="3A4967"/>
            </w:tcBorders>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5"/>
        </w:trPr>
        <w:tc>
          <w:tcPr>
            <w:tcW w:w="960" w:type="dxa"/>
            <w:vAlign w:val="bottom"/>
            <w:vMerge w:val="restart"/>
          </w:tcPr>
          <w:p>
            <w:pPr>
              <w:jc w:val="right"/>
              <w:spacing w:after="0"/>
              <w:rPr>
                <w:sz w:val="20"/>
                <w:szCs w:val="20"/>
                <w:color w:val="auto"/>
              </w:rPr>
            </w:pPr>
            <w:r>
              <w:rPr>
                <w:rFonts w:ascii="Arial" w:cs="Arial" w:eastAsia="Arial" w:hAnsi="Arial"/>
                <w:sz w:val="16"/>
                <w:szCs w:val="16"/>
                <w:color w:val="3A4967"/>
              </w:rPr>
              <w:t>300</w:t>
            </w:r>
          </w:p>
        </w:tc>
        <w:tc>
          <w:tcPr>
            <w:tcW w:w="1140" w:type="dxa"/>
            <w:vAlign w:val="bottom"/>
            <w:tcBorders>
              <w:left w:val="single" w:sz="8" w:color="3A4967"/>
            </w:tcBorders>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2"/>
          </w:tcPr>
          <w:p>
            <w:pPr>
              <w:ind w:left="600"/>
              <w:spacing w:after="0"/>
              <w:rPr>
                <w:sz w:val="20"/>
                <w:szCs w:val="20"/>
                <w:color w:val="auto"/>
              </w:rPr>
            </w:pPr>
            <w:r>
              <w:rPr>
                <w:rFonts w:ascii="Arial" w:cs="Arial" w:eastAsia="Arial" w:hAnsi="Arial"/>
                <w:sz w:val="16"/>
                <w:szCs w:val="16"/>
                <w:color w:val="3A4967"/>
              </w:rPr>
              <w:t>S&amp;P 500 Index</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1140" w:type="dxa"/>
            <w:vAlign w:val="bottom"/>
            <w:tcBorders>
              <w:left w:val="single" w:sz="8" w:color="3A4967"/>
            </w:tcBorders>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1140" w:type="dxa"/>
            <w:vAlign w:val="bottom"/>
            <w:tcBorders>
              <w:left w:val="single" w:sz="8" w:color="3A4967"/>
            </w:tcBorders>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2"/>
          </w:tcPr>
          <w:p>
            <w:pPr>
              <w:ind w:left="620"/>
              <w:spacing w:after="0"/>
              <w:rPr>
                <w:sz w:val="20"/>
                <w:szCs w:val="20"/>
                <w:color w:val="auto"/>
              </w:rPr>
            </w:pPr>
            <w:r>
              <w:rPr>
                <w:rFonts w:ascii="Arial" w:cs="Arial" w:eastAsia="Arial" w:hAnsi="Arial"/>
                <w:sz w:val="16"/>
                <w:szCs w:val="16"/>
                <w:color w:val="3A4967"/>
                <w:w w:val="94"/>
              </w:rPr>
              <w:t>S&amp;P 500 Beverages Index</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960" w:type="dxa"/>
            <w:vAlign w:val="bottom"/>
          </w:tcPr>
          <w:p>
            <w:pPr>
              <w:jc w:val="right"/>
              <w:spacing w:after="0"/>
              <w:rPr>
                <w:sz w:val="20"/>
                <w:szCs w:val="20"/>
                <w:color w:val="auto"/>
              </w:rPr>
            </w:pPr>
            <w:r>
              <w:rPr>
                <w:rFonts w:ascii="Arial" w:cs="Arial" w:eastAsia="Arial" w:hAnsi="Arial"/>
                <w:sz w:val="16"/>
                <w:szCs w:val="16"/>
                <w:color w:val="3A4967"/>
              </w:rPr>
              <w:t>200</w:t>
            </w:r>
          </w:p>
        </w:tc>
        <w:tc>
          <w:tcPr>
            <w:tcW w:w="1140" w:type="dxa"/>
            <w:vAlign w:val="bottom"/>
            <w:tcBorders>
              <w:left w:val="single" w:sz="8" w:color="3A4967"/>
            </w:tcBorders>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8"/>
        </w:trPr>
        <w:tc>
          <w:tcPr>
            <w:tcW w:w="960" w:type="dxa"/>
            <w:vAlign w:val="bottom"/>
          </w:tcPr>
          <w:p>
            <w:pPr>
              <w:jc w:val="right"/>
              <w:spacing w:after="0"/>
              <w:rPr>
                <w:sz w:val="20"/>
                <w:szCs w:val="20"/>
                <w:color w:val="auto"/>
              </w:rPr>
            </w:pPr>
            <w:r>
              <w:rPr>
                <w:rFonts w:ascii="Arial" w:cs="Arial" w:eastAsia="Arial" w:hAnsi="Arial"/>
                <w:sz w:val="16"/>
                <w:szCs w:val="16"/>
                <w:color w:val="3A4967"/>
              </w:rPr>
              <w:t>100</w:t>
            </w:r>
          </w:p>
        </w:tc>
        <w:tc>
          <w:tcPr>
            <w:tcW w:w="1140" w:type="dxa"/>
            <w:vAlign w:val="bottom"/>
            <w:tcBorders>
              <w:left w:val="single" w:sz="8" w:color="3A4967"/>
            </w:tcBorders>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jc w:val="right"/>
              <w:spacing w:after="0"/>
              <w:rPr>
                <w:sz w:val="20"/>
                <w:szCs w:val="20"/>
                <w:color w:val="auto"/>
              </w:rPr>
            </w:pPr>
            <w:r>
              <w:rPr>
                <w:rFonts w:ascii="Arial" w:cs="Arial" w:eastAsia="Arial" w:hAnsi="Arial"/>
                <w:sz w:val="16"/>
                <w:szCs w:val="16"/>
                <w:color w:val="3A4967"/>
              </w:rPr>
              <w:t>0</w:t>
            </w:r>
          </w:p>
        </w:tc>
        <w:tc>
          <w:tcPr>
            <w:tcW w:w="1140" w:type="dxa"/>
            <w:vAlign w:val="bottom"/>
            <w:tcBorders>
              <w:left w:val="single" w:sz="8" w:color="3A4967"/>
              <w:bottom w:val="single" w:sz="8" w:color="3A4967"/>
            </w:tcBorders>
          </w:tcPr>
          <w:p>
            <w:pPr>
              <w:spacing w:after="0"/>
              <w:rPr>
                <w:sz w:val="24"/>
                <w:szCs w:val="24"/>
                <w:color w:val="auto"/>
              </w:rPr>
            </w:pPr>
          </w:p>
        </w:tc>
        <w:tc>
          <w:tcPr>
            <w:tcW w:w="980" w:type="dxa"/>
            <w:vAlign w:val="bottom"/>
            <w:tcBorders>
              <w:bottom w:val="single" w:sz="8" w:color="3A4967"/>
            </w:tcBorders>
          </w:tcPr>
          <w:p>
            <w:pPr>
              <w:spacing w:after="0"/>
              <w:rPr>
                <w:sz w:val="24"/>
                <w:szCs w:val="24"/>
                <w:color w:val="auto"/>
              </w:rPr>
            </w:pPr>
          </w:p>
        </w:tc>
        <w:tc>
          <w:tcPr>
            <w:tcW w:w="400" w:type="dxa"/>
            <w:vAlign w:val="bottom"/>
            <w:tcBorders>
              <w:bottom w:val="single" w:sz="8" w:color="3A4967"/>
            </w:tcBorders>
          </w:tcPr>
          <w:p>
            <w:pPr>
              <w:spacing w:after="0"/>
              <w:rPr>
                <w:sz w:val="24"/>
                <w:szCs w:val="24"/>
                <w:color w:val="auto"/>
              </w:rPr>
            </w:pPr>
          </w:p>
        </w:tc>
        <w:tc>
          <w:tcPr>
            <w:tcW w:w="660" w:type="dxa"/>
            <w:vAlign w:val="bottom"/>
            <w:tcBorders>
              <w:bottom w:val="single" w:sz="8" w:color="3A4967"/>
            </w:tcBorders>
          </w:tcPr>
          <w:p>
            <w:pPr>
              <w:spacing w:after="0"/>
              <w:rPr>
                <w:sz w:val="24"/>
                <w:szCs w:val="24"/>
                <w:color w:val="auto"/>
              </w:rPr>
            </w:pPr>
          </w:p>
        </w:tc>
        <w:tc>
          <w:tcPr>
            <w:tcW w:w="420" w:type="dxa"/>
            <w:vAlign w:val="bottom"/>
            <w:tcBorders>
              <w:bottom w:val="single" w:sz="8" w:color="3A4967"/>
            </w:tcBorders>
          </w:tcPr>
          <w:p>
            <w:pPr>
              <w:spacing w:after="0"/>
              <w:rPr>
                <w:sz w:val="24"/>
                <w:szCs w:val="24"/>
                <w:color w:val="auto"/>
              </w:rPr>
            </w:pPr>
          </w:p>
        </w:tc>
        <w:tc>
          <w:tcPr>
            <w:tcW w:w="1040" w:type="dxa"/>
            <w:vAlign w:val="bottom"/>
            <w:tcBorders>
              <w:bottom w:val="single" w:sz="8" w:color="3A4967"/>
            </w:tcBorders>
          </w:tcPr>
          <w:p>
            <w:pPr>
              <w:spacing w:after="0"/>
              <w:rPr>
                <w:sz w:val="24"/>
                <w:szCs w:val="24"/>
                <w:color w:val="auto"/>
              </w:rPr>
            </w:pPr>
          </w:p>
        </w:tc>
        <w:tc>
          <w:tcPr>
            <w:tcW w:w="920" w:type="dxa"/>
            <w:vAlign w:val="bottom"/>
            <w:tcBorders>
              <w:bottom w:val="single" w:sz="8" w:color="3A4967"/>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96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00" w:type="dxa"/>
            <w:vAlign w:val="bottom"/>
            <w:gridSpan w:val="2"/>
          </w:tcPr>
          <w:p>
            <w:pPr>
              <w:ind w:left="1280"/>
              <w:spacing w:after="0"/>
              <w:rPr>
                <w:sz w:val="20"/>
                <w:szCs w:val="20"/>
                <w:color w:val="auto"/>
              </w:rPr>
            </w:pPr>
            <w:r>
              <w:rPr>
                <w:rFonts w:ascii="Arial" w:cs="Arial" w:eastAsia="Arial" w:hAnsi="Arial"/>
                <w:sz w:val="16"/>
                <w:szCs w:val="16"/>
                <w:color w:val="3A4967"/>
              </w:rPr>
              <w:t>2019</w:t>
            </w:r>
          </w:p>
        </w:tc>
        <w:tc>
          <w:tcPr>
            <w:tcW w:w="980" w:type="dxa"/>
            <w:vAlign w:val="bottom"/>
          </w:tcPr>
          <w:p>
            <w:pPr>
              <w:jc w:val="right"/>
              <w:ind w:right="456"/>
              <w:spacing w:after="0"/>
              <w:rPr>
                <w:sz w:val="20"/>
                <w:szCs w:val="20"/>
                <w:color w:val="auto"/>
              </w:rPr>
            </w:pPr>
            <w:r>
              <w:rPr>
                <w:rFonts w:ascii="Arial" w:cs="Arial" w:eastAsia="Arial" w:hAnsi="Arial"/>
                <w:sz w:val="16"/>
                <w:szCs w:val="16"/>
                <w:color w:val="3A4967"/>
              </w:rPr>
              <w:t>2020</w:t>
            </w:r>
          </w:p>
        </w:tc>
        <w:tc>
          <w:tcPr>
            <w:tcW w:w="400" w:type="dxa"/>
            <w:vAlign w:val="bottom"/>
          </w:tcPr>
          <w:p>
            <w:pPr>
              <w:jc w:val="right"/>
              <w:spacing w:after="0"/>
              <w:rPr>
                <w:sz w:val="20"/>
                <w:szCs w:val="20"/>
                <w:color w:val="auto"/>
              </w:rPr>
            </w:pPr>
            <w:r>
              <w:rPr>
                <w:rFonts w:ascii="Arial" w:cs="Arial" w:eastAsia="Arial" w:hAnsi="Arial"/>
                <w:sz w:val="16"/>
                <w:szCs w:val="16"/>
                <w:color w:val="3A4967"/>
              </w:rPr>
              <w:t>2021</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3A4967"/>
              </w:rPr>
              <w:t>2022</w:t>
            </w:r>
          </w:p>
        </w:tc>
        <w:tc>
          <w:tcPr>
            <w:tcW w:w="1040" w:type="dxa"/>
            <w:vAlign w:val="bottom"/>
          </w:tcPr>
          <w:p>
            <w:pPr>
              <w:jc w:val="right"/>
              <w:ind w:right="217"/>
              <w:spacing w:after="0"/>
              <w:rPr>
                <w:sz w:val="20"/>
                <w:szCs w:val="20"/>
                <w:color w:val="auto"/>
              </w:rPr>
            </w:pPr>
            <w:r>
              <w:rPr>
                <w:rFonts w:ascii="Arial" w:cs="Arial" w:eastAsia="Arial" w:hAnsi="Arial"/>
                <w:sz w:val="16"/>
                <w:szCs w:val="16"/>
                <w:color w:val="3A4967"/>
              </w:rPr>
              <w:t>2023</w:t>
            </w:r>
          </w:p>
        </w:tc>
        <w:tc>
          <w:tcPr>
            <w:tcW w:w="920" w:type="dxa"/>
            <w:vAlign w:val="bottom"/>
          </w:tcPr>
          <w:p>
            <w:pPr>
              <w:jc w:val="right"/>
              <w:ind w:right="198"/>
              <w:spacing w:after="0"/>
              <w:rPr>
                <w:sz w:val="20"/>
                <w:szCs w:val="20"/>
                <w:color w:val="auto"/>
              </w:rPr>
            </w:pPr>
            <w:r>
              <w:rPr>
                <w:rFonts w:ascii="Arial" w:cs="Arial" w:eastAsia="Arial" w:hAnsi="Arial"/>
                <w:sz w:val="16"/>
                <w:szCs w:val="16"/>
                <w:color w:val="3A4967"/>
              </w:rPr>
              <w:t>2024</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-4087495</wp:posOffset>
            </wp:positionV>
            <wp:extent cx="6485890" cy="543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85890" cy="543560"/>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-2871470</wp:posOffset>
            </wp:positionV>
            <wp:extent cx="6494145" cy="549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94145" cy="549275"/>
                    </a:xfrm>
                    <a:prstGeom prst="rect">
                      <a:avLst/>
                    </a:prstGeom>
                    <a:noFill/>
                  </pic:spPr>
                </pic:pic>
              </a:graphicData>
            </a:graphic>
          </wp:anchor>
        </w:drawing>
        <w:drawing>
          <wp:anchor simplePos="0" relativeHeight="251657728" behindDoc="1" locked="0" layoutInCell="0" allowOverlap="1">
            <wp:simplePos x="0" y="0"/>
            <wp:positionH relativeFrom="column">
              <wp:posOffset>858520</wp:posOffset>
            </wp:positionH>
            <wp:positionV relativeFrom="paragraph">
              <wp:posOffset>-1797050</wp:posOffset>
            </wp:positionV>
            <wp:extent cx="4024630" cy="16332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24630" cy="1633220"/>
                    </a:xfrm>
                    <a:prstGeom prst="rect">
                      <a:avLst/>
                    </a:prstGeom>
                    <a:noFill/>
                  </pic:spPr>
                </pic:pic>
              </a:graphicData>
            </a:graphic>
          </wp:anchor>
        </w:drawing>
      </w:r>
    </w:p>
    <w:p>
      <w:pPr>
        <w:spacing w:after="0" w:line="230"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The Company’s Class A Common Stock is listed for trading on the New York Stock Exchange under the symbol SAM.</w:t>
      </w:r>
    </w:p>
    <w:p>
      <w:pPr>
        <w:spacing w:after="0" w:line="122"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3A4967"/>
        </w:rPr>
        <w:t>There were 6,603 holders of record of the Company’s Class A Common Stock as of February 21, 2025. Excluded from the number of stockholders of record are stockholders who hold shares in “nominee” or “street” name. The closing price per share of the Company’s Class A Common Stock as of February 21, 2025, as reported under the New York Stock Exchange-Composite Transaction Reporting System, was $227.32.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155575</wp:posOffset>
            </wp:positionV>
            <wp:extent cx="2584450" cy="1917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80"/>
          </w:cols>
          <w:pgMar w:left="460" w:top="1440" w:right="841" w:bottom="0" w:gutter="0" w:footer="0" w:header="0"/>
          <w:type w:val="continuous"/>
        </w:sectPr>
      </w:pPr>
    </w:p>
    <w:p>
      <w:pPr>
        <w:spacing w:after="0" w:line="312"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22</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1440" w:right="841" w:bottom="0" w:gutter="0" w:footer="0" w:header="0"/>
          <w:type w:val="continuous"/>
        </w:sectPr>
      </w:pPr>
    </w:p>
    <w:bookmarkStart w:id="32" w:name="page33"/>
    <w:bookmarkEnd w:id="32"/>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463665" cy="4763"/>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3"/>
          <w:szCs w:val="13"/>
          <w:color w:val="3A4967"/>
        </w:rPr>
        <w:t xml:space="preserve">Item 5 </w:t>
      </w:r>
      <w:r>
        <w:rPr>
          <w:rFonts w:ascii="Arial" w:cs="Arial" w:eastAsia="Arial" w:hAnsi="Arial"/>
          <w:sz w:val="13"/>
          <w:szCs w:val="13"/>
          <w:color w:val="6D7890"/>
        </w:rPr>
        <w:t>Market for Registrant’s Common Equity, Related Stockholder Matters and Issuer Purchases of Equity Securities</w:t>
      </w:r>
    </w:p>
    <w:p>
      <w:pPr>
        <w:sectPr>
          <w:pgSz w:w="11880" w:h="15481" w:orient="portrait"/>
          <w:cols w:equalWidth="0" w:num="1">
            <w:col w:w="10569"/>
          </w:cols>
          <w:pgMar w:left="851"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
        <w:spacing w:after="0"/>
        <w:rPr>
          <w:sz w:val="20"/>
          <w:szCs w:val="20"/>
          <w:color w:val="auto"/>
        </w:rPr>
      </w:pPr>
      <w:r>
        <w:rPr>
          <w:rFonts w:ascii="Arial" w:cs="Arial" w:eastAsia="Arial" w:hAnsi="Arial"/>
          <w:sz w:val="26"/>
          <w:szCs w:val="26"/>
          <w:b w:val="1"/>
          <w:bCs w:val="1"/>
          <w:color w:val="3A4967"/>
        </w:rPr>
        <w:t>Class A Common Stock</w:t>
      </w:r>
    </w:p>
    <w:p>
      <w:pPr>
        <w:spacing w:after="0" w:line="164" w:lineRule="exact"/>
        <w:rPr>
          <w:sz w:val="20"/>
          <w:szCs w:val="20"/>
          <w:color w:val="auto"/>
        </w:rPr>
      </w:pPr>
    </w:p>
    <w:p>
      <w:pPr>
        <w:jc w:val="both"/>
        <w:ind w:left="9"/>
        <w:spacing w:after="0" w:line="288" w:lineRule="auto"/>
        <w:rPr>
          <w:sz w:val="20"/>
          <w:szCs w:val="20"/>
          <w:color w:val="auto"/>
        </w:rPr>
      </w:pPr>
      <w:r>
        <w:rPr>
          <w:rFonts w:ascii="Arial" w:cs="Arial" w:eastAsia="Arial" w:hAnsi="Arial"/>
          <w:sz w:val="16"/>
          <w:szCs w:val="16"/>
          <w:color w:val="3A4967"/>
        </w:rPr>
        <w:t>At December 28, 2024, the Company had 22,700,000 authorized shares of Class A Common Stock with a par value of $0.01, of which 9,291,092 were issued and outstanding, which includes 27,894 shares that have trading restrictions. The Class A Common Stock has no voting rights, except (1) as required by law, (2) for the election of Class A Directors, and (3) that the approval of the holders of the Class A Common Stock is required for (a) future authorizations or issuances of additional securities which have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9" w:right="380"/>
        <w:spacing w:after="0" w:line="266" w:lineRule="auto"/>
        <w:rPr>
          <w:sz w:val="20"/>
          <w:szCs w:val="20"/>
          <w:color w:val="auto"/>
        </w:rPr>
      </w:pPr>
      <w:r>
        <w:rPr>
          <w:rFonts w:ascii="Arial" w:cs="Arial" w:eastAsia="Arial" w:hAnsi="Arial"/>
          <w:sz w:val="17"/>
          <w:szCs w:val="17"/>
          <w:color w:val="3A4967"/>
        </w:rPr>
        <w:t>rights senior to Class A Common Stock, (b) alterations of rights or terms of the Class A or Class B Common Stock as set forth in the Articles of Organization of the Company, (c) certain other amendments of the Articles of Organization of the Company,</w:t>
      </w:r>
    </w:p>
    <w:p>
      <w:pPr>
        <w:spacing w:after="0" w:line="1" w:lineRule="exact"/>
        <w:rPr>
          <w:sz w:val="20"/>
          <w:szCs w:val="20"/>
          <w:color w:val="auto"/>
        </w:rPr>
      </w:pPr>
    </w:p>
    <w:p>
      <w:pPr>
        <w:jc w:val="both"/>
        <w:ind w:left="9" w:right="380" w:hanging="9"/>
        <w:spacing w:after="0" w:line="256" w:lineRule="auto"/>
        <w:tabs>
          <w:tab w:leader="none" w:pos="236" w:val="left"/>
        </w:tabs>
        <w:numPr>
          <w:ilvl w:val="0"/>
          <w:numId w:val="12"/>
        </w:numPr>
        <w:rPr>
          <w:rFonts w:ascii="Arial" w:cs="Arial" w:eastAsia="Arial" w:hAnsi="Arial"/>
          <w:sz w:val="18"/>
          <w:szCs w:val="18"/>
          <w:color w:val="3A4967"/>
        </w:rPr>
      </w:pPr>
      <w:r>
        <w:rPr>
          <w:rFonts w:ascii="Arial" w:cs="Arial" w:eastAsia="Arial" w:hAnsi="Arial"/>
          <w:sz w:val="18"/>
          <w:szCs w:val="18"/>
          <w:color w:val="3A4967"/>
        </w:rPr>
        <w:t>certain mergers or consolidations with, or acquisitions of, other entities, and (e) sales or dispositions of any significant portion of the Company’s assets.</w:t>
      </w:r>
    </w:p>
    <w:p>
      <w:pPr>
        <w:spacing w:after="0" w:line="435" w:lineRule="exact"/>
        <w:rPr>
          <w:sz w:val="20"/>
          <w:szCs w:val="20"/>
          <w:color w:val="auto"/>
        </w:rPr>
      </w:pPr>
    </w:p>
    <w:p>
      <w:pPr>
        <w:sectPr>
          <w:pgSz w:w="11880" w:h="15481" w:orient="portrait"/>
          <w:cols w:equalWidth="0" w:num="2">
            <w:col w:w="4929" w:space="331"/>
            <w:col w:w="5309"/>
          </w:cols>
          <w:pgMar w:left="851" w:top="579" w:right="461" w:bottom="0" w:gutter="0" w:footer="0" w:header="0"/>
          <w:type w:val="continuous"/>
        </w:sectPr>
      </w:pPr>
    </w:p>
    <w:p>
      <w:pPr>
        <w:spacing w:after="0" w:line="121" w:lineRule="exact"/>
        <w:rPr>
          <w:sz w:val="20"/>
          <w:szCs w:val="20"/>
          <w:color w:val="auto"/>
        </w:rPr>
      </w:pPr>
    </w:p>
    <w:p>
      <w:pPr>
        <w:ind w:left="9"/>
        <w:spacing w:after="0"/>
        <w:rPr>
          <w:sz w:val="20"/>
          <w:szCs w:val="20"/>
          <w:color w:val="auto"/>
        </w:rPr>
      </w:pPr>
      <w:r>
        <w:rPr>
          <w:rFonts w:ascii="Arial" w:cs="Arial" w:eastAsia="Arial" w:hAnsi="Arial"/>
          <w:sz w:val="26"/>
          <w:szCs w:val="26"/>
          <w:b w:val="1"/>
          <w:bCs w:val="1"/>
          <w:color w:val="3A4967"/>
        </w:rPr>
        <w:t>Class B Common Stock</w:t>
      </w:r>
    </w:p>
    <w:p>
      <w:pPr>
        <w:spacing w:after="0" w:line="164" w:lineRule="exact"/>
        <w:rPr>
          <w:sz w:val="20"/>
          <w:szCs w:val="20"/>
          <w:color w:val="auto"/>
        </w:rPr>
      </w:pPr>
    </w:p>
    <w:p>
      <w:pPr>
        <w:jc w:val="both"/>
        <w:ind w:left="9"/>
        <w:spacing w:after="0" w:line="266" w:lineRule="auto"/>
        <w:rPr>
          <w:sz w:val="20"/>
          <w:szCs w:val="20"/>
          <w:color w:val="auto"/>
        </w:rPr>
      </w:pPr>
      <w:r>
        <w:rPr>
          <w:rFonts w:ascii="Arial" w:cs="Arial" w:eastAsia="Arial" w:hAnsi="Arial"/>
          <w:sz w:val="17"/>
          <w:szCs w:val="17"/>
          <w:color w:val="3A4967"/>
        </w:rPr>
        <w:t>At December 28, 2024, the Company had 4,200,000 authorized shares of Class B Common Stock with a par value of $0.01, of which 2,068,000 shares were issued and outstanding. The Class B Common Stock has full voting rights, including the right to</w:t>
      </w:r>
    </w:p>
    <w:p>
      <w:pPr>
        <w:spacing w:after="0" w:line="1" w:lineRule="exact"/>
        <w:rPr>
          <w:sz w:val="20"/>
          <w:szCs w:val="20"/>
          <w:color w:val="auto"/>
        </w:rPr>
      </w:pPr>
    </w:p>
    <w:p>
      <w:pPr>
        <w:jc w:val="both"/>
        <w:ind w:left="9" w:hanging="9"/>
        <w:spacing w:after="0" w:line="268" w:lineRule="auto"/>
        <w:tabs>
          <w:tab w:leader="none" w:pos="254" w:val="left"/>
        </w:tabs>
        <w:numPr>
          <w:ilvl w:val="0"/>
          <w:numId w:val="13"/>
        </w:numPr>
        <w:rPr>
          <w:rFonts w:ascii="Arial" w:cs="Arial" w:eastAsia="Arial" w:hAnsi="Arial"/>
          <w:sz w:val="17"/>
          <w:szCs w:val="17"/>
          <w:color w:val="3A4967"/>
        </w:rPr>
      </w:pPr>
      <w:r>
        <w:rPr>
          <w:rFonts w:ascii="Arial" w:cs="Arial" w:eastAsia="Arial" w:hAnsi="Arial"/>
          <w:sz w:val="17"/>
          <w:szCs w:val="17"/>
          <w:color w:val="3A4967"/>
        </w:rPr>
        <w:t>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such as approval of the Company’s independent registered public accounting firm. The Company’s Class B Common Stock is not listed for trading. Each share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both"/>
        <w:ind w:right="380"/>
        <w:spacing w:after="0" w:line="267" w:lineRule="auto"/>
        <w:rPr>
          <w:sz w:val="20"/>
          <w:szCs w:val="20"/>
          <w:color w:val="auto"/>
        </w:rPr>
      </w:pPr>
      <w:r>
        <w:rPr>
          <w:rFonts w:ascii="Arial" w:cs="Arial" w:eastAsia="Arial" w:hAnsi="Arial"/>
          <w:sz w:val="18"/>
          <w:szCs w:val="18"/>
          <w:color w:val="3A4967"/>
        </w:rPr>
        <w:t>Class B Common Stock is freely convertible into one share of Class A Common Stock, upon request of any Class B holder.</w:t>
      </w:r>
    </w:p>
    <w:p>
      <w:pPr>
        <w:spacing w:after="0" w:line="85"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3A4967"/>
        </w:rPr>
        <w:t>As of February 21, 2025, C. James Koch, the Company’s Chairman, was the direct holder of record of all of the Company’s issued and outstanding Class B Common Stock.</w:t>
      </w:r>
    </w:p>
    <w:p>
      <w:pPr>
        <w:spacing w:after="0" w:line="91"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3A4967"/>
        </w:rPr>
        <w:t>The holders of the Class A and Class B Common Stock are entitled to dividends, on a share-for-share basis, only if and when declared by the Board of Directors of the Company out of funds legally available for payment thereof. Since its inception, the Company has not paid dividends and does not currently anticipate paying dividends on its Class A or Class B Common Stock in the foreseeable future.</w:t>
      </w:r>
    </w:p>
    <w:p>
      <w:pPr>
        <w:spacing w:after="0" w:line="200" w:lineRule="exact"/>
        <w:rPr>
          <w:sz w:val="20"/>
          <w:szCs w:val="20"/>
          <w:color w:val="auto"/>
        </w:rPr>
      </w:pPr>
    </w:p>
    <w:p>
      <w:pPr>
        <w:sectPr>
          <w:pgSz w:w="11880" w:h="15481" w:orient="portrait"/>
          <w:cols w:equalWidth="0" w:num="2">
            <w:col w:w="4929" w:space="340"/>
            <w:col w:w="5300"/>
          </w:cols>
          <w:pgMar w:left="851" w:top="579" w:right="461" w:bottom="0" w:gutter="0" w:footer="0" w:header="0"/>
          <w:type w:val="continuous"/>
        </w:sectPr>
      </w:pPr>
    </w:p>
    <w:p>
      <w:pPr>
        <w:spacing w:after="0" w:line="144" w:lineRule="exact"/>
        <w:rPr>
          <w:sz w:val="20"/>
          <w:szCs w:val="20"/>
          <w:color w:val="auto"/>
        </w:rPr>
      </w:pPr>
    </w:p>
    <w:p>
      <w:pPr>
        <w:ind w:left="9"/>
        <w:spacing w:after="0"/>
        <w:rPr>
          <w:sz w:val="20"/>
          <w:szCs w:val="20"/>
          <w:color w:val="auto"/>
        </w:rPr>
      </w:pPr>
      <w:r>
        <w:rPr>
          <w:rFonts w:ascii="Arial" w:cs="Arial" w:eastAsia="Arial" w:hAnsi="Arial"/>
          <w:sz w:val="26"/>
          <w:szCs w:val="26"/>
          <w:b w:val="1"/>
          <w:bCs w:val="1"/>
          <w:color w:val="3A4967"/>
        </w:rPr>
        <w:t>Repurchases of Class A Common Stock</w:t>
      </w:r>
    </w:p>
    <w:p>
      <w:pPr>
        <w:sectPr>
          <w:pgSz w:w="11880" w:h="15481" w:orient="portrait"/>
          <w:cols w:equalWidth="0" w:num="1">
            <w:col w:w="10569"/>
          </w:cols>
          <w:pgMar w:left="851" w:top="579" w:right="461" w:bottom="0" w:gutter="0" w:footer="0" w:header="0"/>
          <w:type w:val="continuous"/>
        </w:sectPr>
      </w:pPr>
    </w:p>
    <w:p>
      <w:pPr>
        <w:spacing w:after="0" w:line="164" w:lineRule="exact"/>
        <w:rPr>
          <w:sz w:val="20"/>
          <w:szCs w:val="20"/>
          <w:color w:val="auto"/>
        </w:rPr>
      </w:pPr>
    </w:p>
    <w:p>
      <w:pPr>
        <w:jc w:val="both"/>
        <w:ind w:left="9"/>
        <w:spacing w:after="0" w:line="290" w:lineRule="auto"/>
        <w:rPr>
          <w:sz w:val="20"/>
          <w:szCs w:val="20"/>
          <w:color w:val="auto"/>
        </w:rPr>
      </w:pPr>
      <w:r>
        <w:rPr>
          <w:rFonts w:ascii="Arial" w:cs="Arial" w:eastAsia="Arial" w:hAnsi="Arial"/>
          <w:sz w:val="16"/>
          <w:szCs w:val="16"/>
          <w:color w:val="3A4967"/>
        </w:rPr>
        <w:t>In 1998, the Company began a share repurchase program. Under this program, the Company’s Board of Directors has authorized the repurchase of the Company’s Class A Stock. On October 2, 2024, the Board of Directors authorized an increase in the aggregate expenditure limit for the Company’s stock repurchase program by $400.0 million, increasing the limit from $1.2 billion to $1.6 billion. The Board of Directors did not specify a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3111500</wp:posOffset>
            </wp:positionV>
            <wp:extent cx="2584450" cy="1917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ind w:right="380"/>
        <w:spacing w:after="0" w:line="290" w:lineRule="auto"/>
        <w:rPr>
          <w:sz w:val="20"/>
          <w:szCs w:val="20"/>
          <w:color w:val="auto"/>
        </w:rPr>
      </w:pPr>
      <w:r>
        <w:rPr>
          <w:rFonts w:ascii="Arial" w:cs="Arial" w:eastAsia="Arial" w:hAnsi="Arial"/>
          <w:sz w:val="16"/>
          <w:szCs w:val="16"/>
          <w:color w:val="3A4967"/>
        </w:rPr>
        <w:t>upon which the total authorization would expire and, in the future, can further increase the authorized amount. As of December 28, 2024, the Company had repurchased a cumulative total of approximately 14.9 million shares of its Class A Common Stock for an aggregate purchase price of approximately $1.17 billion and had approximately $427.5 million remaining on the $1.6 billion stock repurchase expenditure limit set by the Board of Directors.</w:t>
      </w:r>
    </w:p>
    <w:p>
      <w:pPr>
        <w:spacing w:after="0" w:line="200" w:lineRule="exact"/>
        <w:rPr>
          <w:sz w:val="20"/>
          <w:szCs w:val="20"/>
          <w:color w:val="auto"/>
        </w:rPr>
      </w:pPr>
    </w:p>
    <w:p>
      <w:pPr>
        <w:sectPr>
          <w:pgSz w:w="11880" w:h="15481" w:orient="portrait"/>
          <w:cols w:equalWidth="0" w:num="2">
            <w:col w:w="4929" w:space="340"/>
            <w:col w:w="5300"/>
          </w:cols>
          <w:pgMar w:left="851" w:top="579" w:right="4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149"/>
        <w:spacing w:after="0"/>
        <w:tabs>
          <w:tab w:leader="none" w:pos="10369"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939925" cy="4763"/>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-97155</wp:posOffset>
            </wp:positionV>
            <wp:extent cx="1939925" cy="4763"/>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-539750</wp:posOffset>
            </wp:positionH>
            <wp:positionV relativeFrom="paragraph">
              <wp:posOffset>205740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205740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9"/>
          </w:cols>
          <w:pgMar w:left="851" w:top="579" w:right="461" w:bottom="0" w:gutter="0" w:footer="0" w:header="0"/>
          <w:type w:val="continuous"/>
        </w:sectPr>
      </w:pPr>
    </w:p>
    <w:bookmarkStart w:id="33" w:name="page34"/>
    <w:bookmarkEnd w:id="33"/>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5 </w:t>
      </w:r>
      <w:r>
        <w:rPr>
          <w:rFonts w:ascii="Arial" w:cs="Arial" w:eastAsia="Arial" w:hAnsi="Arial"/>
          <w:sz w:val="14"/>
          <w:szCs w:val="14"/>
          <w:color w:val="6D7890"/>
        </w:rPr>
        <w:t>Market for Registrant’s Common Equity, Related Stockholder Matters and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80" w:right="20"/>
        <w:spacing w:after="0" w:line="256" w:lineRule="auto"/>
        <w:rPr>
          <w:sz w:val="20"/>
          <w:szCs w:val="20"/>
          <w:color w:val="auto"/>
        </w:rPr>
      </w:pPr>
      <w:r>
        <w:rPr>
          <w:rFonts w:ascii="Arial" w:cs="Arial" w:eastAsia="Arial" w:hAnsi="Arial"/>
          <w:sz w:val="18"/>
          <w:szCs w:val="18"/>
          <w:color w:val="3A4967"/>
        </w:rPr>
        <w:t>During fiscal year 2024, the Company repurchased and subsequently retired 803,281 shares of its Class A Common Stock for an aggregate purchase price of $238.9 million. Additionally, the Company repurchased 1,351 shares of its Class A Common Stock for repurchases of unvested investment shares issued under the Investment Share Program of the Company’s Employee Equity Incentive Plan, as illustrated in the table below:</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3A4967"/>
              </w:rPr>
              <w:t>Total Number of</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Dollar Value of Shares</w:t>
            </w:r>
          </w:p>
        </w:tc>
      </w:tr>
      <w:tr>
        <w:trPr>
          <w:trHeight w:val="192"/>
        </w:trPr>
        <w:tc>
          <w:tcPr>
            <w:tcW w:w="3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3A4967"/>
              </w:rPr>
              <w:t>Shares Purchased</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3A4967"/>
              </w:rPr>
              <w:t>that May Yet be</w:t>
            </w:r>
          </w:p>
        </w:tc>
      </w:tr>
      <w:tr>
        <w:trPr>
          <w:trHeight w:val="192"/>
        </w:trPr>
        <w:tc>
          <w:tcPr>
            <w:tcW w:w="3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3A4967"/>
              </w:rPr>
              <w:t>as Part of Publicly</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3A4967"/>
              </w:rPr>
              <w:t>Purchased Under the</w:t>
            </w:r>
          </w:p>
        </w:tc>
      </w:tr>
      <w:tr>
        <w:trPr>
          <w:trHeight w:val="192"/>
        </w:trPr>
        <w:tc>
          <w:tcPr>
            <w:tcW w:w="35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3A4967"/>
              </w:rPr>
              <w:t>Total Number of</w:t>
            </w:r>
          </w:p>
        </w:tc>
        <w:tc>
          <w:tcPr>
            <w:tcW w:w="220" w:type="dxa"/>
            <w:vAlign w:val="bottom"/>
          </w:tcPr>
          <w:p>
            <w:pPr>
              <w:spacing w:after="0"/>
              <w:rPr>
                <w:sz w:val="16"/>
                <w:szCs w:val="16"/>
                <w:color w:val="auto"/>
              </w:rPr>
            </w:pPr>
          </w:p>
        </w:tc>
        <w:tc>
          <w:tcPr>
            <w:tcW w:w="1200" w:type="dxa"/>
            <w:vAlign w:val="bottom"/>
          </w:tcPr>
          <w:p>
            <w:pPr>
              <w:jc w:val="right"/>
              <w:ind w:right="35"/>
              <w:spacing w:after="0"/>
              <w:rPr>
                <w:sz w:val="20"/>
                <w:szCs w:val="20"/>
                <w:color w:val="auto"/>
              </w:rPr>
            </w:pPr>
            <w:r>
              <w:rPr>
                <w:rFonts w:ascii="Arial" w:cs="Arial" w:eastAsia="Arial" w:hAnsi="Arial"/>
                <w:sz w:val="16"/>
                <w:szCs w:val="16"/>
                <w:b w:val="1"/>
                <w:bCs w:val="1"/>
                <w:color w:val="3A4967"/>
                <w:w w:val="99"/>
              </w:rPr>
              <w:t>Average Price</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3A4967"/>
              </w:rPr>
              <w:t>Announced Plans</w:t>
            </w:r>
          </w:p>
        </w:tc>
        <w:tc>
          <w:tcPr>
            <w:tcW w:w="2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3A4967"/>
              </w:rPr>
              <w:t>Plans or Programs</w:t>
            </w:r>
          </w:p>
        </w:tc>
      </w:tr>
      <w:tr>
        <w:trPr>
          <w:trHeight w:val="198"/>
        </w:trPr>
        <w:tc>
          <w:tcPr>
            <w:tcW w:w="3520" w:type="dxa"/>
            <w:vAlign w:val="bottom"/>
          </w:tcPr>
          <w:p>
            <w:pPr>
              <w:ind w:left="80"/>
              <w:spacing w:after="0"/>
              <w:rPr>
                <w:sz w:val="20"/>
                <w:szCs w:val="20"/>
                <w:color w:val="auto"/>
              </w:rPr>
            </w:pPr>
            <w:r>
              <w:rPr>
                <w:rFonts w:ascii="Arial" w:cs="Arial" w:eastAsia="Arial" w:hAnsi="Arial"/>
                <w:sz w:val="16"/>
                <w:szCs w:val="16"/>
                <w:b w:val="1"/>
                <w:bCs w:val="1"/>
                <w:color w:val="3A4967"/>
              </w:rPr>
              <w:t>Period</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3A4967"/>
              </w:rPr>
              <w:t>Shares Purchased</w:t>
            </w:r>
          </w:p>
        </w:tc>
        <w:tc>
          <w:tcPr>
            <w:tcW w:w="1420" w:type="dxa"/>
            <w:vAlign w:val="bottom"/>
            <w:gridSpan w:val="2"/>
          </w:tcPr>
          <w:p>
            <w:pPr>
              <w:jc w:val="right"/>
              <w:ind w:right="35"/>
              <w:spacing w:after="0"/>
              <w:rPr>
                <w:sz w:val="20"/>
                <w:szCs w:val="20"/>
                <w:color w:val="auto"/>
              </w:rPr>
            </w:pPr>
            <w:r>
              <w:rPr>
                <w:rFonts w:ascii="Arial" w:cs="Arial" w:eastAsia="Arial" w:hAnsi="Arial"/>
                <w:sz w:val="16"/>
                <w:szCs w:val="16"/>
                <w:b w:val="1"/>
                <w:bCs w:val="1"/>
                <w:color w:val="3A4967"/>
              </w:rPr>
              <w:t>Paid per Share</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3A4967"/>
              </w:rPr>
              <w:t>or Programs</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3A4967"/>
              </w:rPr>
              <w:t>(in thousands)</w:t>
            </w:r>
          </w:p>
        </w:tc>
      </w:tr>
      <w:tr>
        <w:trPr>
          <w:trHeight w:val="36"/>
        </w:trPr>
        <w:tc>
          <w:tcPr>
            <w:tcW w:w="3520" w:type="dxa"/>
            <w:vAlign w:val="bottom"/>
            <w:tcBorders>
              <w:bottom w:val="single" w:sz="8" w:color="3A4967"/>
            </w:tcBorders>
          </w:tcPr>
          <w:p>
            <w:pPr>
              <w:spacing w:after="0"/>
              <w:rPr>
                <w:sz w:val="3"/>
                <w:szCs w:val="3"/>
                <w:color w:val="auto"/>
              </w:rPr>
            </w:pPr>
          </w:p>
        </w:tc>
        <w:tc>
          <w:tcPr>
            <w:tcW w:w="1780" w:type="dxa"/>
            <w:vAlign w:val="bottom"/>
            <w:tcBorders>
              <w:bottom w:val="single" w:sz="8" w:color="3A4967"/>
            </w:tcBorders>
          </w:tcPr>
          <w:p>
            <w:pPr>
              <w:spacing w:after="0"/>
              <w:rPr>
                <w:sz w:val="3"/>
                <w:szCs w:val="3"/>
                <w:color w:val="auto"/>
              </w:rPr>
            </w:pPr>
          </w:p>
        </w:tc>
        <w:tc>
          <w:tcPr>
            <w:tcW w:w="220" w:type="dxa"/>
            <w:vAlign w:val="bottom"/>
            <w:tcBorders>
              <w:bottom w:val="single" w:sz="8" w:color="3A4967"/>
            </w:tcBorders>
          </w:tcPr>
          <w:p>
            <w:pPr>
              <w:spacing w:after="0"/>
              <w:rPr>
                <w:sz w:val="3"/>
                <w:szCs w:val="3"/>
                <w:color w:val="auto"/>
              </w:rPr>
            </w:pPr>
          </w:p>
        </w:tc>
        <w:tc>
          <w:tcPr>
            <w:tcW w:w="1200" w:type="dxa"/>
            <w:vAlign w:val="bottom"/>
            <w:tcBorders>
              <w:bottom w:val="single" w:sz="8" w:color="3A4967"/>
            </w:tcBorders>
          </w:tcPr>
          <w:p>
            <w:pPr>
              <w:spacing w:after="0"/>
              <w:rPr>
                <w:sz w:val="3"/>
                <w:szCs w:val="3"/>
                <w:color w:val="auto"/>
              </w:rPr>
            </w:pPr>
          </w:p>
        </w:tc>
        <w:tc>
          <w:tcPr>
            <w:tcW w:w="1580" w:type="dxa"/>
            <w:vAlign w:val="bottom"/>
            <w:tcBorders>
              <w:bottom w:val="single" w:sz="8" w:color="3A4967"/>
            </w:tcBorders>
          </w:tcPr>
          <w:p>
            <w:pPr>
              <w:spacing w:after="0"/>
              <w:rPr>
                <w:sz w:val="3"/>
                <w:szCs w:val="3"/>
                <w:color w:val="auto"/>
              </w:rPr>
            </w:pPr>
          </w:p>
        </w:tc>
        <w:tc>
          <w:tcPr>
            <w:tcW w:w="280" w:type="dxa"/>
            <w:vAlign w:val="bottom"/>
            <w:tcBorders>
              <w:bottom w:val="single" w:sz="8" w:color="3A4967"/>
            </w:tcBorders>
          </w:tcPr>
          <w:p>
            <w:pPr>
              <w:spacing w:after="0"/>
              <w:rPr>
                <w:sz w:val="3"/>
                <w:szCs w:val="3"/>
                <w:color w:val="auto"/>
              </w:rPr>
            </w:pPr>
          </w:p>
        </w:tc>
        <w:tc>
          <w:tcPr>
            <w:tcW w:w="1600" w:type="dxa"/>
            <w:vAlign w:val="bottom"/>
            <w:tcBorders>
              <w:bottom w:val="single" w:sz="8" w:color="3A4967"/>
            </w:tcBorders>
          </w:tcPr>
          <w:p>
            <w:pPr>
              <w:spacing w:after="0"/>
              <w:rPr>
                <w:sz w:val="3"/>
                <w:szCs w:val="3"/>
                <w:color w:val="auto"/>
              </w:rPr>
            </w:pPr>
          </w:p>
        </w:tc>
      </w:tr>
      <w:tr>
        <w:trPr>
          <w:trHeight w:val="227"/>
        </w:trPr>
        <w:tc>
          <w:tcPr>
            <w:tcW w:w="3520" w:type="dxa"/>
            <w:vAlign w:val="bottom"/>
          </w:tcPr>
          <w:p>
            <w:pPr>
              <w:ind w:left="80"/>
              <w:spacing w:after="0"/>
              <w:rPr>
                <w:sz w:val="20"/>
                <w:szCs w:val="20"/>
                <w:color w:val="auto"/>
              </w:rPr>
            </w:pPr>
            <w:r>
              <w:rPr>
                <w:rFonts w:ascii="Arial" w:cs="Arial" w:eastAsia="Arial" w:hAnsi="Arial"/>
                <w:sz w:val="17"/>
                <w:szCs w:val="17"/>
                <w:color w:val="3A4967"/>
              </w:rPr>
              <w:t>December 31, 2023 - February 3, 2024</w:t>
            </w:r>
          </w:p>
        </w:tc>
        <w:tc>
          <w:tcPr>
            <w:tcW w:w="1780" w:type="dxa"/>
            <w:vAlign w:val="bottom"/>
          </w:tcPr>
          <w:p>
            <w:pPr>
              <w:jc w:val="right"/>
              <w:spacing w:after="0"/>
              <w:rPr>
                <w:sz w:val="20"/>
                <w:szCs w:val="20"/>
                <w:color w:val="auto"/>
              </w:rPr>
            </w:pPr>
            <w:r>
              <w:rPr>
                <w:rFonts w:ascii="Arial" w:cs="Arial" w:eastAsia="Arial" w:hAnsi="Arial"/>
                <w:sz w:val="17"/>
                <w:szCs w:val="17"/>
                <w:color w:val="3A4967"/>
              </w:rPr>
              <w:t>61,817</w:t>
            </w:r>
          </w:p>
        </w:tc>
        <w:tc>
          <w:tcPr>
            <w:tcW w:w="220" w:type="dxa"/>
            <w:vAlign w:val="bottom"/>
          </w:tcPr>
          <w:p>
            <w:pPr>
              <w:jc w:val="right"/>
              <w:spacing w:after="0"/>
              <w:rPr>
                <w:sz w:val="20"/>
                <w:szCs w:val="20"/>
                <w:color w:val="auto"/>
              </w:rPr>
            </w:pPr>
            <w:r>
              <w:rPr>
                <w:rFonts w:ascii="Arial" w:cs="Arial" w:eastAsia="Arial" w:hAnsi="Arial"/>
                <w:sz w:val="17"/>
                <w:szCs w:val="17"/>
                <w:color w:val="3A4967"/>
              </w:rPr>
              <w:t>$</w:t>
            </w:r>
          </w:p>
        </w:tc>
        <w:tc>
          <w:tcPr>
            <w:tcW w:w="1200" w:type="dxa"/>
            <w:vAlign w:val="bottom"/>
          </w:tcPr>
          <w:p>
            <w:pPr>
              <w:jc w:val="right"/>
              <w:ind w:right="35"/>
              <w:spacing w:after="0"/>
              <w:rPr>
                <w:sz w:val="20"/>
                <w:szCs w:val="20"/>
                <w:color w:val="auto"/>
              </w:rPr>
            </w:pPr>
            <w:r>
              <w:rPr>
                <w:rFonts w:ascii="Arial" w:cs="Arial" w:eastAsia="Arial" w:hAnsi="Arial"/>
                <w:sz w:val="17"/>
                <w:szCs w:val="17"/>
                <w:color w:val="3A4967"/>
              </w:rPr>
              <w:t>349.89</w:t>
            </w:r>
          </w:p>
        </w:tc>
        <w:tc>
          <w:tcPr>
            <w:tcW w:w="1580" w:type="dxa"/>
            <w:vAlign w:val="bottom"/>
          </w:tcPr>
          <w:p>
            <w:pPr>
              <w:jc w:val="right"/>
              <w:spacing w:after="0"/>
              <w:rPr>
                <w:sz w:val="20"/>
                <w:szCs w:val="20"/>
                <w:color w:val="auto"/>
              </w:rPr>
            </w:pPr>
            <w:r>
              <w:rPr>
                <w:rFonts w:ascii="Arial" w:cs="Arial" w:eastAsia="Arial" w:hAnsi="Arial"/>
                <w:sz w:val="17"/>
                <w:szCs w:val="17"/>
                <w:color w:val="3A4967"/>
              </w:rPr>
              <w:t>61,525</w:t>
            </w:r>
          </w:p>
        </w:tc>
        <w:tc>
          <w:tcPr>
            <w:tcW w:w="280" w:type="dxa"/>
            <w:vAlign w:val="bottom"/>
          </w:tcPr>
          <w:p>
            <w:pPr>
              <w:jc w:val="right"/>
              <w:spacing w:after="0"/>
              <w:rPr>
                <w:sz w:val="20"/>
                <w:szCs w:val="20"/>
                <w:color w:val="auto"/>
              </w:rPr>
            </w:pPr>
            <w:r>
              <w:rPr>
                <w:rFonts w:ascii="Arial" w:cs="Arial" w:eastAsia="Arial" w:hAnsi="Arial"/>
                <w:sz w:val="17"/>
                <w:szCs w:val="17"/>
                <w:color w:val="3A4967"/>
              </w:rPr>
              <w:t>$</w:t>
            </w:r>
          </w:p>
        </w:tc>
        <w:tc>
          <w:tcPr>
            <w:tcW w:w="1600" w:type="dxa"/>
            <w:vAlign w:val="bottom"/>
          </w:tcPr>
          <w:p>
            <w:pPr>
              <w:jc w:val="right"/>
              <w:spacing w:after="0"/>
              <w:rPr>
                <w:sz w:val="20"/>
                <w:szCs w:val="20"/>
                <w:color w:val="auto"/>
              </w:rPr>
            </w:pPr>
            <w:r>
              <w:rPr>
                <w:rFonts w:ascii="Arial" w:cs="Arial" w:eastAsia="Arial" w:hAnsi="Arial"/>
                <w:sz w:val="17"/>
                <w:szCs w:val="17"/>
                <w:color w:val="3A4967"/>
              </w:rPr>
              <w:t>244,893</w:t>
            </w:r>
          </w:p>
        </w:tc>
      </w:tr>
      <w:tr>
        <w:trPr>
          <w:trHeight w:val="281"/>
        </w:trPr>
        <w:tc>
          <w:tcPr>
            <w:tcW w:w="3520" w:type="dxa"/>
            <w:vAlign w:val="bottom"/>
          </w:tcPr>
          <w:p>
            <w:pPr>
              <w:ind w:left="80"/>
              <w:spacing w:after="0"/>
              <w:rPr>
                <w:sz w:val="20"/>
                <w:szCs w:val="20"/>
                <w:color w:val="auto"/>
              </w:rPr>
            </w:pPr>
            <w:r>
              <w:rPr>
                <w:rFonts w:ascii="Arial" w:cs="Arial" w:eastAsia="Arial" w:hAnsi="Arial"/>
                <w:sz w:val="17"/>
                <w:szCs w:val="17"/>
                <w:color w:val="3A4967"/>
              </w:rPr>
              <w:t>February 4, 2024 - March 2, 2024</w:t>
            </w:r>
          </w:p>
        </w:tc>
        <w:tc>
          <w:tcPr>
            <w:tcW w:w="1780" w:type="dxa"/>
            <w:vAlign w:val="bottom"/>
          </w:tcPr>
          <w:p>
            <w:pPr>
              <w:jc w:val="right"/>
              <w:spacing w:after="0"/>
              <w:rPr>
                <w:sz w:val="20"/>
                <w:szCs w:val="20"/>
                <w:color w:val="auto"/>
              </w:rPr>
            </w:pPr>
            <w:r>
              <w:rPr>
                <w:rFonts w:ascii="Arial" w:cs="Arial" w:eastAsia="Arial" w:hAnsi="Arial"/>
                <w:sz w:val="17"/>
                <w:szCs w:val="17"/>
                <w:color w:val="3A4967"/>
              </w:rPr>
              <w:t>53,335</w:t>
            </w:r>
          </w:p>
        </w:tc>
        <w:tc>
          <w:tcPr>
            <w:tcW w:w="22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3A4967"/>
              </w:rPr>
              <w:t>345.82</w:t>
            </w:r>
          </w:p>
        </w:tc>
        <w:tc>
          <w:tcPr>
            <w:tcW w:w="1580" w:type="dxa"/>
            <w:vAlign w:val="bottom"/>
          </w:tcPr>
          <w:p>
            <w:pPr>
              <w:jc w:val="right"/>
              <w:spacing w:after="0"/>
              <w:rPr>
                <w:sz w:val="20"/>
                <w:szCs w:val="20"/>
                <w:color w:val="auto"/>
              </w:rPr>
            </w:pPr>
            <w:r>
              <w:rPr>
                <w:rFonts w:ascii="Arial" w:cs="Arial" w:eastAsia="Arial" w:hAnsi="Arial"/>
                <w:sz w:val="17"/>
                <w:szCs w:val="17"/>
                <w:color w:val="3A4967"/>
              </w:rPr>
              <w:t>53,328</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3A4967"/>
              </w:rPr>
              <w:t>226,450</w:t>
            </w:r>
          </w:p>
        </w:tc>
      </w:tr>
      <w:tr>
        <w:trPr>
          <w:trHeight w:val="281"/>
        </w:trPr>
        <w:tc>
          <w:tcPr>
            <w:tcW w:w="3520" w:type="dxa"/>
            <w:vAlign w:val="bottom"/>
          </w:tcPr>
          <w:p>
            <w:pPr>
              <w:ind w:left="80"/>
              <w:spacing w:after="0"/>
              <w:rPr>
                <w:sz w:val="20"/>
                <w:szCs w:val="20"/>
                <w:color w:val="auto"/>
              </w:rPr>
            </w:pPr>
            <w:r>
              <w:rPr>
                <w:rFonts w:ascii="Arial" w:cs="Arial" w:eastAsia="Arial" w:hAnsi="Arial"/>
                <w:sz w:val="17"/>
                <w:szCs w:val="17"/>
                <w:color w:val="3A4967"/>
              </w:rPr>
              <w:t>March 3, 2024 - March 30, 2024</w:t>
            </w:r>
          </w:p>
        </w:tc>
        <w:tc>
          <w:tcPr>
            <w:tcW w:w="1780" w:type="dxa"/>
            <w:vAlign w:val="bottom"/>
          </w:tcPr>
          <w:p>
            <w:pPr>
              <w:jc w:val="right"/>
              <w:spacing w:after="0"/>
              <w:rPr>
                <w:sz w:val="20"/>
                <w:szCs w:val="20"/>
                <w:color w:val="auto"/>
              </w:rPr>
            </w:pPr>
            <w:r>
              <w:rPr>
                <w:rFonts w:ascii="Arial" w:cs="Arial" w:eastAsia="Arial" w:hAnsi="Arial"/>
                <w:sz w:val="17"/>
                <w:szCs w:val="17"/>
                <w:color w:val="3A4967"/>
              </w:rPr>
              <w:t>33,386</w:t>
            </w:r>
          </w:p>
        </w:tc>
        <w:tc>
          <w:tcPr>
            <w:tcW w:w="22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3A4967"/>
              </w:rPr>
              <w:t>298.76</w:t>
            </w:r>
          </w:p>
        </w:tc>
        <w:tc>
          <w:tcPr>
            <w:tcW w:w="1580" w:type="dxa"/>
            <w:vAlign w:val="bottom"/>
          </w:tcPr>
          <w:p>
            <w:pPr>
              <w:jc w:val="right"/>
              <w:spacing w:after="0"/>
              <w:rPr>
                <w:sz w:val="20"/>
                <w:szCs w:val="20"/>
                <w:color w:val="auto"/>
              </w:rPr>
            </w:pPr>
            <w:r>
              <w:rPr>
                <w:rFonts w:ascii="Arial" w:cs="Arial" w:eastAsia="Arial" w:hAnsi="Arial"/>
                <w:sz w:val="17"/>
                <w:szCs w:val="17"/>
                <w:color w:val="3A4967"/>
              </w:rPr>
              <w:t>33,330</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3A4967"/>
              </w:rPr>
              <w:t>216,490</w:t>
            </w:r>
          </w:p>
        </w:tc>
      </w:tr>
      <w:tr>
        <w:trPr>
          <w:trHeight w:val="281"/>
        </w:trPr>
        <w:tc>
          <w:tcPr>
            <w:tcW w:w="3520" w:type="dxa"/>
            <w:vAlign w:val="bottom"/>
          </w:tcPr>
          <w:p>
            <w:pPr>
              <w:ind w:left="80"/>
              <w:spacing w:after="0"/>
              <w:rPr>
                <w:sz w:val="20"/>
                <w:szCs w:val="20"/>
                <w:color w:val="auto"/>
              </w:rPr>
            </w:pPr>
            <w:r>
              <w:rPr>
                <w:rFonts w:ascii="Arial" w:cs="Arial" w:eastAsia="Arial" w:hAnsi="Arial"/>
                <w:sz w:val="17"/>
                <w:szCs w:val="17"/>
                <w:color w:val="3A4967"/>
              </w:rPr>
              <w:t>March 31, 2024 - May 4, 2024</w:t>
            </w:r>
          </w:p>
        </w:tc>
        <w:tc>
          <w:tcPr>
            <w:tcW w:w="1780" w:type="dxa"/>
            <w:vAlign w:val="bottom"/>
          </w:tcPr>
          <w:p>
            <w:pPr>
              <w:jc w:val="right"/>
              <w:spacing w:after="0"/>
              <w:rPr>
                <w:sz w:val="20"/>
                <w:szCs w:val="20"/>
                <w:color w:val="auto"/>
              </w:rPr>
            </w:pPr>
            <w:r>
              <w:rPr>
                <w:rFonts w:ascii="Arial" w:cs="Arial" w:eastAsia="Arial" w:hAnsi="Arial"/>
                <w:sz w:val="17"/>
                <w:szCs w:val="17"/>
                <w:color w:val="3A4967"/>
              </w:rPr>
              <w:t>86,768</w:t>
            </w:r>
          </w:p>
        </w:tc>
        <w:tc>
          <w:tcPr>
            <w:tcW w:w="22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3A4967"/>
              </w:rPr>
              <w:t>288.13</w:t>
            </w:r>
          </w:p>
        </w:tc>
        <w:tc>
          <w:tcPr>
            <w:tcW w:w="1580" w:type="dxa"/>
            <w:vAlign w:val="bottom"/>
          </w:tcPr>
          <w:p>
            <w:pPr>
              <w:jc w:val="right"/>
              <w:spacing w:after="0"/>
              <w:rPr>
                <w:sz w:val="20"/>
                <w:szCs w:val="20"/>
                <w:color w:val="auto"/>
              </w:rPr>
            </w:pPr>
            <w:r>
              <w:rPr>
                <w:rFonts w:ascii="Arial" w:cs="Arial" w:eastAsia="Arial" w:hAnsi="Arial"/>
                <w:sz w:val="17"/>
                <w:szCs w:val="17"/>
                <w:color w:val="3A4967"/>
              </w:rPr>
              <w:t>86,741</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3A4967"/>
              </w:rPr>
              <w:t>191,494</w:t>
            </w:r>
          </w:p>
        </w:tc>
      </w:tr>
      <w:tr>
        <w:trPr>
          <w:trHeight w:val="281"/>
        </w:trPr>
        <w:tc>
          <w:tcPr>
            <w:tcW w:w="3520" w:type="dxa"/>
            <w:vAlign w:val="bottom"/>
          </w:tcPr>
          <w:p>
            <w:pPr>
              <w:ind w:left="80"/>
              <w:spacing w:after="0"/>
              <w:rPr>
                <w:sz w:val="20"/>
                <w:szCs w:val="20"/>
                <w:color w:val="auto"/>
              </w:rPr>
            </w:pPr>
            <w:r>
              <w:rPr>
                <w:rFonts w:ascii="Arial" w:cs="Arial" w:eastAsia="Arial" w:hAnsi="Arial"/>
                <w:sz w:val="17"/>
                <w:szCs w:val="17"/>
                <w:color w:val="3A4967"/>
              </w:rPr>
              <w:t>May 5, 2024 - June 1, 2024</w:t>
            </w:r>
          </w:p>
        </w:tc>
        <w:tc>
          <w:tcPr>
            <w:tcW w:w="1780" w:type="dxa"/>
            <w:vAlign w:val="bottom"/>
          </w:tcPr>
          <w:p>
            <w:pPr>
              <w:jc w:val="right"/>
              <w:spacing w:after="0"/>
              <w:rPr>
                <w:sz w:val="20"/>
                <w:szCs w:val="20"/>
                <w:color w:val="auto"/>
              </w:rPr>
            </w:pPr>
            <w:r>
              <w:rPr>
                <w:rFonts w:ascii="Arial" w:cs="Arial" w:eastAsia="Arial" w:hAnsi="Arial"/>
                <w:sz w:val="17"/>
                <w:szCs w:val="17"/>
                <w:color w:val="3A4967"/>
              </w:rPr>
              <w:t>69,743</w:t>
            </w:r>
          </w:p>
        </w:tc>
        <w:tc>
          <w:tcPr>
            <w:tcW w:w="22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3A4967"/>
              </w:rPr>
              <w:t>273.32</w:t>
            </w:r>
          </w:p>
        </w:tc>
        <w:tc>
          <w:tcPr>
            <w:tcW w:w="1580" w:type="dxa"/>
            <w:vAlign w:val="bottom"/>
          </w:tcPr>
          <w:p>
            <w:pPr>
              <w:jc w:val="right"/>
              <w:spacing w:after="0"/>
              <w:rPr>
                <w:sz w:val="20"/>
                <w:szCs w:val="20"/>
                <w:color w:val="auto"/>
              </w:rPr>
            </w:pPr>
            <w:r>
              <w:rPr>
                <w:rFonts w:ascii="Arial" w:cs="Arial" w:eastAsia="Arial" w:hAnsi="Arial"/>
                <w:sz w:val="17"/>
                <w:szCs w:val="17"/>
                <w:color w:val="3A4967"/>
              </w:rPr>
              <w:t>69,339</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3A4967"/>
              </w:rPr>
              <w:t>172,497</w:t>
            </w:r>
          </w:p>
        </w:tc>
      </w:tr>
      <w:tr>
        <w:trPr>
          <w:trHeight w:val="281"/>
        </w:trPr>
        <w:tc>
          <w:tcPr>
            <w:tcW w:w="3520" w:type="dxa"/>
            <w:vAlign w:val="bottom"/>
          </w:tcPr>
          <w:p>
            <w:pPr>
              <w:ind w:left="80"/>
              <w:spacing w:after="0"/>
              <w:rPr>
                <w:sz w:val="20"/>
                <w:szCs w:val="20"/>
                <w:color w:val="auto"/>
              </w:rPr>
            </w:pPr>
            <w:r>
              <w:rPr>
                <w:rFonts w:ascii="Arial" w:cs="Arial" w:eastAsia="Arial" w:hAnsi="Arial"/>
                <w:sz w:val="17"/>
                <w:szCs w:val="17"/>
                <w:color w:val="3A4967"/>
              </w:rPr>
              <w:t>June 2, 2024 - June 29, 2024</w:t>
            </w:r>
          </w:p>
        </w:tc>
        <w:tc>
          <w:tcPr>
            <w:tcW w:w="1780" w:type="dxa"/>
            <w:vAlign w:val="bottom"/>
          </w:tcPr>
          <w:p>
            <w:pPr>
              <w:jc w:val="right"/>
              <w:spacing w:after="0"/>
              <w:rPr>
                <w:sz w:val="20"/>
                <w:szCs w:val="20"/>
                <w:color w:val="auto"/>
              </w:rPr>
            </w:pPr>
            <w:r>
              <w:rPr>
                <w:rFonts w:ascii="Arial" w:cs="Arial" w:eastAsia="Arial" w:hAnsi="Arial"/>
                <w:sz w:val="17"/>
                <w:szCs w:val="17"/>
                <w:color w:val="3A4967"/>
              </w:rPr>
              <w:t>64,486</w:t>
            </w:r>
          </w:p>
        </w:tc>
        <w:tc>
          <w:tcPr>
            <w:tcW w:w="22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3A4967"/>
              </w:rPr>
              <w:t>294.91</w:t>
            </w:r>
          </w:p>
        </w:tc>
        <w:tc>
          <w:tcPr>
            <w:tcW w:w="1580" w:type="dxa"/>
            <w:vAlign w:val="bottom"/>
          </w:tcPr>
          <w:p>
            <w:pPr>
              <w:jc w:val="right"/>
              <w:spacing w:after="0"/>
              <w:rPr>
                <w:sz w:val="20"/>
                <w:szCs w:val="20"/>
                <w:color w:val="auto"/>
              </w:rPr>
            </w:pPr>
            <w:r>
              <w:rPr>
                <w:rFonts w:ascii="Arial" w:cs="Arial" w:eastAsia="Arial" w:hAnsi="Arial"/>
                <w:sz w:val="17"/>
                <w:szCs w:val="17"/>
                <w:color w:val="3A4967"/>
              </w:rPr>
              <w:t>64,366</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3A4967"/>
              </w:rPr>
              <w:t>153,499</w:t>
            </w:r>
          </w:p>
        </w:tc>
      </w:tr>
      <w:tr>
        <w:trPr>
          <w:trHeight w:val="281"/>
        </w:trPr>
        <w:tc>
          <w:tcPr>
            <w:tcW w:w="3520" w:type="dxa"/>
            <w:vAlign w:val="bottom"/>
          </w:tcPr>
          <w:p>
            <w:pPr>
              <w:ind w:left="80"/>
              <w:spacing w:after="0"/>
              <w:rPr>
                <w:sz w:val="20"/>
                <w:szCs w:val="20"/>
                <w:color w:val="auto"/>
              </w:rPr>
            </w:pPr>
            <w:r>
              <w:rPr>
                <w:rFonts w:ascii="Arial" w:cs="Arial" w:eastAsia="Arial" w:hAnsi="Arial"/>
                <w:sz w:val="17"/>
                <w:szCs w:val="17"/>
                <w:color w:val="3A4967"/>
              </w:rPr>
              <w:t>June 30, 2024 - August 3, 2024</w:t>
            </w:r>
          </w:p>
        </w:tc>
        <w:tc>
          <w:tcPr>
            <w:tcW w:w="1780" w:type="dxa"/>
            <w:vAlign w:val="bottom"/>
          </w:tcPr>
          <w:p>
            <w:pPr>
              <w:jc w:val="right"/>
              <w:spacing w:after="0"/>
              <w:rPr>
                <w:sz w:val="20"/>
                <w:szCs w:val="20"/>
                <w:color w:val="auto"/>
              </w:rPr>
            </w:pPr>
            <w:r>
              <w:rPr>
                <w:rFonts w:ascii="Arial" w:cs="Arial" w:eastAsia="Arial" w:hAnsi="Arial"/>
                <w:sz w:val="17"/>
                <w:szCs w:val="17"/>
                <w:color w:val="3A4967"/>
              </w:rPr>
              <w:t>84,144</w:t>
            </w:r>
          </w:p>
        </w:tc>
        <w:tc>
          <w:tcPr>
            <w:tcW w:w="22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3A4967"/>
              </w:rPr>
              <w:t>285.37</w:t>
            </w:r>
          </w:p>
        </w:tc>
        <w:tc>
          <w:tcPr>
            <w:tcW w:w="1580" w:type="dxa"/>
            <w:vAlign w:val="bottom"/>
          </w:tcPr>
          <w:p>
            <w:pPr>
              <w:jc w:val="right"/>
              <w:spacing w:after="0"/>
              <w:rPr>
                <w:sz w:val="20"/>
                <w:szCs w:val="20"/>
                <w:color w:val="auto"/>
              </w:rPr>
            </w:pPr>
            <w:r>
              <w:rPr>
                <w:rFonts w:ascii="Arial" w:cs="Arial" w:eastAsia="Arial" w:hAnsi="Arial"/>
                <w:sz w:val="17"/>
                <w:szCs w:val="17"/>
                <w:color w:val="3A4967"/>
              </w:rPr>
              <w:t>84,067</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3A4967"/>
              </w:rPr>
              <w:t>129,502</w:t>
            </w:r>
          </w:p>
        </w:tc>
      </w:tr>
      <w:tr>
        <w:trPr>
          <w:trHeight w:val="281"/>
        </w:trPr>
        <w:tc>
          <w:tcPr>
            <w:tcW w:w="3520" w:type="dxa"/>
            <w:vAlign w:val="bottom"/>
          </w:tcPr>
          <w:p>
            <w:pPr>
              <w:ind w:left="80"/>
              <w:spacing w:after="0"/>
              <w:rPr>
                <w:sz w:val="20"/>
                <w:szCs w:val="20"/>
                <w:color w:val="auto"/>
              </w:rPr>
            </w:pPr>
            <w:r>
              <w:rPr>
                <w:rFonts w:ascii="Arial" w:cs="Arial" w:eastAsia="Arial" w:hAnsi="Arial"/>
                <w:sz w:val="17"/>
                <w:szCs w:val="17"/>
                <w:color w:val="3A4967"/>
              </w:rPr>
              <w:t>August 4, 2024 - August 31, 2024</w:t>
            </w:r>
          </w:p>
        </w:tc>
        <w:tc>
          <w:tcPr>
            <w:tcW w:w="1780" w:type="dxa"/>
            <w:vAlign w:val="bottom"/>
          </w:tcPr>
          <w:p>
            <w:pPr>
              <w:jc w:val="right"/>
              <w:spacing w:after="0"/>
              <w:rPr>
                <w:sz w:val="20"/>
                <w:szCs w:val="20"/>
                <w:color w:val="auto"/>
              </w:rPr>
            </w:pPr>
            <w:r>
              <w:rPr>
                <w:rFonts w:ascii="Arial" w:cs="Arial" w:eastAsia="Arial" w:hAnsi="Arial"/>
                <w:sz w:val="17"/>
                <w:szCs w:val="17"/>
                <w:color w:val="3A4967"/>
              </w:rPr>
              <w:t>72,999</w:t>
            </w:r>
          </w:p>
        </w:tc>
        <w:tc>
          <w:tcPr>
            <w:tcW w:w="22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3A4967"/>
              </w:rPr>
              <w:t>274.42</w:t>
            </w:r>
          </w:p>
        </w:tc>
        <w:tc>
          <w:tcPr>
            <w:tcW w:w="1580" w:type="dxa"/>
            <w:vAlign w:val="bottom"/>
          </w:tcPr>
          <w:p>
            <w:pPr>
              <w:jc w:val="right"/>
              <w:spacing w:after="0"/>
              <w:rPr>
                <w:sz w:val="20"/>
                <w:szCs w:val="20"/>
                <w:color w:val="auto"/>
              </w:rPr>
            </w:pPr>
            <w:r>
              <w:rPr>
                <w:rFonts w:ascii="Arial" w:cs="Arial" w:eastAsia="Arial" w:hAnsi="Arial"/>
                <w:sz w:val="17"/>
                <w:szCs w:val="17"/>
                <w:color w:val="3A4967"/>
              </w:rPr>
              <w:t>72,744</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3A4967"/>
              </w:rPr>
              <w:t>109,504</w:t>
            </w:r>
          </w:p>
        </w:tc>
      </w:tr>
      <w:tr>
        <w:trPr>
          <w:trHeight w:val="281"/>
        </w:trPr>
        <w:tc>
          <w:tcPr>
            <w:tcW w:w="3520" w:type="dxa"/>
            <w:vAlign w:val="bottom"/>
          </w:tcPr>
          <w:p>
            <w:pPr>
              <w:ind w:left="80"/>
              <w:spacing w:after="0"/>
              <w:rPr>
                <w:sz w:val="20"/>
                <w:szCs w:val="20"/>
                <w:color w:val="auto"/>
              </w:rPr>
            </w:pPr>
            <w:r>
              <w:rPr>
                <w:rFonts w:ascii="Arial" w:cs="Arial" w:eastAsia="Arial" w:hAnsi="Arial"/>
                <w:sz w:val="17"/>
                <w:szCs w:val="17"/>
                <w:color w:val="3A4967"/>
              </w:rPr>
              <w:t>September 1, 2024 - September 28, 2024</w:t>
            </w:r>
          </w:p>
        </w:tc>
        <w:tc>
          <w:tcPr>
            <w:tcW w:w="1780" w:type="dxa"/>
            <w:vAlign w:val="bottom"/>
          </w:tcPr>
          <w:p>
            <w:pPr>
              <w:jc w:val="right"/>
              <w:spacing w:after="0"/>
              <w:rPr>
                <w:sz w:val="20"/>
                <w:szCs w:val="20"/>
                <w:color w:val="auto"/>
              </w:rPr>
            </w:pPr>
            <w:r>
              <w:rPr>
                <w:rFonts w:ascii="Arial" w:cs="Arial" w:eastAsia="Arial" w:hAnsi="Arial"/>
                <w:sz w:val="17"/>
                <w:szCs w:val="17"/>
                <w:color w:val="3A4967"/>
              </w:rPr>
              <w:t>69,054</w:t>
            </w:r>
          </w:p>
        </w:tc>
        <w:tc>
          <w:tcPr>
            <w:tcW w:w="22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3A4967"/>
              </w:rPr>
              <w:t>275.29</w:t>
            </w:r>
          </w:p>
        </w:tc>
        <w:tc>
          <w:tcPr>
            <w:tcW w:w="1580" w:type="dxa"/>
            <w:vAlign w:val="bottom"/>
          </w:tcPr>
          <w:p>
            <w:pPr>
              <w:jc w:val="right"/>
              <w:spacing w:after="0"/>
              <w:rPr>
                <w:sz w:val="20"/>
                <w:szCs w:val="20"/>
                <w:color w:val="auto"/>
              </w:rPr>
            </w:pPr>
            <w:r>
              <w:rPr>
                <w:rFonts w:ascii="Arial" w:cs="Arial" w:eastAsia="Arial" w:hAnsi="Arial"/>
                <w:sz w:val="17"/>
                <w:szCs w:val="17"/>
                <w:color w:val="3A4967"/>
              </w:rPr>
              <w:t>68,973</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3A4967"/>
              </w:rPr>
              <w:t>90,505</w:t>
            </w:r>
          </w:p>
        </w:tc>
      </w:tr>
      <w:tr>
        <w:trPr>
          <w:trHeight w:val="281"/>
        </w:trPr>
        <w:tc>
          <w:tcPr>
            <w:tcW w:w="3520" w:type="dxa"/>
            <w:vAlign w:val="bottom"/>
          </w:tcPr>
          <w:p>
            <w:pPr>
              <w:ind w:left="80"/>
              <w:spacing w:after="0"/>
              <w:rPr>
                <w:sz w:val="20"/>
                <w:szCs w:val="20"/>
                <w:color w:val="auto"/>
              </w:rPr>
            </w:pPr>
            <w:r>
              <w:rPr>
                <w:rFonts w:ascii="Arial" w:cs="Arial" w:eastAsia="Arial" w:hAnsi="Arial"/>
                <w:sz w:val="17"/>
                <w:szCs w:val="17"/>
                <w:color w:val="3A4967"/>
              </w:rPr>
              <w:t>September 29, 2024 - November 2, 2024</w:t>
            </w:r>
          </w:p>
        </w:tc>
        <w:tc>
          <w:tcPr>
            <w:tcW w:w="1780" w:type="dxa"/>
            <w:vAlign w:val="bottom"/>
          </w:tcPr>
          <w:p>
            <w:pPr>
              <w:jc w:val="right"/>
              <w:spacing w:after="0"/>
              <w:rPr>
                <w:sz w:val="20"/>
                <w:szCs w:val="20"/>
                <w:color w:val="auto"/>
              </w:rPr>
            </w:pPr>
            <w:r>
              <w:rPr>
                <w:rFonts w:ascii="Arial" w:cs="Arial" w:eastAsia="Arial" w:hAnsi="Arial"/>
                <w:sz w:val="17"/>
                <w:szCs w:val="17"/>
                <w:color w:val="3A4967"/>
              </w:rPr>
              <w:t>86,828</w:t>
            </w:r>
          </w:p>
        </w:tc>
        <w:tc>
          <w:tcPr>
            <w:tcW w:w="22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3A4967"/>
              </w:rPr>
              <w:t>287.89</w:t>
            </w:r>
          </w:p>
        </w:tc>
        <w:tc>
          <w:tcPr>
            <w:tcW w:w="1580" w:type="dxa"/>
            <w:vAlign w:val="bottom"/>
          </w:tcPr>
          <w:p>
            <w:pPr>
              <w:jc w:val="right"/>
              <w:spacing w:after="0"/>
              <w:rPr>
                <w:sz w:val="20"/>
                <w:szCs w:val="20"/>
                <w:color w:val="auto"/>
              </w:rPr>
            </w:pPr>
            <w:r>
              <w:rPr>
                <w:rFonts w:ascii="Arial" w:cs="Arial" w:eastAsia="Arial" w:hAnsi="Arial"/>
                <w:sz w:val="17"/>
                <w:szCs w:val="17"/>
                <w:color w:val="3A4967"/>
              </w:rPr>
              <w:t>86,828</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3A4967"/>
              </w:rPr>
              <w:t>465,506</w:t>
            </w:r>
          </w:p>
        </w:tc>
      </w:tr>
      <w:tr>
        <w:trPr>
          <w:trHeight w:val="281"/>
        </w:trPr>
        <w:tc>
          <w:tcPr>
            <w:tcW w:w="3520" w:type="dxa"/>
            <w:vAlign w:val="bottom"/>
          </w:tcPr>
          <w:p>
            <w:pPr>
              <w:ind w:left="80"/>
              <w:spacing w:after="0"/>
              <w:rPr>
                <w:sz w:val="20"/>
                <w:szCs w:val="20"/>
                <w:color w:val="auto"/>
              </w:rPr>
            </w:pPr>
            <w:r>
              <w:rPr>
                <w:rFonts w:ascii="Arial" w:cs="Arial" w:eastAsia="Arial" w:hAnsi="Arial"/>
                <w:sz w:val="17"/>
                <w:szCs w:val="17"/>
                <w:color w:val="3A4967"/>
              </w:rPr>
              <w:t>November 3, 2024 - November 30, 2024</w:t>
            </w:r>
          </w:p>
        </w:tc>
        <w:tc>
          <w:tcPr>
            <w:tcW w:w="1780" w:type="dxa"/>
            <w:vAlign w:val="bottom"/>
          </w:tcPr>
          <w:p>
            <w:pPr>
              <w:jc w:val="right"/>
              <w:spacing w:after="0"/>
              <w:rPr>
                <w:sz w:val="20"/>
                <w:szCs w:val="20"/>
                <w:color w:val="auto"/>
              </w:rPr>
            </w:pPr>
            <w:r>
              <w:rPr>
                <w:rFonts w:ascii="Arial" w:cs="Arial" w:eastAsia="Arial" w:hAnsi="Arial"/>
                <w:sz w:val="17"/>
                <w:szCs w:val="17"/>
                <w:color w:val="3A4967"/>
              </w:rPr>
              <w:t>60,978</w:t>
            </w:r>
          </w:p>
        </w:tc>
        <w:tc>
          <w:tcPr>
            <w:tcW w:w="22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3A4967"/>
              </w:rPr>
              <w:t>311.62</w:t>
            </w:r>
          </w:p>
        </w:tc>
        <w:tc>
          <w:tcPr>
            <w:tcW w:w="1580" w:type="dxa"/>
            <w:vAlign w:val="bottom"/>
          </w:tcPr>
          <w:p>
            <w:pPr>
              <w:jc w:val="right"/>
              <w:spacing w:after="0"/>
              <w:rPr>
                <w:sz w:val="20"/>
                <w:szCs w:val="20"/>
                <w:color w:val="auto"/>
              </w:rPr>
            </w:pPr>
            <w:r>
              <w:rPr>
                <w:rFonts w:ascii="Arial" w:cs="Arial" w:eastAsia="Arial" w:hAnsi="Arial"/>
                <w:sz w:val="17"/>
                <w:szCs w:val="17"/>
                <w:color w:val="3A4967"/>
              </w:rPr>
              <w:t>60,946</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3A4967"/>
              </w:rPr>
              <w:t>446,509</w:t>
            </w:r>
          </w:p>
        </w:tc>
      </w:tr>
      <w:tr>
        <w:trPr>
          <w:trHeight w:val="281"/>
        </w:trPr>
        <w:tc>
          <w:tcPr>
            <w:tcW w:w="3520" w:type="dxa"/>
            <w:vAlign w:val="bottom"/>
          </w:tcPr>
          <w:p>
            <w:pPr>
              <w:ind w:left="80"/>
              <w:spacing w:after="0"/>
              <w:rPr>
                <w:sz w:val="20"/>
                <w:szCs w:val="20"/>
                <w:color w:val="auto"/>
              </w:rPr>
            </w:pPr>
            <w:r>
              <w:rPr>
                <w:rFonts w:ascii="Arial" w:cs="Arial" w:eastAsia="Arial" w:hAnsi="Arial"/>
                <w:sz w:val="17"/>
                <w:szCs w:val="17"/>
                <w:color w:val="3A4967"/>
              </w:rPr>
              <w:t>December 1, 2024 - December 28, 2024</w:t>
            </w:r>
          </w:p>
        </w:tc>
        <w:tc>
          <w:tcPr>
            <w:tcW w:w="1780" w:type="dxa"/>
            <w:vAlign w:val="bottom"/>
          </w:tcPr>
          <w:p>
            <w:pPr>
              <w:jc w:val="right"/>
              <w:spacing w:after="0"/>
              <w:rPr>
                <w:sz w:val="20"/>
                <w:szCs w:val="20"/>
                <w:color w:val="auto"/>
              </w:rPr>
            </w:pPr>
            <w:r>
              <w:rPr>
                <w:rFonts w:ascii="Arial" w:cs="Arial" w:eastAsia="Arial" w:hAnsi="Arial"/>
                <w:sz w:val="17"/>
                <w:szCs w:val="17"/>
                <w:color w:val="3A4967"/>
              </w:rPr>
              <w:t>61,094</w:t>
            </w:r>
          </w:p>
        </w:tc>
        <w:tc>
          <w:tcPr>
            <w:tcW w:w="220" w:type="dxa"/>
            <w:vAlign w:val="bottom"/>
          </w:tcPr>
          <w:p>
            <w:pPr>
              <w:spacing w:after="0"/>
              <w:rPr>
                <w:sz w:val="24"/>
                <w:szCs w:val="24"/>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3A4967"/>
              </w:rPr>
              <w:t>310.53</w:t>
            </w:r>
          </w:p>
        </w:tc>
        <w:tc>
          <w:tcPr>
            <w:tcW w:w="1580" w:type="dxa"/>
            <w:vAlign w:val="bottom"/>
          </w:tcPr>
          <w:p>
            <w:pPr>
              <w:jc w:val="right"/>
              <w:spacing w:after="0"/>
              <w:rPr>
                <w:sz w:val="20"/>
                <w:szCs w:val="20"/>
                <w:color w:val="auto"/>
              </w:rPr>
            </w:pPr>
            <w:r>
              <w:rPr>
                <w:rFonts w:ascii="Arial" w:cs="Arial" w:eastAsia="Arial" w:hAnsi="Arial"/>
                <w:sz w:val="17"/>
                <w:szCs w:val="17"/>
                <w:color w:val="3A4967"/>
              </w:rPr>
              <w:t>61,094</w:t>
            </w: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3A4967"/>
              </w:rPr>
              <w:t>427,536</w:t>
            </w:r>
          </w:p>
        </w:tc>
      </w:tr>
      <w:tr>
        <w:trPr>
          <w:trHeight w:val="34"/>
        </w:trPr>
        <w:tc>
          <w:tcPr>
            <w:tcW w:w="3520" w:type="dxa"/>
            <w:vAlign w:val="bottom"/>
            <w:tcBorders>
              <w:bottom w:val="single" w:sz="8" w:color="3A4967"/>
            </w:tcBorders>
          </w:tcPr>
          <w:p>
            <w:pPr>
              <w:spacing w:after="0"/>
              <w:rPr>
                <w:sz w:val="2"/>
                <w:szCs w:val="2"/>
                <w:color w:val="auto"/>
              </w:rPr>
            </w:pPr>
          </w:p>
        </w:tc>
        <w:tc>
          <w:tcPr>
            <w:tcW w:w="1780" w:type="dxa"/>
            <w:vAlign w:val="bottom"/>
            <w:tcBorders>
              <w:bottom w:val="single" w:sz="8" w:color="3A4967"/>
            </w:tcBorders>
          </w:tcPr>
          <w:p>
            <w:pPr>
              <w:spacing w:after="0"/>
              <w:rPr>
                <w:sz w:val="2"/>
                <w:szCs w:val="2"/>
                <w:color w:val="auto"/>
              </w:rPr>
            </w:pPr>
          </w:p>
        </w:tc>
        <w:tc>
          <w:tcPr>
            <w:tcW w:w="220" w:type="dxa"/>
            <w:vAlign w:val="bottom"/>
            <w:tcBorders>
              <w:bottom w:val="single" w:sz="8" w:color="3A4967"/>
            </w:tcBorders>
          </w:tcPr>
          <w:p>
            <w:pPr>
              <w:spacing w:after="0"/>
              <w:rPr>
                <w:sz w:val="2"/>
                <w:szCs w:val="2"/>
                <w:color w:val="auto"/>
              </w:rPr>
            </w:pPr>
          </w:p>
        </w:tc>
        <w:tc>
          <w:tcPr>
            <w:tcW w:w="1200" w:type="dxa"/>
            <w:vAlign w:val="bottom"/>
            <w:tcBorders>
              <w:bottom w:val="single" w:sz="8" w:color="3A4967"/>
            </w:tcBorders>
          </w:tcPr>
          <w:p>
            <w:pPr>
              <w:spacing w:after="0"/>
              <w:rPr>
                <w:sz w:val="2"/>
                <w:szCs w:val="2"/>
                <w:color w:val="auto"/>
              </w:rPr>
            </w:pPr>
          </w:p>
        </w:tc>
        <w:tc>
          <w:tcPr>
            <w:tcW w:w="1580" w:type="dxa"/>
            <w:vAlign w:val="bottom"/>
            <w:tcBorders>
              <w:bottom w:val="single" w:sz="8" w:color="3A4967"/>
            </w:tcBorders>
          </w:tcPr>
          <w:p>
            <w:pPr>
              <w:spacing w:after="0"/>
              <w:rPr>
                <w:sz w:val="2"/>
                <w:szCs w:val="2"/>
                <w:color w:val="auto"/>
              </w:rPr>
            </w:pPr>
          </w:p>
        </w:tc>
        <w:tc>
          <w:tcPr>
            <w:tcW w:w="280" w:type="dxa"/>
            <w:vAlign w:val="bottom"/>
            <w:tcBorders>
              <w:bottom w:val="single" w:sz="8" w:color="3A4967"/>
            </w:tcBorders>
          </w:tcPr>
          <w:p>
            <w:pPr>
              <w:spacing w:after="0"/>
              <w:rPr>
                <w:sz w:val="2"/>
                <w:szCs w:val="2"/>
                <w:color w:val="auto"/>
              </w:rPr>
            </w:pPr>
          </w:p>
        </w:tc>
        <w:tc>
          <w:tcPr>
            <w:tcW w:w="1600" w:type="dxa"/>
            <w:vAlign w:val="bottom"/>
            <w:tcBorders>
              <w:bottom w:val="single" w:sz="8" w:color="3A4967"/>
            </w:tcBorders>
          </w:tcPr>
          <w:p>
            <w:pPr>
              <w:spacing w:after="0"/>
              <w:rPr>
                <w:sz w:val="2"/>
                <w:szCs w:val="2"/>
                <w:color w:val="auto"/>
              </w:rPr>
            </w:pPr>
          </w:p>
        </w:tc>
      </w:tr>
      <w:tr>
        <w:trPr>
          <w:trHeight w:val="267"/>
        </w:trPr>
        <w:tc>
          <w:tcPr>
            <w:tcW w:w="352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TOTAL</w:t>
            </w:r>
          </w:p>
        </w:tc>
        <w:tc>
          <w:tcPr>
            <w:tcW w:w="17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804,632</w:t>
            </w:r>
          </w:p>
        </w:tc>
        <w:tc>
          <w:tcPr>
            <w:tcW w:w="22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1200" w:type="dxa"/>
            <w:vAlign w:val="bottom"/>
            <w:tcBorders>
              <w:bottom w:val="single" w:sz="8" w:color="3A4967"/>
            </w:tcBorders>
          </w:tcPr>
          <w:p>
            <w:pPr>
              <w:jc w:val="right"/>
              <w:ind w:right="35"/>
              <w:spacing w:after="0"/>
              <w:rPr>
                <w:sz w:val="20"/>
                <w:szCs w:val="20"/>
                <w:color w:val="auto"/>
              </w:rPr>
            </w:pPr>
            <w:r>
              <w:rPr>
                <w:rFonts w:ascii="Arial" w:cs="Arial" w:eastAsia="Arial" w:hAnsi="Arial"/>
                <w:sz w:val="17"/>
                <w:szCs w:val="17"/>
                <w:b w:val="1"/>
                <w:bCs w:val="1"/>
                <w:color w:val="3A4967"/>
              </w:rPr>
              <w:t>297.22</w:t>
            </w:r>
          </w:p>
        </w:tc>
        <w:tc>
          <w:tcPr>
            <w:tcW w:w="15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803,281</w:t>
            </w:r>
          </w:p>
        </w:tc>
        <w:tc>
          <w:tcPr>
            <w:tcW w:w="2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160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427,536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4667885</wp:posOffset>
            </wp:positionV>
            <wp:extent cx="2584450" cy="1917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84450" cy="191770"/>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-2342515</wp:posOffset>
            </wp:positionV>
            <wp:extent cx="6471920" cy="23380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71920" cy="2338070"/>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24</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34" w:name="page35"/>
    <w:bookmarkEnd w:id="34"/>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3A4967"/>
        </w:rPr>
        <w:t xml:space="preserve">Item 7 </w:t>
      </w:r>
      <w:r>
        <w:rPr>
          <w:rFonts w:ascii="Arial" w:cs="Arial" w:eastAsia="Arial" w:hAnsi="Arial"/>
          <w:sz w:val="14"/>
          <w:szCs w:val="14"/>
          <w:color w:val="6D7890"/>
        </w:rPr>
        <w:t>Management’s Discussion and Analysis of Financial Condition and Results of Operations</w:t>
      </w:r>
    </w:p>
    <w:p>
      <w:pPr>
        <w:spacing w:after="0" w:line="200" w:lineRule="exact"/>
        <w:rPr>
          <w:sz w:val="20"/>
          <w:szCs w:val="20"/>
          <w:color w:val="auto"/>
        </w:rPr>
      </w:pPr>
    </w:p>
    <w:p>
      <w:pPr>
        <w:spacing w:after="0" w:line="399" w:lineRule="exact"/>
        <w:rPr>
          <w:sz w:val="20"/>
          <w:szCs w:val="20"/>
          <w:color w:val="auto"/>
        </w:rPr>
      </w:pPr>
    </w:p>
    <w:p>
      <w:pPr>
        <w:spacing w:after="0"/>
        <w:tabs>
          <w:tab w:leader="none" w:pos="1680" w:val="left"/>
        </w:tabs>
        <w:rPr>
          <w:sz w:val="20"/>
          <w:szCs w:val="20"/>
          <w:color w:val="auto"/>
        </w:rPr>
      </w:pPr>
      <w:r>
        <w:rPr>
          <w:rFonts w:ascii="Arial" w:cs="Arial" w:eastAsia="Arial" w:hAnsi="Arial"/>
          <w:sz w:val="35"/>
          <w:szCs w:val="35"/>
          <w:b w:val="1"/>
          <w:bCs w:val="1"/>
          <w:color w:val="3A4967"/>
        </w:rPr>
        <w:t>Item 6.</w:t>
      </w:r>
      <w:r>
        <w:rPr>
          <w:rFonts w:ascii="Arial" w:cs="Arial" w:eastAsia="Arial" w:hAnsi="Arial"/>
          <w:sz w:val="35"/>
          <w:szCs w:val="35"/>
          <w:b w:val="1"/>
          <w:bCs w:val="1"/>
          <w:color w:val="6D7890"/>
        </w:rPr>
        <w:tab/>
        <w:t>[Reserved]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00" w:right="800" w:hanging="1700"/>
        <w:spacing w:after="0" w:line="269" w:lineRule="auto"/>
        <w:tabs>
          <w:tab w:leader="none" w:pos="1680" w:val="left"/>
        </w:tabs>
        <w:rPr>
          <w:sz w:val="20"/>
          <w:szCs w:val="20"/>
          <w:color w:val="auto"/>
        </w:rPr>
      </w:pPr>
      <w:r>
        <w:rPr>
          <w:rFonts w:ascii="Arial" w:cs="Arial" w:eastAsia="Arial" w:hAnsi="Arial"/>
          <w:sz w:val="35"/>
          <w:szCs w:val="35"/>
          <w:b w:val="1"/>
          <w:bCs w:val="1"/>
          <w:color w:val="3A4967"/>
        </w:rPr>
        <w:t>Item 7.</w:t>
      </w:r>
      <w:r>
        <w:rPr>
          <w:rFonts w:ascii="Arial" w:cs="Arial" w:eastAsia="Arial" w:hAnsi="Arial"/>
          <w:sz w:val="35"/>
          <w:szCs w:val="35"/>
          <w:b w:val="1"/>
          <w:bCs w:val="1"/>
          <w:color w:val="6D7890"/>
        </w:rPr>
        <w:tab/>
        <w:t>Management’s Discussion and Analysis of Financial Condition and Results of Operations</w:t>
      </w:r>
    </w:p>
    <w:p>
      <w:pPr>
        <w:spacing w:after="0" w:line="18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3A4967"/>
        </w:rPr>
        <w:t>The Company has elected to omit discussion of the earliest of the three years covered by the consolidated financial statements presented. Refer to Item 7. “Management’s Discussion and Analysis of Financial Condition and Results of Operations” located in the Company’s Form 10-K for the fiscal year ended December 30, 2023, filed on February 27, 2024, for reference to discussion of the fiscal year ended December 31, 2022, the earliest of the three fiscal years presented.</w:t>
      </w:r>
    </w:p>
    <w:p>
      <w:pPr>
        <w:sectPr>
          <w:pgSz w:w="11880" w:h="15481" w:orient="portrait"/>
          <w:cols w:equalWidth="0" w:num="1">
            <w:col w:w="10560"/>
          </w:cols>
          <w:pgMar w:left="860" w:top="579" w:right="461" w:bottom="0" w:gutter="0" w:footer="0" w:header="0"/>
        </w:sectPr>
      </w:pPr>
    </w:p>
    <w:p>
      <w:pPr>
        <w:spacing w:after="0" w:line="340"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Forward-Looking Statements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4967"/>
        </w:rPr>
        <w:t>In this Form 10-K and in other documents incorporated herein, as well as in oral statements made by the Company, statements that are prefaced with the words “may,” “will,” “expect,” “anticipate,” “continue,” “estimate,” “project,” “intend,” “designed,” and similar expressions, are intended to identify forward-looking statements regarding events, conditions, and financial trends that may affect the Company’s future plans of operations, business strategy, results of operations, and financial position. These statements are based on the Company’s current expectations and estimates as to prospective events and circumstances about which the Company can give no firm assurance. Further, any forward-looking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380"/>
        <w:spacing w:after="0" w:line="268" w:lineRule="auto"/>
        <w:rPr>
          <w:sz w:val="20"/>
          <w:szCs w:val="20"/>
          <w:color w:val="auto"/>
        </w:rPr>
      </w:pPr>
      <w:r>
        <w:rPr>
          <w:rFonts w:ascii="Arial" w:cs="Arial" w:eastAsia="Arial" w:hAnsi="Arial"/>
          <w:sz w:val="17"/>
          <w:szCs w:val="17"/>
          <w:color w:val="3A4967"/>
        </w:rPr>
        <w:t>statement speaks only as of the date on which such statement is made, and the Company undertakes no obligation to update any forward-looking statement to reflect future events or circumstances. Forward-looking statements should not be relied upon as a prediction of actual future financial condition or results. These forward-looking statements, like any forward-looking statements, involve risks and uncertainties that could cause actual results to differ materially from those projected or anticipated. Such risks and uncertainties include the factors set forth above and the other information set forth in this Form 10-K.</w:t>
      </w:r>
    </w:p>
    <w:p>
      <w:pPr>
        <w:spacing w:after="0" w:line="428"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Introduction</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The Boston Beer Company is engaged in the business of producing and selling alcohol beverages primarily in the domestic market and, to a lesser extent, in selected international markets. The Company’s revenues are primarily derived by selling its beverages to Distributors, who in turn sell the products to retailers and drinkers.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3055620</wp:posOffset>
            </wp:positionV>
            <wp:extent cx="2584450" cy="1917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jc w:val="both"/>
        <w:ind w:right="380"/>
        <w:spacing w:after="0" w:line="271" w:lineRule="auto"/>
        <w:rPr>
          <w:sz w:val="20"/>
          <w:szCs w:val="20"/>
          <w:color w:val="auto"/>
        </w:rPr>
      </w:pPr>
      <w:r>
        <w:rPr>
          <w:rFonts w:ascii="Arial" w:cs="Arial" w:eastAsia="Arial" w:hAnsi="Arial"/>
          <w:sz w:val="17"/>
          <w:szCs w:val="17"/>
          <w:color w:val="3A4967"/>
        </w:rPr>
        <w:t>The Company competes primarily in the combined Beyond beer and Traditional beer market (“US Beer Market”). Beyond beer includes flavored malt beverages, hard seltzer, hard cider, spirits based ready to drink beverages (“spirits RTDs”) and other emerging beverages. Traditional beer generally includes mass domestics, imports, domestic specialties and craft beer.</w:t>
      </w:r>
    </w:p>
    <w:p>
      <w:pPr>
        <w:spacing w:after="0" w:line="200"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35" w:name="page36"/>
    <w:bookmarkEnd w:id="35"/>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7 </w:t>
      </w:r>
      <w:r>
        <w:rPr>
          <w:rFonts w:ascii="Arial" w:cs="Arial" w:eastAsia="Arial" w:hAnsi="Arial"/>
          <w:sz w:val="14"/>
          <w:szCs w:val="14"/>
          <w:color w:val="6D7890"/>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Results of Operations</w:t>
      </w:r>
    </w:p>
    <w:p>
      <w:pPr>
        <w:spacing w:after="0" w:line="289" w:lineRule="exact"/>
        <w:rPr>
          <w:sz w:val="20"/>
          <w:szCs w:val="20"/>
          <w:color w:val="auto"/>
        </w:rPr>
      </w:pPr>
    </w:p>
    <w:p>
      <w:pPr>
        <w:ind w:left="400" w:right="400"/>
        <w:spacing w:after="0" w:line="269" w:lineRule="auto"/>
        <w:rPr>
          <w:sz w:val="20"/>
          <w:szCs w:val="20"/>
          <w:color w:val="auto"/>
        </w:rPr>
      </w:pPr>
      <w:r>
        <w:rPr>
          <w:rFonts w:ascii="Arial" w:cs="Arial" w:eastAsia="Arial" w:hAnsi="Arial"/>
          <w:sz w:val="22"/>
          <w:szCs w:val="22"/>
          <w:b w:val="1"/>
          <w:bCs w:val="1"/>
          <w:color w:val="6D7890"/>
        </w:rPr>
        <w:t>Year Ended December 28, 2024 (52 weeks) Compared to Year Ended December 30, 2023 (52 weeks)</w:t>
      </w:r>
    </w:p>
    <w:p>
      <w:pPr>
        <w:spacing w:after="0" w:line="120"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3A4967"/>
        </w:rPr>
        <w:t>Year Ended</w:t>
      </w:r>
    </w:p>
    <w:p>
      <w:pPr>
        <w:spacing w:after="0" w:line="12"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3A4967"/>
        </w:rPr>
        <w:t>(in thousands, except per barrel)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16510</wp:posOffset>
            </wp:positionV>
            <wp:extent cx="352425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24250" cy="7620"/>
                    </a:xfrm>
                    <a:prstGeom prst="rect">
                      <a:avLst/>
                    </a:prstGeom>
                    <a:noFill/>
                  </pic:spPr>
                </pic:pic>
              </a:graphicData>
            </a:graphic>
          </wp:anchor>
        </w:drawing>
      </w:r>
    </w:p>
    <w:p>
      <w:pPr>
        <w:spacing w:after="0" w:line="92" w:lineRule="exact"/>
        <w:rPr>
          <w:sz w:val="20"/>
          <w:szCs w:val="20"/>
          <w:color w:val="auto"/>
        </w:rPr>
      </w:pPr>
    </w:p>
    <w:tbl>
      <w:tblPr>
        <w:tblLayout w:type="fixed"/>
        <w:tblInd w:w="400" w:type="dxa"/>
        <w:tblCellMar>
          <w:top w:w="0" w:type="dxa"/>
          <w:left w:w="0" w:type="dxa"/>
          <w:bottom w:w="0" w:type="dxa"/>
          <w:right w:w="0" w:type="dxa"/>
        </w:tblCellMar>
      </w:tblPr>
      <w:tr>
        <w:trPr>
          <w:trHeight w:val="206"/>
        </w:trPr>
        <w:tc>
          <w:tcPr>
            <w:tcW w:w="1960" w:type="dxa"/>
            <w:vAlign w:val="bottom"/>
          </w:tcPr>
          <w:p>
            <w:pPr>
              <w:spacing w:after="0"/>
              <w:rPr>
                <w:sz w:val="17"/>
                <w:szCs w:val="17"/>
                <w:color w:val="auto"/>
              </w:rPr>
            </w:pPr>
          </w:p>
        </w:tc>
        <w:tc>
          <w:tcPr>
            <w:tcW w:w="120" w:type="dxa"/>
            <w:vAlign w:val="bottom"/>
            <w:tcBorders>
              <w:bottom w:val="single" w:sz="8" w:color="3A4967"/>
            </w:tcBorders>
          </w:tcPr>
          <w:p>
            <w:pPr>
              <w:spacing w:after="0"/>
              <w:rPr>
                <w:sz w:val="17"/>
                <w:szCs w:val="17"/>
                <w:color w:val="auto"/>
              </w:rPr>
            </w:pPr>
          </w:p>
        </w:tc>
        <w:tc>
          <w:tcPr>
            <w:tcW w:w="1740" w:type="dxa"/>
            <w:vAlign w:val="bottom"/>
            <w:tcBorders>
              <w:bottom w:val="single" w:sz="8" w:color="3A4967"/>
            </w:tcBorders>
            <w:gridSpan w:val="3"/>
          </w:tcPr>
          <w:p>
            <w:pPr>
              <w:jc w:val="right"/>
              <w:spacing w:after="0"/>
              <w:rPr>
                <w:sz w:val="20"/>
                <w:szCs w:val="20"/>
                <w:color w:val="auto"/>
              </w:rPr>
            </w:pPr>
            <w:r>
              <w:rPr>
                <w:rFonts w:ascii="Arial" w:cs="Arial" w:eastAsia="Arial" w:hAnsi="Arial"/>
                <w:sz w:val="16"/>
                <w:szCs w:val="16"/>
                <w:b w:val="1"/>
                <w:bCs w:val="1"/>
                <w:color w:val="3A4967"/>
              </w:rPr>
              <w:t>Dec. 28 2024</w:t>
            </w:r>
          </w:p>
        </w:tc>
        <w:tc>
          <w:tcPr>
            <w:tcW w:w="840" w:type="dxa"/>
            <w:vAlign w:val="bottom"/>
            <w:tcBorders>
              <w:bottom w:val="single" w:sz="8" w:color="3A4967"/>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3A4967"/>
            </w:tcBorders>
          </w:tcPr>
          <w:p>
            <w:pPr>
              <w:spacing w:after="0"/>
              <w:rPr>
                <w:sz w:val="17"/>
                <w:szCs w:val="17"/>
                <w:color w:val="auto"/>
              </w:rPr>
            </w:pPr>
          </w:p>
        </w:tc>
        <w:tc>
          <w:tcPr>
            <w:tcW w:w="1740" w:type="dxa"/>
            <w:vAlign w:val="bottom"/>
            <w:tcBorders>
              <w:bottom w:val="single" w:sz="8" w:color="3A4967"/>
            </w:tcBorders>
            <w:gridSpan w:val="3"/>
          </w:tcPr>
          <w:p>
            <w:pPr>
              <w:jc w:val="right"/>
              <w:spacing w:after="0"/>
              <w:rPr>
                <w:sz w:val="20"/>
                <w:szCs w:val="20"/>
                <w:color w:val="auto"/>
              </w:rPr>
            </w:pPr>
            <w:r>
              <w:rPr>
                <w:rFonts w:ascii="Arial" w:cs="Arial" w:eastAsia="Arial" w:hAnsi="Arial"/>
                <w:sz w:val="16"/>
                <w:szCs w:val="16"/>
                <w:b w:val="1"/>
                <w:bCs w:val="1"/>
                <w:color w:val="3A4967"/>
              </w:rPr>
              <w:t>Dec. 30 2023</w:t>
            </w:r>
          </w:p>
        </w:tc>
        <w:tc>
          <w:tcPr>
            <w:tcW w:w="820" w:type="dxa"/>
            <w:vAlign w:val="bottom"/>
            <w:tcBorders>
              <w:bottom w:val="single" w:sz="8" w:color="3A4967"/>
            </w:tcBorders>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5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16"/>
              <w:spacing w:after="0"/>
              <w:rPr>
                <w:sz w:val="20"/>
                <w:szCs w:val="20"/>
                <w:color w:val="auto"/>
              </w:rPr>
            </w:pPr>
            <w:r>
              <w:rPr>
                <w:rFonts w:ascii="Arial" w:cs="Arial" w:eastAsia="Arial" w:hAnsi="Arial"/>
                <w:sz w:val="16"/>
                <w:szCs w:val="16"/>
                <w:b w:val="1"/>
                <w:bCs w:val="1"/>
                <w:color w:val="3A4967"/>
              </w:rPr>
              <w:t>Amount</w:t>
            </w:r>
          </w:p>
        </w:tc>
        <w:tc>
          <w:tcPr>
            <w:tcW w:w="820" w:type="dxa"/>
            <w:vAlign w:val="bottom"/>
          </w:tcPr>
          <w:p>
            <w:pPr>
              <w:jc w:val="right"/>
              <w:ind w:right="136"/>
              <w:spacing w:after="0"/>
              <w:rPr>
                <w:sz w:val="20"/>
                <w:szCs w:val="20"/>
                <w:color w:val="auto"/>
              </w:rPr>
            </w:pPr>
            <w:r>
              <w:rPr>
                <w:rFonts w:ascii="Arial" w:cs="Arial" w:eastAsia="Arial" w:hAnsi="Arial"/>
                <w:sz w:val="16"/>
                <w:szCs w:val="16"/>
                <w:b w:val="1"/>
                <w:bCs w:val="1"/>
                <w:color w:val="3A4967"/>
              </w:rPr>
              <w:t>%</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3A4967"/>
                <w:w w:val="98"/>
              </w:rPr>
              <w:t>Per barrel</w:t>
            </w:r>
          </w:p>
        </w:tc>
      </w:tr>
      <w:tr>
        <w:trPr>
          <w:trHeight w:val="206"/>
        </w:trPr>
        <w:tc>
          <w:tcPr>
            <w:tcW w:w="1960" w:type="dxa"/>
            <w:vAlign w:val="bottom"/>
            <w:tcBorders>
              <w:bottom w:val="single" w:sz="8" w:color="3A4967"/>
            </w:tcBorders>
          </w:tcPr>
          <w:p>
            <w:pPr>
              <w:spacing w:after="0"/>
              <w:rPr>
                <w:sz w:val="17"/>
                <w:szCs w:val="17"/>
                <w:color w:val="auto"/>
              </w:rPr>
            </w:pPr>
          </w:p>
        </w:tc>
        <w:tc>
          <w:tcPr>
            <w:tcW w:w="120" w:type="dxa"/>
            <w:vAlign w:val="bottom"/>
            <w:tcBorders>
              <w:bottom w:val="single" w:sz="8" w:color="3A4967"/>
            </w:tcBorders>
          </w:tcPr>
          <w:p>
            <w:pPr>
              <w:spacing w:after="0"/>
              <w:rPr>
                <w:sz w:val="17"/>
                <w:szCs w:val="17"/>
                <w:color w:val="auto"/>
              </w:rPr>
            </w:pPr>
          </w:p>
        </w:tc>
        <w:tc>
          <w:tcPr>
            <w:tcW w:w="860" w:type="dxa"/>
            <w:vAlign w:val="bottom"/>
            <w:tcBorders>
              <w:bottom w:val="single" w:sz="8" w:color="3A4967"/>
            </w:tcBorders>
          </w:tcPr>
          <w:p>
            <w:pPr>
              <w:spacing w:after="0"/>
              <w:rPr>
                <w:sz w:val="17"/>
                <w:szCs w:val="17"/>
                <w:color w:val="auto"/>
              </w:rPr>
            </w:pPr>
          </w:p>
        </w:tc>
        <w:tc>
          <w:tcPr>
            <w:tcW w:w="220" w:type="dxa"/>
            <w:vAlign w:val="bottom"/>
            <w:tcBorders>
              <w:bottom w:val="single" w:sz="8" w:color="3A4967"/>
            </w:tcBorders>
          </w:tcPr>
          <w:p>
            <w:pPr>
              <w:spacing w:after="0"/>
              <w:rPr>
                <w:sz w:val="17"/>
                <w:szCs w:val="17"/>
                <w:color w:val="auto"/>
              </w:rPr>
            </w:pPr>
          </w:p>
        </w:tc>
        <w:tc>
          <w:tcPr>
            <w:tcW w:w="660" w:type="dxa"/>
            <w:vAlign w:val="bottom"/>
            <w:tcBorders>
              <w:bottom w:val="single" w:sz="8" w:color="3A4967"/>
            </w:tcBorders>
          </w:tcPr>
          <w:p>
            <w:pPr>
              <w:spacing w:after="0"/>
              <w:rPr>
                <w:sz w:val="17"/>
                <w:szCs w:val="17"/>
                <w:color w:val="auto"/>
              </w:rPr>
            </w:pPr>
          </w:p>
        </w:tc>
        <w:tc>
          <w:tcPr>
            <w:tcW w:w="840" w:type="dxa"/>
            <w:vAlign w:val="bottom"/>
            <w:tcBorders>
              <w:bottom w:val="single" w:sz="8" w:color="3A4967"/>
            </w:tcBorders>
          </w:tcPr>
          <w:p>
            <w:pPr>
              <w:spacing w:after="0"/>
              <w:rPr>
                <w:sz w:val="17"/>
                <w:szCs w:val="17"/>
                <w:color w:val="auto"/>
              </w:rPr>
            </w:pPr>
          </w:p>
        </w:tc>
        <w:tc>
          <w:tcPr>
            <w:tcW w:w="140" w:type="dxa"/>
            <w:vAlign w:val="bottom"/>
            <w:tcBorders>
              <w:bottom w:val="single" w:sz="8" w:color="3A4967"/>
            </w:tcBorders>
          </w:tcPr>
          <w:p>
            <w:pPr>
              <w:spacing w:after="0"/>
              <w:rPr>
                <w:sz w:val="17"/>
                <w:szCs w:val="17"/>
                <w:color w:val="auto"/>
              </w:rPr>
            </w:pPr>
          </w:p>
        </w:tc>
        <w:tc>
          <w:tcPr>
            <w:tcW w:w="140" w:type="dxa"/>
            <w:vAlign w:val="bottom"/>
            <w:tcBorders>
              <w:bottom w:val="single" w:sz="8" w:color="3A4967"/>
            </w:tcBorders>
          </w:tcPr>
          <w:p>
            <w:pPr>
              <w:spacing w:after="0"/>
              <w:rPr>
                <w:sz w:val="17"/>
                <w:szCs w:val="17"/>
                <w:color w:val="auto"/>
              </w:rPr>
            </w:pPr>
          </w:p>
        </w:tc>
        <w:tc>
          <w:tcPr>
            <w:tcW w:w="820" w:type="dxa"/>
            <w:vAlign w:val="bottom"/>
            <w:tcBorders>
              <w:bottom w:val="single" w:sz="8" w:color="3A4967"/>
            </w:tcBorders>
          </w:tcPr>
          <w:p>
            <w:pPr>
              <w:spacing w:after="0"/>
              <w:rPr>
                <w:sz w:val="17"/>
                <w:szCs w:val="17"/>
                <w:color w:val="auto"/>
              </w:rPr>
            </w:pPr>
          </w:p>
        </w:tc>
        <w:tc>
          <w:tcPr>
            <w:tcW w:w="200" w:type="dxa"/>
            <w:vAlign w:val="bottom"/>
            <w:tcBorders>
              <w:bottom w:val="single" w:sz="8" w:color="3A4967"/>
            </w:tcBorders>
          </w:tcPr>
          <w:p>
            <w:pPr>
              <w:spacing w:after="0"/>
              <w:rPr>
                <w:sz w:val="17"/>
                <w:szCs w:val="17"/>
                <w:color w:val="auto"/>
              </w:rPr>
            </w:pPr>
          </w:p>
        </w:tc>
        <w:tc>
          <w:tcPr>
            <w:tcW w:w="720" w:type="dxa"/>
            <w:vAlign w:val="bottom"/>
            <w:tcBorders>
              <w:bottom w:val="single" w:sz="8" w:color="3A4967"/>
            </w:tcBorders>
          </w:tcPr>
          <w:p>
            <w:pPr>
              <w:spacing w:after="0"/>
              <w:rPr>
                <w:sz w:val="17"/>
                <w:szCs w:val="17"/>
                <w:color w:val="auto"/>
              </w:rPr>
            </w:pPr>
          </w:p>
        </w:tc>
        <w:tc>
          <w:tcPr>
            <w:tcW w:w="820" w:type="dxa"/>
            <w:vAlign w:val="bottom"/>
            <w:tcBorders>
              <w:bottom w:val="single" w:sz="8" w:color="3A4967"/>
            </w:tcBorders>
          </w:tcPr>
          <w:p>
            <w:pPr>
              <w:spacing w:after="0"/>
              <w:rPr>
                <w:sz w:val="17"/>
                <w:szCs w:val="17"/>
                <w:color w:val="auto"/>
              </w:rPr>
            </w:pPr>
          </w:p>
        </w:tc>
        <w:tc>
          <w:tcPr>
            <w:tcW w:w="260" w:type="dxa"/>
            <w:vAlign w:val="bottom"/>
            <w:tcBorders>
              <w:bottom w:val="single" w:sz="8" w:color="3A4967"/>
            </w:tcBorders>
          </w:tcPr>
          <w:p>
            <w:pPr>
              <w:spacing w:after="0"/>
              <w:rPr>
                <w:sz w:val="17"/>
                <w:szCs w:val="17"/>
                <w:color w:val="auto"/>
              </w:rPr>
            </w:pPr>
          </w:p>
        </w:tc>
        <w:tc>
          <w:tcPr>
            <w:tcW w:w="780" w:type="dxa"/>
            <w:vAlign w:val="bottom"/>
            <w:tcBorders>
              <w:bottom w:val="single" w:sz="8" w:color="3A4967"/>
            </w:tcBorders>
          </w:tcPr>
          <w:p>
            <w:pPr>
              <w:jc w:val="right"/>
              <w:ind w:right="16"/>
              <w:spacing w:after="0"/>
              <w:rPr>
                <w:sz w:val="20"/>
                <w:szCs w:val="20"/>
                <w:color w:val="auto"/>
              </w:rPr>
            </w:pPr>
            <w:r>
              <w:rPr>
                <w:rFonts w:ascii="Arial" w:cs="Arial" w:eastAsia="Arial" w:hAnsi="Arial"/>
                <w:sz w:val="16"/>
                <w:szCs w:val="16"/>
                <w:b w:val="1"/>
                <w:bCs w:val="1"/>
                <w:color w:val="3A4967"/>
              </w:rPr>
              <w:t>change</w:t>
            </w:r>
          </w:p>
        </w:tc>
        <w:tc>
          <w:tcPr>
            <w:tcW w:w="820" w:type="dxa"/>
            <w:vAlign w:val="bottom"/>
            <w:tcBorders>
              <w:bottom w:val="single" w:sz="8" w:color="3A4967"/>
            </w:tcBorders>
          </w:tcPr>
          <w:p>
            <w:pPr>
              <w:jc w:val="right"/>
              <w:ind w:right="136"/>
              <w:spacing w:after="0"/>
              <w:rPr>
                <w:sz w:val="20"/>
                <w:szCs w:val="20"/>
                <w:color w:val="auto"/>
              </w:rPr>
            </w:pPr>
            <w:r>
              <w:rPr>
                <w:rFonts w:ascii="Arial" w:cs="Arial" w:eastAsia="Arial" w:hAnsi="Arial"/>
                <w:sz w:val="16"/>
                <w:szCs w:val="16"/>
                <w:b w:val="1"/>
                <w:bCs w:val="1"/>
                <w:color w:val="3A4967"/>
              </w:rPr>
              <w:t>change</w:t>
            </w:r>
          </w:p>
        </w:tc>
        <w:tc>
          <w:tcPr>
            <w:tcW w:w="200" w:type="dxa"/>
            <w:vAlign w:val="bottom"/>
            <w:tcBorders>
              <w:bottom w:val="single" w:sz="8" w:color="3A4967"/>
            </w:tcBorders>
          </w:tcPr>
          <w:p>
            <w:pPr>
              <w:spacing w:after="0"/>
              <w:rPr>
                <w:sz w:val="17"/>
                <w:szCs w:val="17"/>
                <w:color w:val="auto"/>
              </w:rPr>
            </w:pPr>
          </w:p>
        </w:tc>
        <w:tc>
          <w:tcPr>
            <w:tcW w:w="640" w:type="dxa"/>
            <w:vAlign w:val="bottom"/>
            <w:tcBorders>
              <w:bottom w:val="single" w:sz="8" w:color="3A4967"/>
            </w:tcBorders>
          </w:tcPr>
          <w:p>
            <w:pPr>
              <w:jc w:val="right"/>
              <w:spacing w:after="0"/>
              <w:rPr>
                <w:sz w:val="20"/>
                <w:szCs w:val="20"/>
                <w:color w:val="auto"/>
              </w:rPr>
            </w:pPr>
            <w:r>
              <w:rPr>
                <w:rFonts w:ascii="Arial" w:cs="Arial" w:eastAsia="Arial" w:hAnsi="Arial"/>
                <w:sz w:val="16"/>
                <w:szCs w:val="16"/>
                <w:b w:val="1"/>
                <w:bCs w:val="1"/>
                <w:color w:val="3A4967"/>
                <w:w w:val="96"/>
              </w:rPr>
              <w:t>change</w:t>
            </w:r>
          </w:p>
        </w:tc>
      </w:tr>
      <w:tr>
        <w:trPr>
          <w:trHeight w:val="233"/>
        </w:trPr>
        <w:tc>
          <w:tcPr>
            <w:tcW w:w="196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Barrels sold</w:t>
            </w:r>
          </w:p>
        </w:tc>
        <w:tc>
          <w:tcPr>
            <w:tcW w:w="120" w:type="dxa"/>
            <w:vAlign w:val="bottom"/>
            <w:tcBorders>
              <w:bottom w:val="single" w:sz="8" w:color="3A4967"/>
            </w:tcBorders>
          </w:tcPr>
          <w:p>
            <w:pPr>
              <w:spacing w:after="0"/>
              <w:rPr>
                <w:sz w:val="20"/>
                <w:szCs w:val="20"/>
                <w:color w:val="auto"/>
              </w:rPr>
            </w:pPr>
          </w:p>
        </w:tc>
        <w:tc>
          <w:tcPr>
            <w:tcW w:w="860" w:type="dxa"/>
            <w:vAlign w:val="bottom"/>
            <w:tcBorders>
              <w:bottom w:val="single" w:sz="8" w:color="3A4967"/>
            </w:tcBorders>
          </w:tcPr>
          <w:p>
            <w:pPr>
              <w:spacing w:after="0"/>
              <w:rPr>
                <w:sz w:val="20"/>
                <w:szCs w:val="20"/>
                <w:color w:val="auto"/>
              </w:rPr>
            </w:pPr>
          </w:p>
        </w:tc>
        <w:tc>
          <w:tcPr>
            <w:tcW w:w="220" w:type="dxa"/>
            <w:vAlign w:val="bottom"/>
            <w:tcBorders>
              <w:bottom w:val="single" w:sz="8" w:color="3A4967"/>
            </w:tcBorders>
          </w:tcPr>
          <w:p>
            <w:pPr>
              <w:spacing w:after="0"/>
              <w:rPr>
                <w:sz w:val="20"/>
                <w:szCs w:val="20"/>
                <w:color w:val="auto"/>
              </w:rPr>
            </w:pPr>
          </w:p>
        </w:tc>
        <w:tc>
          <w:tcPr>
            <w:tcW w:w="1500" w:type="dxa"/>
            <w:vAlign w:val="bottom"/>
            <w:tcBorders>
              <w:bottom w:val="single" w:sz="8" w:color="3A4967"/>
            </w:tcBorders>
            <w:gridSpan w:val="2"/>
          </w:tcPr>
          <w:p>
            <w:pPr>
              <w:jc w:val="right"/>
              <w:ind w:right="715"/>
              <w:spacing w:after="0"/>
              <w:rPr>
                <w:sz w:val="20"/>
                <w:szCs w:val="20"/>
                <w:color w:val="auto"/>
              </w:rPr>
            </w:pPr>
            <w:r>
              <w:rPr>
                <w:rFonts w:ascii="Arial" w:cs="Arial" w:eastAsia="Arial" w:hAnsi="Arial"/>
                <w:sz w:val="17"/>
                <w:szCs w:val="17"/>
                <w:color w:val="3A4967"/>
              </w:rPr>
              <w:t>7,493</w:t>
            </w:r>
          </w:p>
        </w:tc>
        <w:tc>
          <w:tcPr>
            <w:tcW w:w="140" w:type="dxa"/>
            <w:vAlign w:val="bottom"/>
            <w:tcBorders>
              <w:bottom w:val="single" w:sz="8" w:color="3A4967"/>
            </w:tcBorders>
          </w:tcPr>
          <w:p>
            <w:pPr>
              <w:spacing w:after="0"/>
              <w:rPr>
                <w:sz w:val="20"/>
                <w:szCs w:val="20"/>
                <w:color w:val="auto"/>
              </w:rPr>
            </w:pPr>
          </w:p>
        </w:tc>
        <w:tc>
          <w:tcPr>
            <w:tcW w:w="140" w:type="dxa"/>
            <w:vAlign w:val="bottom"/>
            <w:tcBorders>
              <w:bottom w:val="single" w:sz="8" w:color="3A4967"/>
            </w:tcBorders>
          </w:tcPr>
          <w:p>
            <w:pPr>
              <w:spacing w:after="0"/>
              <w:rPr>
                <w:sz w:val="20"/>
                <w:szCs w:val="20"/>
                <w:color w:val="auto"/>
              </w:rPr>
            </w:pPr>
          </w:p>
        </w:tc>
        <w:tc>
          <w:tcPr>
            <w:tcW w:w="820" w:type="dxa"/>
            <w:vAlign w:val="bottom"/>
            <w:tcBorders>
              <w:bottom w:val="single" w:sz="8" w:color="3A4967"/>
            </w:tcBorders>
          </w:tcPr>
          <w:p>
            <w:pPr>
              <w:spacing w:after="0"/>
              <w:rPr>
                <w:sz w:val="20"/>
                <w:szCs w:val="20"/>
                <w:color w:val="auto"/>
              </w:rPr>
            </w:pPr>
          </w:p>
        </w:tc>
        <w:tc>
          <w:tcPr>
            <w:tcW w:w="200" w:type="dxa"/>
            <w:vAlign w:val="bottom"/>
            <w:tcBorders>
              <w:bottom w:val="single" w:sz="8" w:color="3A4967"/>
            </w:tcBorders>
          </w:tcPr>
          <w:p>
            <w:pPr>
              <w:spacing w:after="0"/>
              <w:rPr>
                <w:sz w:val="20"/>
                <w:szCs w:val="20"/>
                <w:color w:val="auto"/>
              </w:rPr>
            </w:pPr>
          </w:p>
        </w:tc>
        <w:tc>
          <w:tcPr>
            <w:tcW w:w="7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7,678</w:t>
            </w:r>
          </w:p>
        </w:tc>
        <w:tc>
          <w:tcPr>
            <w:tcW w:w="820" w:type="dxa"/>
            <w:vAlign w:val="bottom"/>
            <w:tcBorders>
              <w:bottom w:val="single" w:sz="8" w:color="3A4967"/>
            </w:tcBorders>
          </w:tcPr>
          <w:p>
            <w:pPr>
              <w:spacing w:after="0"/>
              <w:rPr>
                <w:sz w:val="20"/>
                <w:szCs w:val="20"/>
                <w:color w:val="auto"/>
              </w:rPr>
            </w:pPr>
          </w:p>
        </w:tc>
        <w:tc>
          <w:tcPr>
            <w:tcW w:w="260" w:type="dxa"/>
            <w:vAlign w:val="bottom"/>
            <w:tcBorders>
              <w:bottom w:val="single" w:sz="8" w:color="3A4967"/>
            </w:tcBorders>
          </w:tcPr>
          <w:p>
            <w:pPr>
              <w:spacing w:after="0"/>
              <w:rPr>
                <w:sz w:val="20"/>
                <w:szCs w:val="20"/>
                <w:color w:val="auto"/>
              </w:rPr>
            </w:pPr>
          </w:p>
        </w:tc>
        <w:tc>
          <w:tcPr>
            <w:tcW w:w="78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(185)</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(2.4)%</w:t>
            </w:r>
          </w:p>
        </w:tc>
        <w:tc>
          <w:tcPr>
            <w:tcW w:w="200" w:type="dxa"/>
            <w:vAlign w:val="bottom"/>
            <w:tcBorders>
              <w:bottom w:val="single" w:sz="8" w:color="3A4967"/>
            </w:tcBorders>
          </w:tcPr>
          <w:p>
            <w:pPr>
              <w:spacing w:after="0"/>
              <w:rPr>
                <w:sz w:val="20"/>
                <w:szCs w:val="20"/>
                <w:color w:val="auto"/>
              </w:rPr>
            </w:pPr>
          </w:p>
        </w:tc>
        <w:tc>
          <w:tcPr>
            <w:tcW w:w="640" w:type="dxa"/>
            <w:vAlign w:val="bottom"/>
            <w:tcBorders>
              <w:bottom w:val="single" w:sz="8" w:color="3A4967"/>
            </w:tcBorders>
          </w:tcPr>
          <w:p>
            <w:pPr>
              <w:spacing w:after="0"/>
              <w:rPr>
                <w:sz w:val="20"/>
                <w:szCs w:val="20"/>
                <w:color w:val="auto"/>
              </w:rPr>
            </w:pPr>
          </w:p>
        </w:tc>
      </w:tr>
      <w:tr>
        <w:trPr>
          <w:trHeight w:val="196"/>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115"/>
              <w:spacing w:after="0"/>
              <w:rPr>
                <w:sz w:val="20"/>
                <w:szCs w:val="20"/>
                <w:color w:val="auto"/>
              </w:rPr>
            </w:pPr>
            <w:r>
              <w:rPr>
                <w:rFonts w:ascii="Arial" w:cs="Arial" w:eastAsia="Arial" w:hAnsi="Arial"/>
                <w:sz w:val="16"/>
                <w:szCs w:val="16"/>
                <w:b w:val="1"/>
                <w:bCs w:val="1"/>
                <w:color w:val="3A4967"/>
              </w:rPr>
              <w:t>Per  % of net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right"/>
              <w:ind w:right="115"/>
              <w:spacing w:after="0"/>
              <w:rPr>
                <w:sz w:val="20"/>
                <w:szCs w:val="20"/>
                <w:color w:val="auto"/>
              </w:rPr>
            </w:pPr>
            <w:r>
              <w:rPr>
                <w:rFonts w:ascii="Arial" w:cs="Arial" w:eastAsia="Arial" w:hAnsi="Arial"/>
                <w:sz w:val="16"/>
                <w:szCs w:val="16"/>
                <w:b w:val="1"/>
                <w:bCs w:val="1"/>
                <w:color w:val="3A4967"/>
              </w:rPr>
              <w:t>Per   % of net</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8"/>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6"/>
              <w:spacing w:after="0"/>
              <w:rPr>
                <w:sz w:val="20"/>
                <w:szCs w:val="20"/>
                <w:color w:val="auto"/>
              </w:rPr>
            </w:pPr>
            <w:r>
              <w:rPr>
                <w:rFonts w:ascii="Arial" w:cs="Arial" w:eastAsia="Arial" w:hAnsi="Arial"/>
                <w:sz w:val="16"/>
                <w:szCs w:val="16"/>
                <w:b w:val="1"/>
                <w:bCs w:val="1"/>
                <w:color w:val="3A4967"/>
              </w:rPr>
              <w:t>barrel</w:t>
            </w:r>
          </w:p>
        </w:tc>
        <w:tc>
          <w:tcPr>
            <w:tcW w:w="840" w:type="dxa"/>
            <w:vAlign w:val="bottom"/>
          </w:tcPr>
          <w:p>
            <w:pPr>
              <w:jc w:val="right"/>
              <w:ind w:right="115"/>
              <w:spacing w:after="0"/>
              <w:rPr>
                <w:sz w:val="20"/>
                <w:szCs w:val="20"/>
                <w:color w:val="auto"/>
              </w:rPr>
            </w:pPr>
            <w:r>
              <w:rPr>
                <w:rFonts w:ascii="Arial" w:cs="Arial" w:eastAsia="Arial" w:hAnsi="Arial"/>
                <w:sz w:val="16"/>
                <w:szCs w:val="16"/>
                <w:b w:val="1"/>
                <w:bCs w:val="1"/>
                <w:color w:val="3A4967"/>
              </w:rPr>
              <w:t>revenue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76"/>
              <w:spacing w:after="0"/>
              <w:rPr>
                <w:sz w:val="20"/>
                <w:szCs w:val="20"/>
                <w:color w:val="auto"/>
              </w:rPr>
            </w:pPr>
            <w:r>
              <w:rPr>
                <w:rFonts w:ascii="Arial" w:cs="Arial" w:eastAsia="Arial" w:hAnsi="Arial"/>
                <w:sz w:val="16"/>
                <w:szCs w:val="16"/>
                <w:b w:val="1"/>
                <w:bCs w:val="1"/>
                <w:color w:val="3A4967"/>
              </w:rPr>
              <w:t>barrel</w:t>
            </w:r>
          </w:p>
        </w:tc>
        <w:tc>
          <w:tcPr>
            <w:tcW w:w="820" w:type="dxa"/>
            <w:vAlign w:val="bottom"/>
          </w:tcPr>
          <w:p>
            <w:pPr>
              <w:jc w:val="right"/>
              <w:ind w:right="115"/>
              <w:spacing w:after="0"/>
              <w:rPr>
                <w:sz w:val="20"/>
                <w:szCs w:val="20"/>
                <w:color w:val="auto"/>
              </w:rPr>
            </w:pPr>
            <w:r>
              <w:rPr>
                <w:rFonts w:ascii="Arial" w:cs="Arial" w:eastAsia="Arial" w:hAnsi="Arial"/>
                <w:sz w:val="16"/>
                <w:szCs w:val="16"/>
                <w:b w:val="1"/>
                <w:bCs w:val="1"/>
                <w:color w:val="3A4967"/>
                <w:w w:val="97"/>
              </w:rPr>
              <w:t>revenue</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54"/>
        </w:trPr>
        <w:tc>
          <w:tcPr>
            <w:tcW w:w="1960" w:type="dxa"/>
            <w:vAlign w:val="bottom"/>
            <w:tcBorders>
              <w:bottom w:val="single" w:sz="8" w:color="3A4967"/>
            </w:tcBorders>
          </w:tcPr>
          <w:p>
            <w:pPr>
              <w:spacing w:after="0"/>
              <w:rPr>
                <w:sz w:val="4"/>
                <w:szCs w:val="4"/>
                <w:color w:val="auto"/>
              </w:rPr>
            </w:pPr>
          </w:p>
        </w:tc>
        <w:tc>
          <w:tcPr>
            <w:tcW w:w="120" w:type="dxa"/>
            <w:vAlign w:val="bottom"/>
            <w:tcBorders>
              <w:bottom w:val="single" w:sz="8" w:color="3A4967"/>
            </w:tcBorders>
          </w:tcPr>
          <w:p>
            <w:pPr>
              <w:spacing w:after="0"/>
              <w:rPr>
                <w:sz w:val="4"/>
                <w:szCs w:val="4"/>
                <w:color w:val="auto"/>
              </w:rPr>
            </w:pPr>
          </w:p>
        </w:tc>
        <w:tc>
          <w:tcPr>
            <w:tcW w:w="860" w:type="dxa"/>
            <w:vAlign w:val="bottom"/>
            <w:tcBorders>
              <w:bottom w:val="single" w:sz="8" w:color="3A4967"/>
            </w:tcBorders>
          </w:tcPr>
          <w:p>
            <w:pPr>
              <w:spacing w:after="0"/>
              <w:rPr>
                <w:sz w:val="4"/>
                <w:szCs w:val="4"/>
                <w:color w:val="auto"/>
              </w:rPr>
            </w:pPr>
          </w:p>
        </w:tc>
        <w:tc>
          <w:tcPr>
            <w:tcW w:w="220" w:type="dxa"/>
            <w:vAlign w:val="bottom"/>
            <w:tcBorders>
              <w:bottom w:val="single" w:sz="8" w:color="3A4967"/>
            </w:tcBorders>
          </w:tcPr>
          <w:p>
            <w:pPr>
              <w:spacing w:after="0"/>
              <w:rPr>
                <w:sz w:val="4"/>
                <w:szCs w:val="4"/>
                <w:color w:val="auto"/>
              </w:rPr>
            </w:pPr>
          </w:p>
        </w:tc>
        <w:tc>
          <w:tcPr>
            <w:tcW w:w="660" w:type="dxa"/>
            <w:vAlign w:val="bottom"/>
            <w:tcBorders>
              <w:bottom w:val="single" w:sz="8" w:color="3A4967"/>
            </w:tcBorders>
          </w:tcPr>
          <w:p>
            <w:pPr>
              <w:spacing w:after="0"/>
              <w:rPr>
                <w:sz w:val="4"/>
                <w:szCs w:val="4"/>
                <w:color w:val="auto"/>
              </w:rPr>
            </w:pPr>
          </w:p>
        </w:tc>
        <w:tc>
          <w:tcPr>
            <w:tcW w:w="840" w:type="dxa"/>
            <w:vAlign w:val="bottom"/>
            <w:tcBorders>
              <w:bottom w:val="single" w:sz="8" w:color="3A4967"/>
            </w:tcBorders>
          </w:tcPr>
          <w:p>
            <w:pPr>
              <w:spacing w:after="0"/>
              <w:rPr>
                <w:sz w:val="4"/>
                <w:szCs w:val="4"/>
                <w:color w:val="auto"/>
              </w:rPr>
            </w:pPr>
          </w:p>
        </w:tc>
        <w:tc>
          <w:tcPr>
            <w:tcW w:w="280" w:type="dxa"/>
            <w:vAlign w:val="bottom"/>
            <w:tcBorders>
              <w:bottom w:val="single" w:sz="8" w:color="3A4967"/>
            </w:tcBorders>
            <w:gridSpan w:val="2"/>
          </w:tcPr>
          <w:p>
            <w:pPr>
              <w:spacing w:after="0"/>
              <w:rPr>
                <w:sz w:val="4"/>
                <w:szCs w:val="4"/>
                <w:color w:val="auto"/>
              </w:rPr>
            </w:pPr>
          </w:p>
        </w:tc>
        <w:tc>
          <w:tcPr>
            <w:tcW w:w="820" w:type="dxa"/>
            <w:vAlign w:val="bottom"/>
            <w:tcBorders>
              <w:bottom w:val="single" w:sz="8" w:color="3A4967"/>
            </w:tcBorders>
          </w:tcPr>
          <w:p>
            <w:pPr>
              <w:spacing w:after="0"/>
              <w:rPr>
                <w:sz w:val="4"/>
                <w:szCs w:val="4"/>
                <w:color w:val="auto"/>
              </w:rPr>
            </w:pPr>
          </w:p>
        </w:tc>
        <w:tc>
          <w:tcPr>
            <w:tcW w:w="200" w:type="dxa"/>
            <w:vAlign w:val="bottom"/>
            <w:tcBorders>
              <w:bottom w:val="single" w:sz="8" w:color="3A4967"/>
            </w:tcBorders>
          </w:tcPr>
          <w:p>
            <w:pPr>
              <w:spacing w:after="0"/>
              <w:rPr>
                <w:sz w:val="4"/>
                <w:szCs w:val="4"/>
                <w:color w:val="auto"/>
              </w:rPr>
            </w:pPr>
          </w:p>
        </w:tc>
        <w:tc>
          <w:tcPr>
            <w:tcW w:w="720" w:type="dxa"/>
            <w:vAlign w:val="bottom"/>
            <w:tcBorders>
              <w:bottom w:val="single" w:sz="8" w:color="3A4967"/>
            </w:tcBorders>
          </w:tcPr>
          <w:p>
            <w:pPr>
              <w:spacing w:after="0"/>
              <w:rPr>
                <w:sz w:val="4"/>
                <w:szCs w:val="4"/>
                <w:color w:val="auto"/>
              </w:rPr>
            </w:pPr>
          </w:p>
        </w:tc>
        <w:tc>
          <w:tcPr>
            <w:tcW w:w="820" w:type="dxa"/>
            <w:vAlign w:val="bottom"/>
            <w:tcBorders>
              <w:bottom w:val="single" w:sz="8" w:color="3A4967"/>
            </w:tcBorders>
          </w:tcPr>
          <w:p>
            <w:pPr>
              <w:spacing w:after="0"/>
              <w:rPr>
                <w:sz w:val="4"/>
                <w:szCs w:val="4"/>
                <w:color w:val="auto"/>
              </w:rPr>
            </w:pPr>
          </w:p>
        </w:tc>
        <w:tc>
          <w:tcPr>
            <w:tcW w:w="260" w:type="dxa"/>
            <w:vAlign w:val="bottom"/>
            <w:tcBorders>
              <w:bottom w:val="single" w:sz="8" w:color="3A4967"/>
            </w:tcBorders>
          </w:tcPr>
          <w:p>
            <w:pPr>
              <w:spacing w:after="0"/>
              <w:rPr>
                <w:sz w:val="4"/>
                <w:szCs w:val="4"/>
                <w:color w:val="auto"/>
              </w:rPr>
            </w:pPr>
          </w:p>
        </w:tc>
        <w:tc>
          <w:tcPr>
            <w:tcW w:w="780" w:type="dxa"/>
            <w:vAlign w:val="bottom"/>
            <w:tcBorders>
              <w:bottom w:val="single" w:sz="8" w:color="3A4967"/>
            </w:tcBorders>
          </w:tcPr>
          <w:p>
            <w:pPr>
              <w:spacing w:after="0"/>
              <w:rPr>
                <w:sz w:val="4"/>
                <w:szCs w:val="4"/>
                <w:color w:val="auto"/>
              </w:rPr>
            </w:pPr>
          </w:p>
        </w:tc>
        <w:tc>
          <w:tcPr>
            <w:tcW w:w="820" w:type="dxa"/>
            <w:vAlign w:val="bottom"/>
            <w:tcBorders>
              <w:bottom w:val="single" w:sz="8" w:color="3A4967"/>
            </w:tcBorders>
          </w:tcPr>
          <w:p>
            <w:pPr>
              <w:spacing w:after="0"/>
              <w:rPr>
                <w:sz w:val="4"/>
                <w:szCs w:val="4"/>
                <w:color w:val="auto"/>
              </w:rPr>
            </w:pPr>
          </w:p>
        </w:tc>
        <w:tc>
          <w:tcPr>
            <w:tcW w:w="200" w:type="dxa"/>
            <w:vAlign w:val="bottom"/>
            <w:tcBorders>
              <w:bottom w:val="single" w:sz="8" w:color="3A4967"/>
            </w:tcBorders>
          </w:tcPr>
          <w:p>
            <w:pPr>
              <w:spacing w:after="0"/>
              <w:rPr>
                <w:sz w:val="4"/>
                <w:szCs w:val="4"/>
                <w:color w:val="auto"/>
              </w:rPr>
            </w:pPr>
          </w:p>
        </w:tc>
        <w:tc>
          <w:tcPr>
            <w:tcW w:w="640" w:type="dxa"/>
            <w:vAlign w:val="bottom"/>
            <w:tcBorders>
              <w:bottom w:val="single" w:sz="8" w:color="3A4967"/>
            </w:tcBorders>
          </w:tcPr>
          <w:p>
            <w:pPr>
              <w:spacing w:after="0"/>
              <w:rPr>
                <w:sz w:val="4"/>
                <w:szCs w:val="4"/>
                <w:color w:val="auto"/>
              </w:rPr>
            </w:pPr>
          </w:p>
        </w:tc>
      </w:tr>
      <w:tr>
        <w:trPr>
          <w:trHeight w:val="211"/>
        </w:trPr>
        <w:tc>
          <w:tcPr>
            <w:tcW w:w="1960" w:type="dxa"/>
            <w:vAlign w:val="bottom"/>
          </w:tcPr>
          <w:p>
            <w:pPr>
              <w:ind w:left="80"/>
              <w:spacing w:after="0"/>
              <w:rPr>
                <w:sz w:val="20"/>
                <w:szCs w:val="20"/>
                <w:color w:val="auto"/>
              </w:rPr>
            </w:pPr>
            <w:r>
              <w:rPr>
                <w:rFonts w:ascii="Arial" w:cs="Arial" w:eastAsia="Arial" w:hAnsi="Arial"/>
                <w:sz w:val="17"/>
                <w:szCs w:val="17"/>
                <w:color w:val="3A4967"/>
              </w:rPr>
              <w:t>Net revenue</w:t>
            </w:r>
          </w:p>
        </w:tc>
        <w:tc>
          <w:tcPr>
            <w:tcW w:w="120" w:type="dxa"/>
            <w:vAlign w:val="bottom"/>
          </w:tcPr>
          <w:p>
            <w:pPr>
              <w:jc w:val="right"/>
              <w:spacing w:after="0"/>
              <w:rPr>
                <w:sz w:val="20"/>
                <w:szCs w:val="20"/>
                <w:color w:val="auto"/>
              </w:rPr>
            </w:pPr>
            <w:r>
              <w:rPr>
                <w:rFonts w:ascii="Arial" w:cs="Arial" w:eastAsia="Arial" w:hAnsi="Arial"/>
                <w:sz w:val="17"/>
                <w:szCs w:val="17"/>
                <w:color w:val="3A4967"/>
                <w:w w:val="84"/>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3A4967"/>
                <w:w w:val="97"/>
              </w:rPr>
              <w:t>2,012,926</w:t>
            </w:r>
          </w:p>
        </w:tc>
        <w:tc>
          <w:tcPr>
            <w:tcW w:w="220" w:type="dxa"/>
            <w:vAlign w:val="bottom"/>
          </w:tcPr>
          <w:p>
            <w:pPr>
              <w:jc w:val="right"/>
              <w:spacing w:after="0"/>
              <w:rPr>
                <w:sz w:val="20"/>
                <w:szCs w:val="20"/>
                <w:color w:val="auto"/>
              </w:rPr>
            </w:pPr>
            <w:r>
              <w:rPr>
                <w:rFonts w:ascii="Arial" w:cs="Arial" w:eastAsia="Arial" w:hAnsi="Arial"/>
                <w:sz w:val="17"/>
                <w:szCs w:val="17"/>
                <w:color w:val="3A4967"/>
              </w:rPr>
              <w:t>$</w:t>
            </w:r>
          </w:p>
        </w:tc>
        <w:tc>
          <w:tcPr>
            <w:tcW w:w="660" w:type="dxa"/>
            <w:vAlign w:val="bottom"/>
          </w:tcPr>
          <w:p>
            <w:pPr>
              <w:jc w:val="right"/>
              <w:ind w:right="16"/>
              <w:spacing w:after="0"/>
              <w:rPr>
                <w:sz w:val="20"/>
                <w:szCs w:val="20"/>
                <w:color w:val="auto"/>
              </w:rPr>
            </w:pPr>
            <w:r>
              <w:rPr>
                <w:rFonts w:ascii="Arial" w:cs="Arial" w:eastAsia="Arial" w:hAnsi="Arial"/>
                <w:sz w:val="17"/>
                <w:szCs w:val="17"/>
                <w:color w:val="3A4967"/>
              </w:rPr>
              <w:t>268.64</w:t>
            </w:r>
          </w:p>
        </w:tc>
        <w:tc>
          <w:tcPr>
            <w:tcW w:w="840" w:type="dxa"/>
            <w:vAlign w:val="bottom"/>
          </w:tcPr>
          <w:p>
            <w:pPr>
              <w:jc w:val="right"/>
              <w:spacing w:after="0"/>
              <w:rPr>
                <w:sz w:val="20"/>
                <w:szCs w:val="20"/>
                <w:color w:val="auto"/>
              </w:rPr>
            </w:pPr>
            <w:r>
              <w:rPr>
                <w:rFonts w:ascii="Arial" w:cs="Arial" w:eastAsia="Arial" w:hAnsi="Arial"/>
                <w:sz w:val="17"/>
                <w:szCs w:val="17"/>
                <w:color w:val="3A4967"/>
              </w:rPr>
              <w:t>100.0%</w:t>
            </w:r>
          </w:p>
        </w:tc>
        <w:tc>
          <w:tcPr>
            <w:tcW w:w="280" w:type="dxa"/>
            <w:vAlign w:val="bottom"/>
            <w:gridSpan w:val="2"/>
          </w:tcPr>
          <w:p>
            <w:pPr>
              <w:jc w:val="right"/>
              <w:spacing w:after="0"/>
              <w:rPr>
                <w:sz w:val="20"/>
                <w:szCs w:val="20"/>
                <w:color w:val="auto"/>
              </w:rPr>
            </w:pPr>
            <w:r>
              <w:rPr>
                <w:rFonts w:ascii="Arial" w:cs="Arial" w:eastAsia="Arial" w:hAnsi="Arial"/>
                <w:sz w:val="17"/>
                <w:szCs w:val="17"/>
                <w:color w:val="3A4967"/>
              </w:rPr>
              <w:t>$</w:t>
            </w:r>
          </w:p>
        </w:tc>
        <w:tc>
          <w:tcPr>
            <w:tcW w:w="820" w:type="dxa"/>
            <w:vAlign w:val="bottom"/>
          </w:tcPr>
          <w:p>
            <w:pPr>
              <w:jc w:val="right"/>
              <w:spacing w:after="0"/>
              <w:rPr>
                <w:sz w:val="20"/>
                <w:szCs w:val="20"/>
                <w:color w:val="auto"/>
              </w:rPr>
            </w:pPr>
            <w:r>
              <w:rPr>
                <w:rFonts w:ascii="Arial" w:cs="Arial" w:eastAsia="Arial" w:hAnsi="Arial"/>
                <w:sz w:val="17"/>
                <w:szCs w:val="17"/>
                <w:color w:val="3A4967"/>
                <w:w w:val="97"/>
              </w:rPr>
              <w:t>2,008,625</w:t>
            </w:r>
          </w:p>
        </w:tc>
        <w:tc>
          <w:tcPr>
            <w:tcW w:w="200" w:type="dxa"/>
            <w:vAlign w:val="bottom"/>
          </w:tcPr>
          <w:p>
            <w:pPr>
              <w:jc w:val="right"/>
              <w:spacing w:after="0"/>
              <w:rPr>
                <w:sz w:val="20"/>
                <w:szCs w:val="20"/>
                <w:color w:val="auto"/>
              </w:rPr>
            </w:pPr>
            <w:r>
              <w:rPr>
                <w:rFonts w:ascii="Arial" w:cs="Arial" w:eastAsia="Arial" w:hAnsi="Arial"/>
                <w:sz w:val="17"/>
                <w:szCs w:val="17"/>
                <w:color w:val="3A4967"/>
              </w:rPr>
              <w:t>$</w:t>
            </w:r>
          </w:p>
        </w:tc>
        <w:tc>
          <w:tcPr>
            <w:tcW w:w="720" w:type="dxa"/>
            <w:vAlign w:val="bottom"/>
          </w:tcPr>
          <w:p>
            <w:pPr>
              <w:jc w:val="right"/>
              <w:ind w:right="76"/>
              <w:spacing w:after="0"/>
              <w:rPr>
                <w:sz w:val="20"/>
                <w:szCs w:val="20"/>
                <w:color w:val="auto"/>
              </w:rPr>
            </w:pPr>
            <w:r>
              <w:rPr>
                <w:rFonts w:ascii="Arial" w:cs="Arial" w:eastAsia="Arial" w:hAnsi="Arial"/>
                <w:sz w:val="17"/>
                <w:szCs w:val="17"/>
                <w:color w:val="3A4967"/>
              </w:rPr>
              <w:t>261.61</w:t>
            </w:r>
          </w:p>
        </w:tc>
        <w:tc>
          <w:tcPr>
            <w:tcW w:w="820" w:type="dxa"/>
            <w:vAlign w:val="bottom"/>
          </w:tcPr>
          <w:p>
            <w:pPr>
              <w:jc w:val="right"/>
              <w:spacing w:after="0"/>
              <w:rPr>
                <w:sz w:val="20"/>
                <w:szCs w:val="20"/>
                <w:color w:val="auto"/>
              </w:rPr>
            </w:pPr>
            <w:r>
              <w:rPr>
                <w:rFonts w:ascii="Arial" w:cs="Arial" w:eastAsia="Arial" w:hAnsi="Arial"/>
                <w:sz w:val="17"/>
                <w:szCs w:val="17"/>
                <w:color w:val="3A4967"/>
              </w:rPr>
              <w:t>100.0%</w:t>
            </w:r>
          </w:p>
        </w:tc>
        <w:tc>
          <w:tcPr>
            <w:tcW w:w="260" w:type="dxa"/>
            <w:vAlign w:val="bottom"/>
          </w:tcPr>
          <w:p>
            <w:pPr>
              <w:jc w:val="right"/>
              <w:spacing w:after="0"/>
              <w:rPr>
                <w:sz w:val="20"/>
                <w:szCs w:val="20"/>
                <w:color w:val="auto"/>
              </w:rPr>
            </w:pPr>
            <w:r>
              <w:rPr>
                <w:rFonts w:ascii="Arial" w:cs="Arial" w:eastAsia="Arial" w:hAnsi="Arial"/>
                <w:sz w:val="17"/>
                <w:szCs w:val="17"/>
                <w:color w:val="3A4967"/>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3A4967"/>
              </w:rPr>
              <w:t>4,301</w:t>
            </w:r>
          </w:p>
        </w:tc>
        <w:tc>
          <w:tcPr>
            <w:tcW w:w="820" w:type="dxa"/>
            <w:vAlign w:val="bottom"/>
          </w:tcPr>
          <w:p>
            <w:pPr>
              <w:jc w:val="right"/>
              <w:spacing w:after="0"/>
              <w:rPr>
                <w:sz w:val="20"/>
                <w:szCs w:val="20"/>
                <w:color w:val="auto"/>
              </w:rPr>
            </w:pPr>
            <w:r>
              <w:rPr>
                <w:rFonts w:ascii="Arial" w:cs="Arial" w:eastAsia="Arial" w:hAnsi="Arial"/>
                <w:sz w:val="17"/>
                <w:szCs w:val="17"/>
                <w:color w:val="3A4967"/>
              </w:rPr>
              <w:t>0.2%</w:t>
            </w:r>
          </w:p>
        </w:tc>
        <w:tc>
          <w:tcPr>
            <w:tcW w:w="200" w:type="dxa"/>
            <w:vAlign w:val="bottom"/>
          </w:tcPr>
          <w:p>
            <w:pPr>
              <w:jc w:val="right"/>
              <w:spacing w:after="0"/>
              <w:rPr>
                <w:sz w:val="20"/>
                <w:szCs w:val="20"/>
                <w:color w:val="auto"/>
              </w:rPr>
            </w:pPr>
            <w:r>
              <w:rPr>
                <w:rFonts w:ascii="Arial" w:cs="Arial" w:eastAsia="Arial" w:hAnsi="Arial"/>
                <w:sz w:val="17"/>
                <w:szCs w:val="17"/>
                <w:color w:val="3A4967"/>
              </w:rPr>
              <w:t>$</w:t>
            </w:r>
          </w:p>
        </w:tc>
        <w:tc>
          <w:tcPr>
            <w:tcW w:w="640" w:type="dxa"/>
            <w:vAlign w:val="bottom"/>
          </w:tcPr>
          <w:p>
            <w:pPr>
              <w:jc w:val="right"/>
              <w:spacing w:after="0"/>
              <w:rPr>
                <w:sz w:val="20"/>
                <w:szCs w:val="20"/>
                <w:color w:val="auto"/>
              </w:rPr>
            </w:pPr>
            <w:r>
              <w:rPr>
                <w:rFonts w:ascii="Arial" w:cs="Arial" w:eastAsia="Arial" w:hAnsi="Arial"/>
                <w:sz w:val="17"/>
                <w:szCs w:val="17"/>
                <w:color w:val="3A4967"/>
              </w:rPr>
              <w:t>7.03</w:t>
            </w:r>
          </w:p>
        </w:tc>
      </w:tr>
      <w:tr>
        <w:trPr>
          <w:trHeight w:val="248"/>
        </w:trPr>
        <w:tc>
          <w:tcPr>
            <w:tcW w:w="196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Cost of goods</w:t>
            </w:r>
          </w:p>
        </w:tc>
        <w:tc>
          <w:tcPr>
            <w:tcW w:w="120" w:type="dxa"/>
            <w:vAlign w:val="bottom"/>
            <w:tcBorders>
              <w:bottom w:val="single" w:sz="8" w:color="3A4967"/>
            </w:tcBorders>
          </w:tcPr>
          <w:p>
            <w:pPr>
              <w:spacing w:after="0"/>
              <w:rPr>
                <w:sz w:val="21"/>
                <w:szCs w:val="21"/>
                <w:color w:val="auto"/>
              </w:rPr>
            </w:pPr>
          </w:p>
        </w:tc>
        <w:tc>
          <w:tcPr>
            <w:tcW w:w="860" w:type="dxa"/>
            <w:vAlign w:val="bottom"/>
            <w:tcBorders>
              <w:bottom w:val="single" w:sz="8" w:color="3A4967"/>
            </w:tcBorders>
          </w:tcPr>
          <w:p>
            <w:pPr>
              <w:jc w:val="right"/>
              <w:ind w:right="15"/>
              <w:spacing w:after="0"/>
              <w:rPr>
                <w:sz w:val="20"/>
                <w:szCs w:val="20"/>
                <w:color w:val="auto"/>
              </w:rPr>
            </w:pPr>
            <w:r>
              <w:rPr>
                <w:rFonts w:ascii="Arial" w:cs="Arial" w:eastAsia="Arial" w:hAnsi="Arial"/>
                <w:sz w:val="17"/>
                <w:szCs w:val="17"/>
                <w:color w:val="3A4967"/>
                <w:w w:val="97"/>
              </w:rPr>
              <w:t>1,119,194</w:t>
            </w:r>
          </w:p>
        </w:tc>
        <w:tc>
          <w:tcPr>
            <w:tcW w:w="220" w:type="dxa"/>
            <w:vAlign w:val="bottom"/>
            <w:tcBorders>
              <w:bottom w:val="single" w:sz="8" w:color="3A4967"/>
            </w:tcBorders>
          </w:tcPr>
          <w:p>
            <w:pPr>
              <w:spacing w:after="0"/>
              <w:rPr>
                <w:sz w:val="21"/>
                <w:szCs w:val="21"/>
                <w:color w:val="auto"/>
              </w:rPr>
            </w:pPr>
          </w:p>
        </w:tc>
        <w:tc>
          <w:tcPr>
            <w:tcW w:w="66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149.36</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55.6%</w:t>
            </w:r>
          </w:p>
        </w:tc>
        <w:tc>
          <w:tcPr>
            <w:tcW w:w="140" w:type="dxa"/>
            <w:vAlign w:val="bottom"/>
            <w:tcBorders>
              <w:bottom w:val="single" w:sz="8" w:color="3A4967"/>
            </w:tcBorders>
          </w:tcPr>
          <w:p>
            <w:pPr>
              <w:spacing w:after="0"/>
              <w:rPr>
                <w:sz w:val="21"/>
                <w:szCs w:val="21"/>
                <w:color w:val="auto"/>
              </w:rPr>
            </w:pPr>
          </w:p>
        </w:tc>
        <w:tc>
          <w:tcPr>
            <w:tcW w:w="140" w:type="dxa"/>
            <w:vAlign w:val="bottom"/>
            <w:tcBorders>
              <w:bottom w:val="single" w:sz="8" w:color="3A4967"/>
            </w:tcBorders>
          </w:tcPr>
          <w:p>
            <w:pPr>
              <w:spacing w:after="0"/>
              <w:rPr>
                <w:sz w:val="21"/>
                <w:szCs w:val="21"/>
                <w:color w:val="auto"/>
              </w:rPr>
            </w:pP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w w:val="97"/>
              </w:rPr>
              <w:t>1,156,256</w:t>
            </w:r>
          </w:p>
        </w:tc>
        <w:tc>
          <w:tcPr>
            <w:tcW w:w="200" w:type="dxa"/>
            <w:vAlign w:val="bottom"/>
            <w:tcBorders>
              <w:bottom w:val="single" w:sz="8" w:color="3A4967"/>
            </w:tcBorders>
          </w:tcPr>
          <w:p>
            <w:pPr>
              <w:spacing w:after="0"/>
              <w:rPr>
                <w:sz w:val="21"/>
                <w:szCs w:val="21"/>
                <w:color w:val="auto"/>
              </w:rPr>
            </w:pPr>
          </w:p>
        </w:tc>
        <w:tc>
          <w:tcPr>
            <w:tcW w:w="720" w:type="dxa"/>
            <w:vAlign w:val="bottom"/>
            <w:tcBorders>
              <w:bottom w:val="single" w:sz="8" w:color="3A4967"/>
            </w:tcBorders>
          </w:tcPr>
          <w:p>
            <w:pPr>
              <w:jc w:val="right"/>
              <w:ind w:right="76"/>
              <w:spacing w:after="0"/>
              <w:rPr>
                <w:sz w:val="20"/>
                <w:szCs w:val="20"/>
                <w:color w:val="auto"/>
              </w:rPr>
            </w:pPr>
            <w:r>
              <w:rPr>
                <w:rFonts w:ascii="Arial" w:cs="Arial" w:eastAsia="Arial" w:hAnsi="Arial"/>
                <w:sz w:val="17"/>
                <w:szCs w:val="17"/>
                <w:color w:val="3A4967"/>
              </w:rPr>
              <w:t>150.59</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57.6%</w:t>
            </w:r>
          </w:p>
        </w:tc>
        <w:tc>
          <w:tcPr>
            <w:tcW w:w="260" w:type="dxa"/>
            <w:vAlign w:val="bottom"/>
            <w:tcBorders>
              <w:bottom w:val="single" w:sz="8" w:color="3A4967"/>
            </w:tcBorders>
          </w:tcPr>
          <w:p>
            <w:pPr>
              <w:spacing w:after="0"/>
              <w:rPr>
                <w:sz w:val="21"/>
                <w:szCs w:val="21"/>
                <w:color w:val="auto"/>
              </w:rPr>
            </w:pPr>
          </w:p>
        </w:tc>
        <w:tc>
          <w:tcPr>
            <w:tcW w:w="78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(37,062)</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(3.2)%</w:t>
            </w:r>
          </w:p>
        </w:tc>
        <w:tc>
          <w:tcPr>
            <w:tcW w:w="200" w:type="dxa"/>
            <w:vAlign w:val="bottom"/>
            <w:tcBorders>
              <w:bottom w:val="single" w:sz="8" w:color="3A4967"/>
            </w:tcBorders>
          </w:tcPr>
          <w:p>
            <w:pPr>
              <w:spacing w:after="0"/>
              <w:rPr>
                <w:sz w:val="21"/>
                <w:szCs w:val="21"/>
                <w:color w:val="auto"/>
              </w:rPr>
            </w:pPr>
          </w:p>
        </w:tc>
        <w:tc>
          <w:tcPr>
            <w:tcW w:w="64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(1.23)</w:t>
            </w:r>
          </w:p>
        </w:tc>
      </w:tr>
      <w:tr>
        <w:trPr>
          <w:trHeight w:val="214"/>
        </w:trPr>
        <w:tc>
          <w:tcPr>
            <w:tcW w:w="1960" w:type="dxa"/>
            <w:vAlign w:val="bottom"/>
          </w:tcPr>
          <w:p>
            <w:pPr>
              <w:ind w:left="80"/>
              <w:spacing w:after="0"/>
              <w:rPr>
                <w:sz w:val="20"/>
                <w:szCs w:val="20"/>
                <w:color w:val="auto"/>
              </w:rPr>
            </w:pPr>
            <w:r>
              <w:rPr>
                <w:rFonts w:ascii="Arial" w:cs="Arial" w:eastAsia="Arial" w:hAnsi="Arial"/>
                <w:sz w:val="17"/>
                <w:szCs w:val="17"/>
                <w:color w:val="3A4967"/>
              </w:rPr>
              <w:t>Gross profit</w:t>
            </w:r>
          </w:p>
        </w:tc>
        <w:tc>
          <w:tcPr>
            <w:tcW w:w="12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3A4967"/>
              </w:rPr>
              <w:t>893,732</w:t>
            </w:r>
          </w:p>
        </w:tc>
        <w:tc>
          <w:tcPr>
            <w:tcW w:w="22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3A4967"/>
              </w:rPr>
              <w:t>119.27</w:t>
            </w:r>
          </w:p>
        </w:tc>
        <w:tc>
          <w:tcPr>
            <w:tcW w:w="840" w:type="dxa"/>
            <w:vAlign w:val="bottom"/>
          </w:tcPr>
          <w:p>
            <w:pPr>
              <w:jc w:val="right"/>
              <w:spacing w:after="0"/>
              <w:rPr>
                <w:sz w:val="20"/>
                <w:szCs w:val="20"/>
                <w:color w:val="auto"/>
              </w:rPr>
            </w:pPr>
            <w:r>
              <w:rPr>
                <w:rFonts w:ascii="Arial" w:cs="Arial" w:eastAsia="Arial" w:hAnsi="Arial"/>
                <w:sz w:val="17"/>
                <w:szCs w:val="17"/>
                <w:color w:val="3A4967"/>
              </w:rPr>
              <w:t>44.4%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852,369</w:t>
            </w:r>
          </w:p>
        </w:tc>
        <w:tc>
          <w:tcPr>
            <w:tcW w:w="200" w:type="dxa"/>
            <w:vAlign w:val="bottom"/>
          </w:tcPr>
          <w:p>
            <w:pPr>
              <w:spacing w:after="0"/>
              <w:rPr>
                <w:sz w:val="18"/>
                <w:szCs w:val="18"/>
                <w:color w:val="auto"/>
              </w:rPr>
            </w:pPr>
          </w:p>
        </w:tc>
        <w:tc>
          <w:tcPr>
            <w:tcW w:w="720" w:type="dxa"/>
            <w:vAlign w:val="bottom"/>
          </w:tcPr>
          <w:p>
            <w:pPr>
              <w:jc w:val="right"/>
              <w:ind w:right="76"/>
              <w:spacing w:after="0"/>
              <w:rPr>
                <w:sz w:val="20"/>
                <w:szCs w:val="20"/>
                <w:color w:val="auto"/>
              </w:rPr>
            </w:pPr>
            <w:r>
              <w:rPr>
                <w:rFonts w:ascii="Arial" w:cs="Arial" w:eastAsia="Arial" w:hAnsi="Arial"/>
                <w:sz w:val="17"/>
                <w:szCs w:val="17"/>
                <w:color w:val="3A4967"/>
              </w:rPr>
              <w:t>111.01</w:t>
            </w:r>
          </w:p>
        </w:tc>
        <w:tc>
          <w:tcPr>
            <w:tcW w:w="820" w:type="dxa"/>
            <w:vAlign w:val="bottom"/>
          </w:tcPr>
          <w:p>
            <w:pPr>
              <w:jc w:val="right"/>
              <w:spacing w:after="0"/>
              <w:rPr>
                <w:sz w:val="20"/>
                <w:szCs w:val="20"/>
                <w:color w:val="auto"/>
              </w:rPr>
            </w:pPr>
            <w:r>
              <w:rPr>
                <w:rFonts w:ascii="Arial" w:cs="Arial" w:eastAsia="Arial" w:hAnsi="Arial"/>
                <w:sz w:val="17"/>
                <w:szCs w:val="17"/>
                <w:color w:val="3A4967"/>
              </w:rPr>
              <w:t>42.4%</w:t>
            </w:r>
          </w:p>
        </w:tc>
        <w:tc>
          <w:tcPr>
            <w:tcW w:w="26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3A4967"/>
              </w:rPr>
              <w:t>41,363</w:t>
            </w:r>
          </w:p>
        </w:tc>
        <w:tc>
          <w:tcPr>
            <w:tcW w:w="820" w:type="dxa"/>
            <w:vAlign w:val="bottom"/>
          </w:tcPr>
          <w:p>
            <w:pPr>
              <w:jc w:val="right"/>
              <w:spacing w:after="0"/>
              <w:rPr>
                <w:sz w:val="20"/>
                <w:szCs w:val="20"/>
                <w:color w:val="auto"/>
              </w:rPr>
            </w:pPr>
            <w:r>
              <w:rPr>
                <w:rFonts w:ascii="Arial" w:cs="Arial" w:eastAsia="Arial" w:hAnsi="Arial"/>
                <w:sz w:val="17"/>
                <w:szCs w:val="17"/>
                <w:color w:val="3A4967"/>
              </w:rPr>
              <w:t>4.9%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3A4967"/>
              </w:rPr>
              <w:t>8.26</w:t>
            </w:r>
          </w:p>
        </w:tc>
      </w:tr>
      <w:tr>
        <w:trPr>
          <w:trHeight w:val="237"/>
        </w:trPr>
        <w:tc>
          <w:tcPr>
            <w:tcW w:w="1960" w:type="dxa"/>
            <w:vAlign w:val="bottom"/>
          </w:tcPr>
          <w:p>
            <w:pPr>
              <w:ind w:left="80"/>
              <w:spacing w:after="0"/>
              <w:rPr>
                <w:sz w:val="20"/>
                <w:szCs w:val="20"/>
                <w:color w:val="auto"/>
              </w:rPr>
            </w:pPr>
            <w:r>
              <w:rPr>
                <w:rFonts w:ascii="Arial" w:cs="Arial" w:eastAsia="Arial" w:hAnsi="Arial"/>
                <w:sz w:val="17"/>
                <w:szCs w:val="17"/>
                <w:color w:val="3A4967"/>
                <w:w w:val="99"/>
              </w:rPr>
              <w:t>Advertising, promotional,</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8"/>
        </w:trPr>
        <w:tc>
          <w:tcPr>
            <w:tcW w:w="1960" w:type="dxa"/>
            <w:vAlign w:val="bottom"/>
          </w:tcPr>
          <w:p>
            <w:pPr>
              <w:ind w:left="80"/>
              <w:spacing w:after="0"/>
              <w:rPr>
                <w:sz w:val="20"/>
                <w:szCs w:val="20"/>
                <w:color w:val="auto"/>
              </w:rPr>
            </w:pPr>
            <w:r>
              <w:rPr>
                <w:rFonts w:ascii="Arial" w:cs="Arial" w:eastAsia="Arial" w:hAnsi="Arial"/>
                <w:sz w:val="17"/>
                <w:szCs w:val="17"/>
                <w:color w:val="3A4967"/>
              </w:rPr>
              <w:t>and selling expenses</w:t>
            </w:r>
          </w:p>
        </w:tc>
        <w:tc>
          <w:tcPr>
            <w:tcW w:w="12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3A4967"/>
              </w:rPr>
              <w:t>552,033</w:t>
            </w:r>
          </w:p>
        </w:tc>
        <w:tc>
          <w:tcPr>
            <w:tcW w:w="22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3A4967"/>
              </w:rPr>
              <w:t>73.67</w:t>
            </w:r>
          </w:p>
        </w:tc>
        <w:tc>
          <w:tcPr>
            <w:tcW w:w="840" w:type="dxa"/>
            <w:vAlign w:val="bottom"/>
          </w:tcPr>
          <w:p>
            <w:pPr>
              <w:jc w:val="right"/>
              <w:spacing w:after="0"/>
              <w:rPr>
                <w:sz w:val="20"/>
                <w:szCs w:val="20"/>
                <w:color w:val="auto"/>
              </w:rPr>
            </w:pPr>
            <w:r>
              <w:rPr>
                <w:rFonts w:ascii="Arial" w:cs="Arial" w:eastAsia="Arial" w:hAnsi="Arial"/>
                <w:sz w:val="17"/>
                <w:szCs w:val="17"/>
                <w:color w:val="3A4967"/>
              </w:rPr>
              <w:t>27.4%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555,998</w:t>
            </w:r>
          </w:p>
        </w:tc>
        <w:tc>
          <w:tcPr>
            <w:tcW w:w="200" w:type="dxa"/>
            <w:vAlign w:val="bottom"/>
          </w:tcPr>
          <w:p>
            <w:pPr>
              <w:spacing w:after="0"/>
              <w:rPr>
                <w:sz w:val="18"/>
                <w:szCs w:val="18"/>
                <w:color w:val="auto"/>
              </w:rPr>
            </w:pPr>
          </w:p>
        </w:tc>
        <w:tc>
          <w:tcPr>
            <w:tcW w:w="720" w:type="dxa"/>
            <w:vAlign w:val="bottom"/>
          </w:tcPr>
          <w:p>
            <w:pPr>
              <w:jc w:val="right"/>
              <w:ind w:right="76"/>
              <w:spacing w:after="0"/>
              <w:rPr>
                <w:sz w:val="20"/>
                <w:szCs w:val="20"/>
                <w:color w:val="auto"/>
              </w:rPr>
            </w:pPr>
            <w:r>
              <w:rPr>
                <w:rFonts w:ascii="Arial" w:cs="Arial" w:eastAsia="Arial" w:hAnsi="Arial"/>
                <w:sz w:val="17"/>
                <w:szCs w:val="17"/>
                <w:color w:val="3A4967"/>
              </w:rPr>
              <w:t>72.41</w:t>
            </w:r>
          </w:p>
        </w:tc>
        <w:tc>
          <w:tcPr>
            <w:tcW w:w="820" w:type="dxa"/>
            <w:vAlign w:val="bottom"/>
          </w:tcPr>
          <w:p>
            <w:pPr>
              <w:jc w:val="right"/>
              <w:spacing w:after="0"/>
              <w:rPr>
                <w:sz w:val="20"/>
                <w:szCs w:val="20"/>
                <w:color w:val="auto"/>
              </w:rPr>
            </w:pPr>
            <w:r>
              <w:rPr>
                <w:rFonts w:ascii="Arial" w:cs="Arial" w:eastAsia="Arial" w:hAnsi="Arial"/>
                <w:sz w:val="17"/>
                <w:szCs w:val="17"/>
                <w:color w:val="3A4967"/>
              </w:rPr>
              <w:t>27.7%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3A4967"/>
              </w:rPr>
              <w:t>(3,965)</w:t>
            </w:r>
          </w:p>
        </w:tc>
        <w:tc>
          <w:tcPr>
            <w:tcW w:w="820" w:type="dxa"/>
            <w:vAlign w:val="bottom"/>
          </w:tcPr>
          <w:p>
            <w:pPr>
              <w:jc w:val="right"/>
              <w:spacing w:after="0"/>
              <w:rPr>
                <w:sz w:val="20"/>
                <w:szCs w:val="20"/>
                <w:color w:val="auto"/>
              </w:rPr>
            </w:pPr>
            <w:r>
              <w:rPr>
                <w:rFonts w:ascii="Arial" w:cs="Arial" w:eastAsia="Arial" w:hAnsi="Arial"/>
                <w:sz w:val="17"/>
                <w:szCs w:val="17"/>
                <w:color w:val="3A4967"/>
              </w:rPr>
              <w:t>(0.7)%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3A4967"/>
              </w:rPr>
              <w:t>1.26</w:t>
            </w:r>
          </w:p>
        </w:tc>
      </w:tr>
      <w:tr>
        <w:trPr>
          <w:trHeight w:val="237"/>
        </w:trPr>
        <w:tc>
          <w:tcPr>
            <w:tcW w:w="1960" w:type="dxa"/>
            <w:vAlign w:val="bottom"/>
          </w:tcPr>
          <w:p>
            <w:pPr>
              <w:ind w:left="80"/>
              <w:spacing w:after="0"/>
              <w:rPr>
                <w:sz w:val="20"/>
                <w:szCs w:val="20"/>
                <w:color w:val="auto"/>
              </w:rPr>
            </w:pPr>
            <w:r>
              <w:rPr>
                <w:rFonts w:ascii="Arial" w:cs="Arial" w:eastAsia="Arial" w:hAnsi="Arial"/>
                <w:sz w:val="17"/>
                <w:szCs w:val="17"/>
                <w:color w:val="3A4967"/>
              </w:rPr>
              <w:t>General and</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8"/>
        </w:trPr>
        <w:tc>
          <w:tcPr>
            <w:tcW w:w="1960" w:type="dxa"/>
            <w:vAlign w:val="bottom"/>
          </w:tcPr>
          <w:p>
            <w:pPr>
              <w:ind w:left="80"/>
              <w:spacing w:after="0"/>
              <w:rPr>
                <w:sz w:val="20"/>
                <w:szCs w:val="20"/>
                <w:color w:val="auto"/>
              </w:rPr>
            </w:pPr>
            <w:r>
              <w:rPr>
                <w:rFonts w:ascii="Arial" w:cs="Arial" w:eastAsia="Arial" w:hAnsi="Arial"/>
                <w:sz w:val="17"/>
                <w:szCs w:val="17"/>
                <w:color w:val="3A4967"/>
              </w:rPr>
              <w:t>administrative expenses</w:t>
            </w:r>
          </w:p>
        </w:tc>
        <w:tc>
          <w:tcPr>
            <w:tcW w:w="12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3A4967"/>
              </w:rPr>
              <w:t>189,906</w:t>
            </w:r>
          </w:p>
        </w:tc>
        <w:tc>
          <w:tcPr>
            <w:tcW w:w="22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3A4967"/>
              </w:rPr>
              <w:t>25.34</w:t>
            </w:r>
          </w:p>
        </w:tc>
        <w:tc>
          <w:tcPr>
            <w:tcW w:w="840" w:type="dxa"/>
            <w:vAlign w:val="bottom"/>
          </w:tcPr>
          <w:p>
            <w:pPr>
              <w:jc w:val="right"/>
              <w:spacing w:after="0"/>
              <w:rPr>
                <w:sz w:val="20"/>
                <w:szCs w:val="20"/>
                <w:color w:val="auto"/>
              </w:rPr>
            </w:pPr>
            <w:r>
              <w:rPr>
                <w:rFonts w:ascii="Arial" w:cs="Arial" w:eastAsia="Arial" w:hAnsi="Arial"/>
                <w:sz w:val="17"/>
                <w:szCs w:val="17"/>
                <w:color w:val="3A4967"/>
              </w:rPr>
              <w:t>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174,548</w:t>
            </w:r>
          </w:p>
        </w:tc>
        <w:tc>
          <w:tcPr>
            <w:tcW w:w="200" w:type="dxa"/>
            <w:vAlign w:val="bottom"/>
          </w:tcPr>
          <w:p>
            <w:pPr>
              <w:spacing w:after="0"/>
              <w:rPr>
                <w:sz w:val="18"/>
                <w:szCs w:val="18"/>
                <w:color w:val="auto"/>
              </w:rPr>
            </w:pPr>
          </w:p>
        </w:tc>
        <w:tc>
          <w:tcPr>
            <w:tcW w:w="720" w:type="dxa"/>
            <w:vAlign w:val="bottom"/>
          </w:tcPr>
          <w:p>
            <w:pPr>
              <w:jc w:val="right"/>
              <w:ind w:right="76"/>
              <w:spacing w:after="0"/>
              <w:rPr>
                <w:sz w:val="20"/>
                <w:szCs w:val="20"/>
                <w:color w:val="auto"/>
              </w:rPr>
            </w:pPr>
            <w:r>
              <w:rPr>
                <w:rFonts w:ascii="Arial" w:cs="Arial" w:eastAsia="Arial" w:hAnsi="Arial"/>
                <w:sz w:val="17"/>
                <w:szCs w:val="17"/>
                <w:color w:val="3A4967"/>
              </w:rPr>
              <w:t>22.73</w:t>
            </w:r>
          </w:p>
        </w:tc>
        <w:tc>
          <w:tcPr>
            <w:tcW w:w="820" w:type="dxa"/>
            <w:vAlign w:val="bottom"/>
          </w:tcPr>
          <w:p>
            <w:pPr>
              <w:jc w:val="right"/>
              <w:spacing w:after="0"/>
              <w:rPr>
                <w:sz w:val="20"/>
                <w:szCs w:val="20"/>
                <w:color w:val="auto"/>
              </w:rPr>
            </w:pPr>
            <w:r>
              <w:rPr>
                <w:rFonts w:ascii="Arial" w:cs="Arial" w:eastAsia="Arial" w:hAnsi="Arial"/>
                <w:sz w:val="17"/>
                <w:szCs w:val="17"/>
                <w:color w:val="3A4967"/>
              </w:rPr>
              <w:t>8.7%</w:t>
            </w:r>
          </w:p>
        </w:tc>
        <w:tc>
          <w:tcPr>
            <w:tcW w:w="26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3A4967"/>
              </w:rPr>
              <w:t>15,358</w:t>
            </w:r>
          </w:p>
        </w:tc>
        <w:tc>
          <w:tcPr>
            <w:tcW w:w="820" w:type="dxa"/>
            <w:vAlign w:val="bottom"/>
          </w:tcPr>
          <w:p>
            <w:pPr>
              <w:jc w:val="right"/>
              <w:spacing w:after="0"/>
              <w:rPr>
                <w:sz w:val="20"/>
                <w:szCs w:val="20"/>
                <w:color w:val="auto"/>
              </w:rPr>
            </w:pPr>
            <w:r>
              <w:rPr>
                <w:rFonts w:ascii="Arial" w:cs="Arial" w:eastAsia="Arial" w:hAnsi="Arial"/>
                <w:sz w:val="17"/>
                <w:szCs w:val="17"/>
                <w:color w:val="3A4967"/>
              </w:rPr>
              <w:t>8.8%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3A4967"/>
              </w:rPr>
              <w:t>2.61</w:t>
            </w:r>
          </w:p>
        </w:tc>
      </w:tr>
      <w:tr>
        <w:trPr>
          <w:trHeight w:val="237"/>
        </w:trPr>
        <w:tc>
          <w:tcPr>
            <w:tcW w:w="1960" w:type="dxa"/>
            <w:vAlign w:val="bottom"/>
          </w:tcPr>
          <w:p>
            <w:pPr>
              <w:ind w:left="80"/>
              <w:spacing w:after="0"/>
              <w:rPr>
                <w:sz w:val="20"/>
                <w:szCs w:val="20"/>
                <w:color w:val="auto"/>
              </w:rPr>
            </w:pPr>
            <w:r>
              <w:rPr>
                <w:rFonts w:ascii="Arial" w:cs="Arial" w:eastAsia="Arial" w:hAnsi="Arial"/>
                <w:sz w:val="17"/>
                <w:szCs w:val="17"/>
                <w:color w:val="3A4967"/>
              </w:rPr>
              <w:t>Impairment of intangible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8"/>
        </w:trPr>
        <w:tc>
          <w:tcPr>
            <w:tcW w:w="1960" w:type="dxa"/>
            <w:vAlign w:val="bottom"/>
          </w:tcPr>
          <w:p>
            <w:pPr>
              <w:ind w:left="80"/>
              <w:spacing w:after="0"/>
              <w:rPr>
                <w:sz w:val="20"/>
                <w:szCs w:val="20"/>
                <w:color w:val="auto"/>
              </w:rPr>
            </w:pPr>
            <w:r>
              <w:rPr>
                <w:rFonts w:ascii="Arial" w:cs="Arial" w:eastAsia="Arial" w:hAnsi="Arial"/>
                <w:sz w:val="17"/>
                <w:szCs w:val="17"/>
                <w:color w:val="3A4967"/>
              </w:rPr>
              <w:t>assets</w:t>
            </w:r>
          </w:p>
        </w:tc>
        <w:tc>
          <w:tcPr>
            <w:tcW w:w="12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3A4967"/>
              </w:rPr>
              <w:t>42,584</w:t>
            </w:r>
          </w:p>
        </w:tc>
        <w:tc>
          <w:tcPr>
            <w:tcW w:w="22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3A4967"/>
              </w:rPr>
              <w:t>5.68</w:t>
            </w:r>
          </w:p>
        </w:tc>
        <w:tc>
          <w:tcPr>
            <w:tcW w:w="840" w:type="dxa"/>
            <w:vAlign w:val="bottom"/>
          </w:tcPr>
          <w:p>
            <w:pPr>
              <w:jc w:val="right"/>
              <w:spacing w:after="0"/>
              <w:rPr>
                <w:sz w:val="20"/>
                <w:szCs w:val="20"/>
                <w:color w:val="auto"/>
              </w:rPr>
            </w:pPr>
            <w:r>
              <w:rPr>
                <w:rFonts w:ascii="Arial" w:cs="Arial" w:eastAsia="Arial" w:hAnsi="Arial"/>
                <w:sz w:val="17"/>
                <w:szCs w:val="17"/>
                <w:color w:val="3A4967"/>
              </w:rPr>
              <w:t>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16,426</w:t>
            </w:r>
          </w:p>
        </w:tc>
        <w:tc>
          <w:tcPr>
            <w:tcW w:w="200" w:type="dxa"/>
            <w:vAlign w:val="bottom"/>
          </w:tcPr>
          <w:p>
            <w:pPr>
              <w:spacing w:after="0"/>
              <w:rPr>
                <w:sz w:val="18"/>
                <w:szCs w:val="18"/>
                <w:color w:val="auto"/>
              </w:rPr>
            </w:pPr>
          </w:p>
        </w:tc>
        <w:tc>
          <w:tcPr>
            <w:tcW w:w="720" w:type="dxa"/>
            <w:vAlign w:val="bottom"/>
          </w:tcPr>
          <w:p>
            <w:pPr>
              <w:jc w:val="right"/>
              <w:ind w:right="76"/>
              <w:spacing w:after="0"/>
              <w:rPr>
                <w:sz w:val="20"/>
                <w:szCs w:val="20"/>
                <w:color w:val="auto"/>
              </w:rPr>
            </w:pPr>
            <w:r>
              <w:rPr>
                <w:rFonts w:ascii="Arial" w:cs="Arial" w:eastAsia="Arial" w:hAnsi="Arial"/>
                <w:sz w:val="17"/>
                <w:szCs w:val="17"/>
                <w:color w:val="3A4967"/>
              </w:rPr>
              <w:t>2.14</w:t>
            </w:r>
          </w:p>
        </w:tc>
        <w:tc>
          <w:tcPr>
            <w:tcW w:w="820" w:type="dxa"/>
            <w:vAlign w:val="bottom"/>
          </w:tcPr>
          <w:p>
            <w:pPr>
              <w:jc w:val="right"/>
              <w:spacing w:after="0"/>
              <w:rPr>
                <w:sz w:val="20"/>
                <w:szCs w:val="20"/>
                <w:color w:val="auto"/>
              </w:rPr>
            </w:pPr>
            <w:r>
              <w:rPr>
                <w:rFonts w:ascii="Arial" w:cs="Arial" w:eastAsia="Arial" w:hAnsi="Arial"/>
                <w:sz w:val="17"/>
                <w:szCs w:val="17"/>
                <w:color w:val="3A4967"/>
              </w:rPr>
              <w:t>0.8%</w:t>
            </w:r>
          </w:p>
        </w:tc>
        <w:tc>
          <w:tcPr>
            <w:tcW w:w="26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3A4967"/>
              </w:rPr>
              <w:t>26,158</w:t>
            </w:r>
          </w:p>
        </w:tc>
        <w:tc>
          <w:tcPr>
            <w:tcW w:w="820" w:type="dxa"/>
            <w:vAlign w:val="bottom"/>
          </w:tcPr>
          <w:p>
            <w:pPr>
              <w:jc w:val="right"/>
              <w:spacing w:after="0"/>
              <w:rPr>
                <w:sz w:val="20"/>
                <w:szCs w:val="20"/>
                <w:color w:val="auto"/>
              </w:rPr>
            </w:pPr>
            <w:r>
              <w:rPr>
                <w:rFonts w:ascii="Arial" w:cs="Arial" w:eastAsia="Arial" w:hAnsi="Arial"/>
                <w:sz w:val="17"/>
                <w:szCs w:val="17"/>
                <w:color w:val="3A4967"/>
              </w:rPr>
              <w:t>&gt;100%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3A4967"/>
              </w:rPr>
              <w:t>3.54</w:t>
            </w:r>
          </w:p>
        </w:tc>
      </w:tr>
      <w:tr>
        <w:trPr>
          <w:trHeight w:val="237"/>
        </w:trPr>
        <w:tc>
          <w:tcPr>
            <w:tcW w:w="1960" w:type="dxa"/>
            <w:vAlign w:val="bottom"/>
          </w:tcPr>
          <w:p>
            <w:pPr>
              <w:ind w:left="80"/>
              <w:spacing w:after="0"/>
              <w:rPr>
                <w:sz w:val="20"/>
                <w:szCs w:val="20"/>
                <w:color w:val="auto"/>
              </w:rPr>
            </w:pPr>
            <w:r>
              <w:rPr>
                <w:rFonts w:ascii="Arial" w:cs="Arial" w:eastAsia="Arial" w:hAnsi="Arial"/>
                <w:sz w:val="17"/>
                <w:szCs w:val="17"/>
                <w:color w:val="3A4967"/>
              </w:rPr>
              <w:t>Impairment of brewery</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8"/>
        </w:trPr>
        <w:tc>
          <w:tcPr>
            <w:tcW w:w="1960" w:type="dxa"/>
            <w:vAlign w:val="bottom"/>
          </w:tcPr>
          <w:p>
            <w:pPr>
              <w:ind w:left="80"/>
              <w:spacing w:after="0"/>
              <w:rPr>
                <w:sz w:val="20"/>
                <w:szCs w:val="20"/>
                <w:color w:val="auto"/>
              </w:rPr>
            </w:pPr>
            <w:r>
              <w:rPr>
                <w:rFonts w:ascii="Arial" w:cs="Arial" w:eastAsia="Arial" w:hAnsi="Arial"/>
                <w:sz w:val="17"/>
                <w:szCs w:val="17"/>
                <w:color w:val="3A4967"/>
              </w:rPr>
              <w:t>assets</w:t>
            </w:r>
          </w:p>
        </w:tc>
        <w:tc>
          <w:tcPr>
            <w:tcW w:w="12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3A4967"/>
              </w:rPr>
              <w:t>7,184</w:t>
            </w:r>
          </w:p>
        </w:tc>
        <w:tc>
          <w:tcPr>
            <w:tcW w:w="22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3A4967"/>
              </w:rPr>
              <w:t>0.96</w:t>
            </w:r>
          </w:p>
        </w:tc>
        <w:tc>
          <w:tcPr>
            <w:tcW w:w="840" w:type="dxa"/>
            <w:vAlign w:val="bottom"/>
          </w:tcPr>
          <w:p>
            <w:pPr>
              <w:jc w:val="right"/>
              <w:spacing w:after="0"/>
              <w:rPr>
                <w:sz w:val="20"/>
                <w:szCs w:val="20"/>
                <w:color w:val="auto"/>
              </w:rPr>
            </w:pPr>
            <w:r>
              <w:rPr>
                <w:rFonts w:ascii="Arial" w:cs="Arial" w:eastAsia="Arial" w:hAnsi="Arial"/>
                <w:sz w:val="17"/>
                <w:szCs w:val="17"/>
                <w:color w:val="3A4967"/>
              </w:rPr>
              <w:t>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5,396</w:t>
            </w:r>
          </w:p>
        </w:tc>
        <w:tc>
          <w:tcPr>
            <w:tcW w:w="200" w:type="dxa"/>
            <w:vAlign w:val="bottom"/>
          </w:tcPr>
          <w:p>
            <w:pPr>
              <w:spacing w:after="0"/>
              <w:rPr>
                <w:sz w:val="18"/>
                <w:szCs w:val="18"/>
                <w:color w:val="auto"/>
              </w:rPr>
            </w:pPr>
          </w:p>
        </w:tc>
        <w:tc>
          <w:tcPr>
            <w:tcW w:w="720" w:type="dxa"/>
            <w:vAlign w:val="bottom"/>
          </w:tcPr>
          <w:p>
            <w:pPr>
              <w:jc w:val="right"/>
              <w:ind w:right="76"/>
              <w:spacing w:after="0"/>
              <w:rPr>
                <w:sz w:val="20"/>
                <w:szCs w:val="20"/>
                <w:color w:val="auto"/>
              </w:rPr>
            </w:pPr>
            <w:r>
              <w:rPr>
                <w:rFonts w:ascii="Arial" w:cs="Arial" w:eastAsia="Arial" w:hAnsi="Arial"/>
                <w:sz w:val="17"/>
                <w:szCs w:val="17"/>
                <w:color w:val="3A4967"/>
              </w:rPr>
              <w:t>0.70</w:t>
            </w:r>
          </w:p>
        </w:tc>
        <w:tc>
          <w:tcPr>
            <w:tcW w:w="820" w:type="dxa"/>
            <w:vAlign w:val="bottom"/>
          </w:tcPr>
          <w:p>
            <w:pPr>
              <w:jc w:val="right"/>
              <w:spacing w:after="0"/>
              <w:rPr>
                <w:sz w:val="20"/>
                <w:szCs w:val="20"/>
                <w:color w:val="auto"/>
              </w:rPr>
            </w:pPr>
            <w:r>
              <w:rPr>
                <w:rFonts w:ascii="Arial" w:cs="Arial" w:eastAsia="Arial" w:hAnsi="Arial"/>
                <w:sz w:val="17"/>
                <w:szCs w:val="17"/>
                <w:color w:val="3A4967"/>
              </w:rPr>
              <w:t>0.3%</w:t>
            </w:r>
          </w:p>
        </w:tc>
        <w:tc>
          <w:tcPr>
            <w:tcW w:w="26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3A4967"/>
              </w:rPr>
              <w:t>1,788</w:t>
            </w:r>
          </w:p>
        </w:tc>
        <w:tc>
          <w:tcPr>
            <w:tcW w:w="820" w:type="dxa"/>
            <w:vAlign w:val="bottom"/>
          </w:tcPr>
          <w:p>
            <w:pPr>
              <w:jc w:val="right"/>
              <w:spacing w:after="0"/>
              <w:rPr>
                <w:sz w:val="20"/>
                <w:szCs w:val="20"/>
                <w:color w:val="auto"/>
              </w:rPr>
            </w:pPr>
            <w:r>
              <w:rPr>
                <w:rFonts w:ascii="Arial" w:cs="Arial" w:eastAsia="Arial" w:hAnsi="Arial"/>
                <w:sz w:val="17"/>
                <w:szCs w:val="17"/>
                <w:color w:val="3A4967"/>
              </w:rPr>
              <w:t>33.1%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3A4967"/>
              </w:rPr>
              <w:t>0.26</w:t>
            </w:r>
          </w:p>
        </w:tc>
      </w:tr>
      <w:tr>
        <w:trPr>
          <w:trHeight w:val="237"/>
        </w:trPr>
        <w:tc>
          <w:tcPr>
            <w:tcW w:w="1960" w:type="dxa"/>
            <w:vAlign w:val="bottom"/>
          </w:tcPr>
          <w:p>
            <w:pPr>
              <w:ind w:left="80"/>
              <w:spacing w:after="0"/>
              <w:rPr>
                <w:sz w:val="20"/>
                <w:szCs w:val="20"/>
                <w:color w:val="auto"/>
              </w:rPr>
            </w:pPr>
            <w:r>
              <w:rPr>
                <w:rFonts w:ascii="Arial" w:cs="Arial" w:eastAsia="Arial" w:hAnsi="Arial"/>
                <w:sz w:val="17"/>
                <w:szCs w:val="17"/>
                <w:color w:val="3A4967"/>
              </w:rPr>
              <w:t>Contract settlement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5"/>
        </w:trPr>
        <w:tc>
          <w:tcPr>
            <w:tcW w:w="196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costs</w:t>
            </w:r>
          </w:p>
        </w:tc>
        <w:tc>
          <w:tcPr>
            <w:tcW w:w="120" w:type="dxa"/>
            <w:vAlign w:val="bottom"/>
            <w:tcBorders>
              <w:bottom w:val="single" w:sz="8" w:color="3A4967"/>
            </w:tcBorders>
          </w:tcPr>
          <w:p>
            <w:pPr>
              <w:spacing w:after="0"/>
              <w:rPr>
                <w:sz w:val="18"/>
                <w:szCs w:val="18"/>
                <w:color w:val="auto"/>
              </w:rPr>
            </w:pPr>
          </w:p>
        </w:tc>
        <w:tc>
          <w:tcPr>
            <w:tcW w:w="860" w:type="dxa"/>
            <w:vAlign w:val="bottom"/>
            <w:tcBorders>
              <w:bottom w:val="single" w:sz="8" w:color="3A4967"/>
            </w:tcBorders>
          </w:tcPr>
          <w:p>
            <w:pPr>
              <w:jc w:val="right"/>
              <w:ind w:right="15"/>
              <w:spacing w:after="0"/>
              <w:rPr>
                <w:sz w:val="20"/>
                <w:szCs w:val="20"/>
                <w:color w:val="auto"/>
              </w:rPr>
            </w:pPr>
            <w:r>
              <w:rPr>
                <w:rFonts w:ascii="Arial" w:cs="Arial" w:eastAsia="Arial" w:hAnsi="Arial"/>
                <w:sz w:val="17"/>
                <w:szCs w:val="17"/>
                <w:color w:val="3A4967"/>
              </w:rPr>
              <w:t>26,052</w:t>
            </w:r>
          </w:p>
        </w:tc>
        <w:tc>
          <w:tcPr>
            <w:tcW w:w="220" w:type="dxa"/>
            <w:vAlign w:val="bottom"/>
            <w:tcBorders>
              <w:bottom w:val="single" w:sz="8" w:color="3A4967"/>
            </w:tcBorders>
          </w:tcPr>
          <w:p>
            <w:pPr>
              <w:spacing w:after="0"/>
              <w:rPr>
                <w:sz w:val="18"/>
                <w:szCs w:val="18"/>
                <w:color w:val="auto"/>
              </w:rPr>
            </w:pPr>
          </w:p>
        </w:tc>
        <w:tc>
          <w:tcPr>
            <w:tcW w:w="66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3.48</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1.3%</w:t>
            </w:r>
          </w:p>
        </w:tc>
        <w:tc>
          <w:tcPr>
            <w:tcW w:w="140" w:type="dxa"/>
            <w:vAlign w:val="bottom"/>
            <w:tcBorders>
              <w:bottom w:val="single" w:sz="8" w:color="3A4967"/>
            </w:tcBorders>
          </w:tcPr>
          <w:p>
            <w:pPr>
              <w:spacing w:after="0"/>
              <w:rPr>
                <w:sz w:val="18"/>
                <w:szCs w:val="18"/>
                <w:color w:val="auto"/>
              </w:rPr>
            </w:pPr>
          </w:p>
        </w:tc>
        <w:tc>
          <w:tcPr>
            <w:tcW w:w="140" w:type="dxa"/>
            <w:vAlign w:val="bottom"/>
            <w:tcBorders>
              <w:bottom w:val="single" w:sz="8" w:color="3A4967"/>
            </w:tcBorders>
          </w:tcPr>
          <w:p>
            <w:pPr>
              <w:spacing w:after="0"/>
              <w:rPr>
                <w:sz w:val="18"/>
                <w:szCs w:val="18"/>
                <w:color w:val="auto"/>
              </w:rPr>
            </w:pP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0</w:t>
            </w:r>
          </w:p>
        </w:tc>
        <w:tc>
          <w:tcPr>
            <w:tcW w:w="200" w:type="dxa"/>
            <w:vAlign w:val="bottom"/>
            <w:tcBorders>
              <w:bottom w:val="single" w:sz="8" w:color="3A4967"/>
            </w:tcBorders>
          </w:tcPr>
          <w:p>
            <w:pPr>
              <w:spacing w:after="0"/>
              <w:rPr>
                <w:sz w:val="18"/>
                <w:szCs w:val="18"/>
                <w:color w:val="auto"/>
              </w:rPr>
            </w:pPr>
          </w:p>
        </w:tc>
        <w:tc>
          <w:tcPr>
            <w:tcW w:w="720" w:type="dxa"/>
            <w:vAlign w:val="bottom"/>
            <w:tcBorders>
              <w:bottom w:val="single" w:sz="8" w:color="3A4967"/>
            </w:tcBorders>
          </w:tcPr>
          <w:p>
            <w:pPr>
              <w:jc w:val="right"/>
              <w:ind w:right="76"/>
              <w:spacing w:after="0"/>
              <w:rPr>
                <w:sz w:val="20"/>
                <w:szCs w:val="20"/>
                <w:color w:val="auto"/>
              </w:rPr>
            </w:pPr>
            <w:r>
              <w:rPr>
                <w:rFonts w:ascii="Arial" w:cs="Arial" w:eastAsia="Arial" w:hAnsi="Arial"/>
                <w:sz w:val="17"/>
                <w:szCs w:val="17"/>
                <w:color w:val="3A4967"/>
              </w:rPr>
              <w:t>0.00</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0.0%</w:t>
            </w:r>
          </w:p>
        </w:tc>
        <w:tc>
          <w:tcPr>
            <w:tcW w:w="260" w:type="dxa"/>
            <w:vAlign w:val="bottom"/>
            <w:tcBorders>
              <w:bottom w:val="single" w:sz="8" w:color="3A4967"/>
            </w:tcBorders>
          </w:tcPr>
          <w:p>
            <w:pPr>
              <w:spacing w:after="0"/>
              <w:rPr>
                <w:sz w:val="18"/>
                <w:szCs w:val="18"/>
                <w:color w:val="auto"/>
              </w:rPr>
            </w:pPr>
          </w:p>
        </w:tc>
        <w:tc>
          <w:tcPr>
            <w:tcW w:w="78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26,052</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&gt;100%</w:t>
            </w:r>
          </w:p>
        </w:tc>
        <w:tc>
          <w:tcPr>
            <w:tcW w:w="200" w:type="dxa"/>
            <w:vAlign w:val="bottom"/>
            <w:tcBorders>
              <w:bottom w:val="single" w:sz="8" w:color="3A4967"/>
            </w:tcBorders>
          </w:tcPr>
          <w:p>
            <w:pPr>
              <w:spacing w:after="0"/>
              <w:rPr>
                <w:sz w:val="18"/>
                <w:szCs w:val="18"/>
                <w:color w:val="auto"/>
              </w:rPr>
            </w:pPr>
          </w:p>
        </w:tc>
        <w:tc>
          <w:tcPr>
            <w:tcW w:w="64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3.48</w:t>
            </w:r>
          </w:p>
        </w:tc>
      </w:tr>
      <w:tr>
        <w:trPr>
          <w:trHeight w:val="214"/>
        </w:trPr>
        <w:tc>
          <w:tcPr>
            <w:tcW w:w="1960" w:type="dxa"/>
            <w:vAlign w:val="bottom"/>
          </w:tcPr>
          <w:p>
            <w:pPr>
              <w:ind w:left="80"/>
              <w:spacing w:after="0"/>
              <w:rPr>
                <w:sz w:val="20"/>
                <w:szCs w:val="20"/>
                <w:color w:val="auto"/>
              </w:rPr>
            </w:pPr>
            <w:r>
              <w:rPr>
                <w:rFonts w:ascii="Arial" w:cs="Arial" w:eastAsia="Arial" w:hAnsi="Arial"/>
                <w:sz w:val="17"/>
                <w:szCs w:val="17"/>
                <w:color w:val="3A4967"/>
                <w:w w:val="97"/>
              </w:rPr>
              <w:t>Total operating expenses</w:t>
            </w:r>
          </w:p>
        </w:tc>
        <w:tc>
          <w:tcPr>
            <w:tcW w:w="12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3A4967"/>
              </w:rPr>
              <w:t>817,759</w:t>
            </w:r>
          </w:p>
        </w:tc>
        <w:tc>
          <w:tcPr>
            <w:tcW w:w="22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3A4967"/>
              </w:rPr>
              <w:t>109.14</w:t>
            </w:r>
          </w:p>
        </w:tc>
        <w:tc>
          <w:tcPr>
            <w:tcW w:w="840" w:type="dxa"/>
            <w:vAlign w:val="bottom"/>
          </w:tcPr>
          <w:p>
            <w:pPr>
              <w:jc w:val="right"/>
              <w:spacing w:after="0"/>
              <w:rPr>
                <w:sz w:val="20"/>
                <w:szCs w:val="20"/>
                <w:color w:val="auto"/>
              </w:rPr>
            </w:pPr>
            <w:r>
              <w:rPr>
                <w:rFonts w:ascii="Arial" w:cs="Arial" w:eastAsia="Arial" w:hAnsi="Arial"/>
                <w:sz w:val="17"/>
                <w:szCs w:val="17"/>
                <w:color w:val="3A4967"/>
              </w:rPr>
              <w:t>40.6%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752,368</w:t>
            </w:r>
          </w:p>
        </w:tc>
        <w:tc>
          <w:tcPr>
            <w:tcW w:w="200" w:type="dxa"/>
            <w:vAlign w:val="bottom"/>
          </w:tcPr>
          <w:p>
            <w:pPr>
              <w:spacing w:after="0"/>
              <w:rPr>
                <w:sz w:val="18"/>
                <w:szCs w:val="18"/>
                <w:color w:val="auto"/>
              </w:rPr>
            </w:pPr>
          </w:p>
        </w:tc>
        <w:tc>
          <w:tcPr>
            <w:tcW w:w="720" w:type="dxa"/>
            <w:vAlign w:val="bottom"/>
          </w:tcPr>
          <w:p>
            <w:pPr>
              <w:jc w:val="right"/>
              <w:ind w:right="76"/>
              <w:spacing w:after="0"/>
              <w:rPr>
                <w:sz w:val="20"/>
                <w:szCs w:val="20"/>
                <w:color w:val="auto"/>
              </w:rPr>
            </w:pPr>
            <w:r>
              <w:rPr>
                <w:rFonts w:ascii="Arial" w:cs="Arial" w:eastAsia="Arial" w:hAnsi="Arial"/>
                <w:sz w:val="17"/>
                <w:szCs w:val="17"/>
                <w:color w:val="3A4967"/>
              </w:rPr>
              <w:t>97.99</w:t>
            </w:r>
          </w:p>
        </w:tc>
        <w:tc>
          <w:tcPr>
            <w:tcW w:w="820" w:type="dxa"/>
            <w:vAlign w:val="bottom"/>
          </w:tcPr>
          <w:p>
            <w:pPr>
              <w:jc w:val="right"/>
              <w:spacing w:after="0"/>
              <w:rPr>
                <w:sz w:val="20"/>
                <w:szCs w:val="20"/>
                <w:color w:val="auto"/>
              </w:rPr>
            </w:pPr>
            <w:r>
              <w:rPr>
                <w:rFonts w:ascii="Arial" w:cs="Arial" w:eastAsia="Arial" w:hAnsi="Arial"/>
                <w:sz w:val="17"/>
                <w:szCs w:val="17"/>
                <w:color w:val="3A4967"/>
              </w:rPr>
              <w:t>37.5%</w:t>
            </w:r>
          </w:p>
        </w:tc>
        <w:tc>
          <w:tcPr>
            <w:tcW w:w="26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3A4967"/>
              </w:rPr>
              <w:t>65,391</w:t>
            </w:r>
          </w:p>
        </w:tc>
        <w:tc>
          <w:tcPr>
            <w:tcW w:w="820" w:type="dxa"/>
            <w:vAlign w:val="bottom"/>
          </w:tcPr>
          <w:p>
            <w:pPr>
              <w:jc w:val="right"/>
              <w:spacing w:after="0"/>
              <w:rPr>
                <w:sz w:val="20"/>
                <w:szCs w:val="20"/>
                <w:color w:val="auto"/>
              </w:rPr>
            </w:pPr>
            <w:r>
              <w:rPr>
                <w:rFonts w:ascii="Arial" w:cs="Arial" w:eastAsia="Arial" w:hAnsi="Arial"/>
                <w:sz w:val="17"/>
                <w:szCs w:val="17"/>
                <w:color w:val="3A4967"/>
              </w:rPr>
              <w:t>8.7%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3A4967"/>
              </w:rPr>
              <w:t>11.15</w:t>
            </w:r>
          </w:p>
        </w:tc>
      </w:tr>
      <w:tr>
        <w:trPr>
          <w:trHeight w:val="241"/>
        </w:trPr>
        <w:tc>
          <w:tcPr>
            <w:tcW w:w="1960" w:type="dxa"/>
            <w:vAlign w:val="bottom"/>
          </w:tcPr>
          <w:p>
            <w:pPr>
              <w:ind w:left="80"/>
              <w:spacing w:after="0"/>
              <w:rPr>
                <w:sz w:val="20"/>
                <w:szCs w:val="20"/>
                <w:color w:val="auto"/>
              </w:rPr>
            </w:pPr>
            <w:r>
              <w:rPr>
                <w:rFonts w:ascii="Arial" w:cs="Arial" w:eastAsia="Arial" w:hAnsi="Arial"/>
                <w:sz w:val="17"/>
                <w:szCs w:val="17"/>
                <w:color w:val="3A4967"/>
              </w:rPr>
              <w:t>Operating income</w:t>
            </w:r>
          </w:p>
        </w:tc>
        <w:tc>
          <w:tcPr>
            <w:tcW w:w="12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3A4967"/>
              </w:rPr>
              <w:t>75,973</w:t>
            </w:r>
          </w:p>
        </w:tc>
        <w:tc>
          <w:tcPr>
            <w:tcW w:w="220" w:type="dxa"/>
            <w:vAlign w:val="bottom"/>
          </w:tcPr>
          <w:p>
            <w:pPr>
              <w:spacing w:after="0"/>
              <w:rPr>
                <w:sz w:val="20"/>
                <w:szCs w:val="20"/>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3A4967"/>
              </w:rPr>
              <w:t>10.14</w:t>
            </w:r>
          </w:p>
        </w:tc>
        <w:tc>
          <w:tcPr>
            <w:tcW w:w="840" w:type="dxa"/>
            <w:vAlign w:val="bottom"/>
          </w:tcPr>
          <w:p>
            <w:pPr>
              <w:jc w:val="right"/>
              <w:spacing w:after="0"/>
              <w:rPr>
                <w:sz w:val="20"/>
                <w:szCs w:val="20"/>
                <w:color w:val="auto"/>
              </w:rPr>
            </w:pPr>
            <w:r>
              <w:rPr>
                <w:rFonts w:ascii="Arial" w:cs="Arial" w:eastAsia="Arial" w:hAnsi="Arial"/>
                <w:sz w:val="17"/>
                <w:szCs w:val="17"/>
                <w:color w:val="3A4967"/>
              </w:rPr>
              <w:t>3.8%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100,001</w:t>
            </w:r>
          </w:p>
        </w:tc>
        <w:tc>
          <w:tcPr>
            <w:tcW w:w="200" w:type="dxa"/>
            <w:vAlign w:val="bottom"/>
          </w:tcPr>
          <w:p>
            <w:pPr>
              <w:spacing w:after="0"/>
              <w:rPr>
                <w:sz w:val="20"/>
                <w:szCs w:val="20"/>
                <w:color w:val="auto"/>
              </w:rPr>
            </w:pPr>
          </w:p>
        </w:tc>
        <w:tc>
          <w:tcPr>
            <w:tcW w:w="720" w:type="dxa"/>
            <w:vAlign w:val="bottom"/>
          </w:tcPr>
          <w:p>
            <w:pPr>
              <w:jc w:val="right"/>
              <w:ind w:right="76"/>
              <w:spacing w:after="0"/>
              <w:rPr>
                <w:sz w:val="20"/>
                <w:szCs w:val="20"/>
                <w:color w:val="auto"/>
              </w:rPr>
            </w:pPr>
            <w:r>
              <w:rPr>
                <w:rFonts w:ascii="Arial" w:cs="Arial" w:eastAsia="Arial" w:hAnsi="Arial"/>
                <w:sz w:val="17"/>
                <w:szCs w:val="17"/>
                <w:color w:val="3A4967"/>
              </w:rPr>
              <w:t>13.02</w:t>
            </w:r>
          </w:p>
        </w:tc>
        <w:tc>
          <w:tcPr>
            <w:tcW w:w="820" w:type="dxa"/>
            <w:vAlign w:val="bottom"/>
          </w:tcPr>
          <w:p>
            <w:pPr>
              <w:jc w:val="right"/>
              <w:spacing w:after="0"/>
              <w:rPr>
                <w:sz w:val="20"/>
                <w:szCs w:val="20"/>
                <w:color w:val="auto"/>
              </w:rPr>
            </w:pPr>
            <w:r>
              <w:rPr>
                <w:rFonts w:ascii="Arial" w:cs="Arial" w:eastAsia="Arial" w:hAnsi="Arial"/>
                <w:sz w:val="17"/>
                <w:szCs w:val="17"/>
                <w:color w:val="3A4967"/>
              </w:rPr>
              <w:t>5.0%</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3A4967"/>
              </w:rPr>
              <w:t>(24,028)</w:t>
            </w:r>
          </w:p>
        </w:tc>
        <w:tc>
          <w:tcPr>
            <w:tcW w:w="820" w:type="dxa"/>
            <w:vAlign w:val="bottom"/>
          </w:tcPr>
          <w:p>
            <w:pPr>
              <w:jc w:val="right"/>
              <w:spacing w:after="0"/>
              <w:rPr>
                <w:sz w:val="20"/>
                <w:szCs w:val="20"/>
                <w:color w:val="auto"/>
              </w:rPr>
            </w:pPr>
            <w:r>
              <w:rPr>
                <w:rFonts w:ascii="Arial" w:cs="Arial" w:eastAsia="Arial" w:hAnsi="Arial"/>
                <w:sz w:val="17"/>
                <w:szCs w:val="17"/>
                <w:color w:val="3A4967"/>
              </w:rPr>
              <w:t>(24.0)%</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3A4967"/>
              </w:rPr>
              <w:t>(2.88)</w:t>
            </w:r>
          </w:p>
        </w:tc>
      </w:tr>
      <w:tr>
        <w:trPr>
          <w:trHeight w:val="248"/>
        </w:trPr>
        <w:tc>
          <w:tcPr>
            <w:tcW w:w="196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Other income, net</w:t>
            </w:r>
          </w:p>
        </w:tc>
        <w:tc>
          <w:tcPr>
            <w:tcW w:w="120" w:type="dxa"/>
            <w:vAlign w:val="bottom"/>
            <w:tcBorders>
              <w:bottom w:val="single" w:sz="8" w:color="3A4967"/>
            </w:tcBorders>
          </w:tcPr>
          <w:p>
            <w:pPr>
              <w:spacing w:after="0"/>
              <w:rPr>
                <w:sz w:val="21"/>
                <w:szCs w:val="21"/>
                <w:color w:val="auto"/>
              </w:rPr>
            </w:pPr>
          </w:p>
        </w:tc>
        <w:tc>
          <w:tcPr>
            <w:tcW w:w="860" w:type="dxa"/>
            <w:vAlign w:val="bottom"/>
            <w:tcBorders>
              <w:bottom w:val="single" w:sz="8" w:color="3A4967"/>
            </w:tcBorders>
          </w:tcPr>
          <w:p>
            <w:pPr>
              <w:jc w:val="right"/>
              <w:ind w:right="15"/>
              <w:spacing w:after="0"/>
              <w:rPr>
                <w:sz w:val="20"/>
                <w:szCs w:val="20"/>
                <w:color w:val="auto"/>
              </w:rPr>
            </w:pPr>
            <w:r>
              <w:rPr>
                <w:rFonts w:ascii="Arial" w:cs="Arial" w:eastAsia="Arial" w:hAnsi="Arial"/>
                <w:sz w:val="17"/>
                <w:szCs w:val="17"/>
                <w:color w:val="3A4967"/>
              </w:rPr>
              <w:t>11,629</w:t>
            </w:r>
          </w:p>
        </w:tc>
        <w:tc>
          <w:tcPr>
            <w:tcW w:w="220" w:type="dxa"/>
            <w:vAlign w:val="bottom"/>
            <w:tcBorders>
              <w:bottom w:val="single" w:sz="8" w:color="3A4967"/>
            </w:tcBorders>
          </w:tcPr>
          <w:p>
            <w:pPr>
              <w:spacing w:after="0"/>
              <w:rPr>
                <w:sz w:val="21"/>
                <w:szCs w:val="21"/>
                <w:color w:val="auto"/>
              </w:rPr>
            </w:pPr>
          </w:p>
        </w:tc>
        <w:tc>
          <w:tcPr>
            <w:tcW w:w="66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1.55</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0.6%</w:t>
            </w:r>
          </w:p>
        </w:tc>
        <w:tc>
          <w:tcPr>
            <w:tcW w:w="140" w:type="dxa"/>
            <w:vAlign w:val="bottom"/>
            <w:tcBorders>
              <w:bottom w:val="single" w:sz="8" w:color="3A4967"/>
            </w:tcBorders>
          </w:tcPr>
          <w:p>
            <w:pPr>
              <w:spacing w:after="0"/>
              <w:rPr>
                <w:sz w:val="21"/>
                <w:szCs w:val="21"/>
                <w:color w:val="auto"/>
              </w:rPr>
            </w:pPr>
          </w:p>
        </w:tc>
        <w:tc>
          <w:tcPr>
            <w:tcW w:w="140" w:type="dxa"/>
            <w:vAlign w:val="bottom"/>
            <w:tcBorders>
              <w:bottom w:val="single" w:sz="8" w:color="3A4967"/>
            </w:tcBorders>
          </w:tcPr>
          <w:p>
            <w:pPr>
              <w:spacing w:after="0"/>
              <w:rPr>
                <w:sz w:val="21"/>
                <w:szCs w:val="21"/>
                <w:color w:val="auto"/>
              </w:rPr>
            </w:pP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9,587</w:t>
            </w:r>
          </w:p>
        </w:tc>
        <w:tc>
          <w:tcPr>
            <w:tcW w:w="200" w:type="dxa"/>
            <w:vAlign w:val="bottom"/>
            <w:tcBorders>
              <w:bottom w:val="single" w:sz="8" w:color="3A4967"/>
            </w:tcBorders>
          </w:tcPr>
          <w:p>
            <w:pPr>
              <w:spacing w:after="0"/>
              <w:rPr>
                <w:sz w:val="21"/>
                <w:szCs w:val="21"/>
                <w:color w:val="auto"/>
              </w:rPr>
            </w:pPr>
          </w:p>
        </w:tc>
        <w:tc>
          <w:tcPr>
            <w:tcW w:w="720" w:type="dxa"/>
            <w:vAlign w:val="bottom"/>
            <w:tcBorders>
              <w:bottom w:val="single" w:sz="8" w:color="3A4967"/>
            </w:tcBorders>
          </w:tcPr>
          <w:p>
            <w:pPr>
              <w:jc w:val="right"/>
              <w:ind w:right="76"/>
              <w:spacing w:after="0"/>
              <w:rPr>
                <w:sz w:val="20"/>
                <w:szCs w:val="20"/>
                <w:color w:val="auto"/>
              </w:rPr>
            </w:pPr>
            <w:r>
              <w:rPr>
                <w:rFonts w:ascii="Arial" w:cs="Arial" w:eastAsia="Arial" w:hAnsi="Arial"/>
                <w:sz w:val="17"/>
                <w:szCs w:val="17"/>
                <w:color w:val="3A4967"/>
              </w:rPr>
              <w:t>1.25</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0.5%</w:t>
            </w:r>
          </w:p>
        </w:tc>
        <w:tc>
          <w:tcPr>
            <w:tcW w:w="260" w:type="dxa"/>
            <w:vAlign w:val="bottom"/>
            <w:tcBorders>
              <w:bottom w:val="single" w:sz="8" w:color="3A4967"/>
            </w:tcBorders>
          </w:tcPr>
          <w:p>
            <w:pPr>
              <w:spacing w:after="0"/>
              <w:rPr>
                <w:sz w:val="21"/>
                <w:szCs w:val="21"/>
                <w:color w:val="auto"/>
              </w:rPr>
            </w:pPr>
          </w:p>
        </w:tc>
        <w:tc>
          <w:tcPr>
            <w:tcW w:w="78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2,042</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21.3%</w:t>
            </w:r>
          </w:p>
        </w:tc>
        <w:tc>
          <w:tcPr>
            <w:tcW w:w="200" w:type="dxa"/>
            <w:vAlign w:val="bottom"/>
            <w:tcBorders>
              <w:bottom w:val="single" w:sz="8" w:color="3A4967"/>
            </w:tcBorders>
          </w:tcPr>
          <w:p>
            <w:pPr>
              <w:spacing w:after="0"/>
              <w:rPr>
                <w:sz w:val="21"/>
                <w:szCs w:val="21"/>
                <w:color w:val="auto"/>
              </w:rPr>
            </w:pPr>
          </w:p>
        </w:tc>
        <w:tc>
          <w:tcPr>
            <w:tcW w:w="64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0.30</w:t>
            </w:r>
          </w:p>
        </w:tc>
      </w:tr>
      <w:tr>
        <w:trPr>
          <w:trHeight w:val="210"/>
        </w:trPr>
        <w:tc>
          <w:tcPr>
            <w:tcW w:w="1960" w:type="dxa"/>
            <w:vAlign w:val="bottom"/>
          </w:tcPr>
          <w:p>
            <w:pPr>
              <w:ind w:left="80"/>
              <w:spacing w:after="0"/>
              <w:rPr>
                <w:sz w:val="20"/>
                <w:szCs w:val="20"/>
                <w:color w:val="auto"/>
              </w:rPr>
            </w:pPr>
            <w:r>
              <w:rPr>
                <w:rFonts w:ascii="Arial" w:cs="Arial" w:eastAsia="Arial" w:hAnsi="Arial"/>
                <w:sz w:val="17"/>
                <w:szCs w:val="17"/>
                <w:color w:val="3A4967"/>
              </w:rPr>
              <w:t>Income before income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8"/>
        </w:trPr>
        <w:tc>
          <w:tcPr>
            <w:tcW w:w="1960" w:type="dxa"/>
            <w:vAlign w:val="bottom"/>
          </w:tcPr>
          <w:p>
            <w:pPr>
              <w:ind w:left="80"/>
              <w:spacing w:after="0"/>
              <w:rPr>
                <w:sz w:val="20"/>
                <w:szCs w:val="20"/>
                <w:color w:val="auto"/>
              </w:rPr>
            </w:pPr>
            <w:r>
              <w:rPr>
                <w:rFonts w:ascii="Arial" w:cs="Arial" w:eastAsia="Arial" w:hAnsi="Arial"/>
                <w:sz w:val="17"/>
                <w:szCs w:val="17"/>
                <w:color w:val="3A4967"/>
              </w:rPr>
              <w:t>tax provision</w:t>
            </w:r>
          </w:p>
        </w:tc>
        <w:tc>
          <w:tcPr>
            <w:tcW w:w="12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3A4967"/>
              </w:rPr>
              <w:t>87,602</w:t>
            </w:r>
          </w:p>
        </w:tc>
        <w:tc>
          <w:tcPr>
            <w:tcW w:w="22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3A4967"/>
              </w:rPr>
              <w:t>11.69</w:t>
            </w:r>
          </w:p>
        </w:tc>
        <w:tc>
          <w:tcPr>
            <w:tcW w:w="840" w:type="dxa"/>
            <w:vAlign w:val="bottom"/>
          </w:tcPr>
          <w:p>
            <w:pPr>
              <w:jc w:val="right"/>
              <w:spacing w:after="0"/>
              <w:rPr>
                <w:sz w:val="20"/>
                <w:szCs w:val="20"/>
                <w:color w:val="auto"/>
              </w:rPr>
            </w:pPr>
            <w:r>
              <w:rPr>
                <w:rFonts w:ascii="Arial" w:cs="Arial" w:eastAsia="Arial" w:hAnsi="Arial"/>
                <w:sz w:val="17"/>
                <w:szCs w:val="17"/>
                <w:color w:val="3A4967"/>
              </w:rPr>
              <w:t>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109,588</w:t>
            </w:r>
          </w:p>
        </w:tc>
        <w:tc>
          <w:tcPr>
            <w:tcW w:w="200" w:type="dxa"/>
            <w:vAlign w:val="bottom"/>
          </w:tcPr>
          <w:p>
            <w:pPr>
              <w:spacing w:after="0"/>
              <w:rPr>
                <w:sz w:val="18"/>
                <w:szCs w:val="18"/>
                <w:color w:val="auto"/>
              </w:rPr>
            </w:pPr>
          </w:p>
        </w:tc>
        <w:tc>
          <w:tcPr>
            <w:tcW w:w="720" w:type="dxa"/>
            <w:vAlign w:val="bottom"/>
          </w:tcPr>
          <w:p>
            <w:pPr>
              <w:jc w:val="right"/>
              <w:ind w:right="76"/>
              <w:spacing w:after="0"/>
              <w:rPr>
                <w:sz w:val="20"/>
                <w:szCs w:val="20"/>
                <w:color w:val="auto"/>
              </w:rPr>
            </w:pPr>
            <w:r>
              <w:rPr>
                <w:rFonts w:ascii="Arial" w:cs="Arial" w:eastAsia="Arial" w:hAnsi="Arial"/>
                <w:sz w:val="17"/>
                <w:szCs w:val="17"/>
                <w:color w:val="3A4967"/>
              </w:rPr>
              <w:t>14.27</w:t>
            </w:r>
          </w:p>
        </w:tc>
        <w:tc>
          <w:tcPr>
            <w:tcW w:w="820" w:type="dxa"/>
            <w:vAlign w:val="bottom"/>
          </w:tcPr>
          <w:p>
            <w:pPr>
              <w:jc w:val="right"/>
              <w:spacing w:after="0"/>
              <w:rPr>
                <w:sz w:val="20"/>
                <w:szCs w:val="20"/>
                <w:color w:val="auto"/>
              </w:rPr>
            </w:pPr>
            <w:r>
              <w:rPr>
                <w:rFonts w:ascii="Arial" w:cs="Arial" w:eastAsia="Arial" w:hAnsi="Arial"/>
                <w:sz w:val="17"/>
                <w:szCs w:val="17"/>
                <w:color w:val="3A4967"/>
              </w:rPr>
              <w:t>5.5%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3A4967"/>
              </w:rPr>
              <w:t>(21,986)</w:t>
            </w:r>
          </w:p>
        </w:tc>
        <w:tc>
          <w:tcPr>
            <w:tcW w:w="820" w:type="dxa"/>
            <w:vAlign w:val="bottom"/>
          </w:tcPr>
          <w:p>
            <w:pPr>
              <w:jc w:val="right"/>
              <w:spacing w:after="0"/>
              <w:rPr>
                <w:sz w:val="20"/>
                <w:szCs w:val="20"/>
                <w:color w:val="auto"/>
              </w:rPr>
            </w:pPr>
            <w:r>
              <w:rPr>
                <w:rFonts w:ascii="Arial" w:cs="Arial" w:eastAsia="Arial" w:hAnsi="Arial"/>
                <w:sz w:val="17"/>
                <w:szCs w:val="17"/>
                <w:color w:val="3A4967"/>
              </w:rPr>
              <w:t>(20.1)%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3A4967"/>
              </w:rPr>
              <w:t>(2.58)</w:t>
            </w:r>
          </w:p>
        </w:tc>
      </w:tr>
      <w:tr>
        <w:trPr>
          <w:trHeight w:val="259"/>
        </w:trPr>
        <w:tc>
          <w:tcPr>
            <w:tcW w:w="196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Income tax provision</w:t>
            </w:r>
          </w:p>
        </w:tc>
        <w:tc>
          <w:tcPr>
            <w:tcW w:w="120" w:type="dxa"/>
            <w:vAlign w:val="bottom"/>
            <w:tcBorders>
              <w:bottom w:val="single" w:sz="8" w:color="3A4967"/>
            </w:tcBorders>
          </w:tcPr>
          <w:p>
            <w:pPr>
              <w:spacing w:after="0"/>
              <w:rPr>
                <w:sz w:val="22"/>
                <w:szCs w:val="22"/>
                <w:color w:val="auto"/>
              </w:rPr>
            </w:pPr>
          </w:p>
        </w:tc>
        <w:tc>
          <w:tcPr>
            <w:tcW w:w="860" w:type="dxa"/>
            <w:vAlign w:val="bottom"/>
            <w:tcBorders>
              <w:bottom w:val="single" w:sz="8" w:color="3A4967"/>
            </w:tcBorders>
          </w:tcPr>
          <w:p>
            <w:pPr>
              <w:jc w:val="right"/>
              <w:ind w:right="15"/>
              <w:spacing w:after="0"/>
              <w:rPr>
                <w:sz w:val="20"/>
                <w:szCs w:val="20"/>
                <w:color w:val="auto"/>
              </w:rPr>
            </w:pPr>
            <w:r>
              <w:rPr>
                <w:rFonts w:ascii="Arial" w:cs="Arial" w:eastAsia="Arial" w:hAnsi="Arial"/>
                <w:sz w:val="17"/>
                <w:szCs w:val="17"/>
                <w:color w:val="3A4967"/>
              </w:rPr>
              <w:t>27,907</w:t>
            </w:r>
          </w:p>
        </w:tc>
        <w:tc>
          <w:tcPr>
            <w:tcW w:w="220" w:type="dxa"/>
            <w:vAlign w:val="bottom"/>
            <w:tcBorders>
              <w:bottom w:val="single" w:sz="8" w:color="3A4967"/>
            </w:tcBorders>
          </w:tcPr>
          <w:p>
            <w:pPr>
              <w:spacing w:after="0"/>
              <w:rPr>
                <w:sz w:val="22"/>
                <w:szCs w:val="22"/>
                <w:color w:val="auto"/>
              </w:rPr>
            </w:pPr>
          </w:p>
        </w:tc>
        <w:tc>
          <w:tcPr>
            <w:tcW w:w="66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3.72</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1.4%</w:t>
            </w:r>
          </w:p>
        </w:tc>
        <w:tc>
          <w:tcPr>
            <w:tcW w:w="140" w:type="dxa"/>
            <w:vAlign w:val="bottom"/>
            <w:tcBorders>
              <w:bottom w:val="single" w:sz="8" w:color="3A4967"/>
            </w:tcBorders>
          </w:tcPr>
          <w:p>
            <w:pPr>
              <w:spacing w:after="0"/>
              <w:rPr>
                <w:sz w:val="22"/>
                <w:szCs w:val="22"/>
                <w:color w:val="auto"/>
              </w:rPr>
            </w:pPr>
          </w:p>
        </w:tc>
        <w:tc>
          <w:tcPr>
            <w:tcW w:w="140" w:type="dxa"/>
            <w:vAlign w:val="bottom"/>
            <w:tcBorders>
              <w:bottom w:val="single" w:sz="8" w:color="3A4967"/>
            </w:tcBorders>
          </w:tcPr>
          <w:p>
            <w:pPr>
              <w:spacing w:after="0"/>
              <w:rPr>
                <w:sz w:val="22"/>
                <w:szCs w:val="22"/>
                <w:color w:val="auto"/>
              </w:rPr>
            </w:pP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33,338</w:t>
            </w:r>
          </w:p>
        </w:tc>
        <w:tc>
          <w:tcPr>
            <w:tcW w:w="200" w:type="dxa"/>
            <w:vAlign w:val="bottom"/>
            <w:tcBorders>
              <w:bottom w:val="single" w:sz="8" w:color="3A4967"/>
            </w:tcBorders>
          </w:tcPr>
          <w:p>
            <w:pPr>
              <w:spacing w:after="0"/>
              <w:rPr>
                <w:sz w:val="22"/>
                <w:szCs w:val="22"/>
                <w:color w:val="auto"/>
              </w:rPr>
            </w:pPr>
          </w:p>
        </w:tc>
        <w:tc>
          <w:tcPr>
            <w:tcW w:w="720" w:type="dxa"/>
            <w:vAlign w:val="bottom"/>
            <w:tcBorders>
              <w:bottom w:val="single" w:sz="8" w:color="3A4967"/>
            </w:tcBorders>
          </w:tcPr>
          <w:p>
            <w:pPr>
              <w:jc w:val="right"/>
              <w:ind w:right="76"/>
              <w:spacing w:after="0"/>
              <w:rPr>
                <w:sz w:val="20"/>
                <w:szCs w:val="20"/>
                <w:color w:val="auto"/>
              </w:rPr>
            </w:pPr>
            <w:r>
              <w:rPr>
                <w:rFonts w:ascii="Arial" w:cs="Arial" w:eastAsia="Arial" w:hAnsi="Arial"/>
                <w:sz w:val="17"/>
                <w:szCs w:val="17"/>
                <w:color w:val="3A4967"/>
              </w:rPr>
              <w:t>4.34</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1.7%</w:t>
            </w:r>
          </w:p>
        </w:tc>
        <w:tc>
          <w:tcPr>
            <w:tcW w:w="260" w:type="dxa"/>
            <w:vAlign w:val="bottom"/>
            <w:tcBorders>
              <w:bottom w:val="single" w:sz="8" w:color="3A4967"/>
            </w:tcBorders>
          </w:tcPr>
          <w:p>
            <w:pPr>
              <w:spacing w:after="0"/>
              <w:rPr>
                <w:sz w:val="22"/>
                <w:szCs w:val="22"/>
                <w:color w:val="auto"/>
              </w:rPr>
            </w:pPr>
          </w:p>
        </w:tc>
        <w:tc>
          <w:tcPr>
            <w:tcW w:w="78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(5,431)</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(16.3)%</w:t>
            </w:r>
          </w:p>
        </w:tc>
        <w:tc>
          <w:tcPr>
            <w:tcW w:w="200" w:type="dxa"/>
            <w:vAlign w:val="bottom"/>
            <w:tcBorders>
              <w:bottom w:val="single" w:sz="8" w:color="3A4967"/>
            </w:tcBorders>
          </w:tcPr>
          <w:p>
            <w:pPr>
              <w:spacing w:after="0"/>
              <w:rPr>
                <w:sz w:val="22"/>
                <w:szCs w:val="22"/>
                <w:color w:val="auto"/>
              </w:rPr>
            </w:pPr>
          </w:p>
        </w:tc>
        <w:tc>
          <w:tcPr>
            <w:tcW w:w="64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(0.62)</w:t>
            </w:r>
          </w:p>
        </w:tc>
      </w:tr>
      <w:tr>
        <w:trPr>
          <w:trHeight w:val="229"/>
        </w:trPr>
        <w:tc>
          <w:tcPr>
            <w:tcW w:w="196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NET INCOME</w:t>
            </w:r>
          </w:p>
        </w:tc>
        <w:tc>
          <w:tcPr>
            <w:tcW w:w="12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w w:val="84"/>
              </w:rPr>
              <w:t>$</w:t>
            </w:r>
          </w:p>
        </w:tc>
        <w:tc>
          <w:tcPr>
            <w:tcW w:w="860" w:type="dxa"/>
            <w:vAlign w:val="bottom"/>
            <w:tcBorders>
              <w:bottom w:val="single" w:sz="8" w:color="3A4967"/>
            </w:tcBorders>
          </w:tcPr>
          <w:p>
            <w:pPr>
              <w:jc w:val="right"/>
              <w:ind w:right="15"/>
              <w:spacing w:after="0"/>
              <w:rPr>
                <w:sz w:val="20"/>
                <w:szCs w:val="20"/>
                <w:color w:val="auto"/>
              </w:rPr>
            </w:pPr>
            <w:r>
              <w:rPr>
                <w:rFonts w:ascii="Arial" w:cs="Arial" w:eastAsia="Arial" w:hAnsi="Arial"/>
                <w:sz w:val="17"/>
                <w:szCs w:val="17"/>
                <w:b w:val="1"/>
                <w:bCs w:val="1"/>
                <w:color w:val="3A4967"/>
              </w:rPr>
              <w:t>59,695</w:t>
            </w:r>
          </w:p>
        </w:tc>
        <w:tc>
          <w:tcPr>
            <w:tcW w:w="22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66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b w:val="1"/>
                <w:bCs w:val="1"/>
                <w:color w:val="3A4967"/>
              </w:rPr>
              <w:t>7.97</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3.0%</w:t>
            </w:r>
          </w:p>
        </w:tc>
        <w:tc>
          <w:tcPr>
            <w:tcW w:w="280" w:type="dxa"/>
            <w:vAlign w:val="bottom"/>
            <w:tcBorders>
              <w:bottom w:val="single" w:sz="8" w:color="3A4967"/>
            </w:tcBorders>
            <w:gridSpan w:val="2"/>
          </w:tcPr>
          <w:p>
            <w:pPr>
              <w:jc w:val="right"/>
              <w:spacing w:after="0"/>
              <w:rPr>
                <w:sz w:val="20"/>
                <w:szCs w:val="20"/>
                <w:color w:val="auto"/>
              </w:rPr>
            </w:pPr>
            <w:r>
              <w:rPr>
                <w:rFonts w:ascii="Arial" w:cs="Arial" w:eastAsia="Arial" w:hAnsi="Arial"/>
                <w:sz w:val="17"/>
                <w:szCs w:val="17"/>
                <w:b w:val="1"/>
                <w:bCs w:val="1"/>
                <w:color w:val="3A4967"/>
              </w:rPr>
              <w:t>$</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76,250</w:t>
            </w:r>
          </w:p>
        </w:tc>
        <w:tc>
          <w:tcPr>
            <w:tcW w:w="20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720" w:type="dxa"/>
            <w:vAlign w:val="bottom"/>
            <w:tcBorders>
              <w:bottom w:val="single" w:sz="8" w:color="3A4967"/>
            </w:tcBorders>
          </w:tcPr>
          <w:p>
            <w:pPr>
              <w:jc w:val="right"/>
              <w:ind w:right="76"/>
              <w:spacing w:after="0"/>
              <w:rPr>
                <w:sz w:val="20"/>
                <w:szCs w:val="20"/>
                <w:color w:val="auto"/>
              </w:rPr>
            </w:pPr>
            <w:r>
              <w:rPr>
                <w:rFonts w:ascii="Arial" w:cs="Arial" w:eastAsia="Arial" w:hAnsi="Arial"/>
                <w:sz w:val="17"/>
                <w:szCs w:val="17"/>
                <w:b w:val="1"/>
                <w:bCs w:val="1"/>
                <w:color w:val="3A4967"/>
              </w:rPr>
              <w:t>9.93</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3.8%</w:t>
            </w:r>
          </w:p>
        </w:tc>
        <w:tc>
          <w:tcPr>
            <w:tcW w:w="26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7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(16,555)</w:t>
            </w:r>
          </w:p>
        </w:tc>
        <w:tc>
          <w:tcPr>
            <w:tcW w:w="1020" w:type="dxa"/>
            <w:vAlign w:val="bottom"/>
            <w:tcBorders>
              <w:bottom w:val="single" w:sz="8" w:color="3A4967"/>
            </w:tcBorders>
            <w:gridSpan w:val="2"/>
          </w:tcPr>
          <w:p>
            <w:pPr>
              <w:jc w:val="right"/>
              <w:spacing w:after="0"/>
              <w:rPr>
                <w:sz w:val="20"/>
                <w:szCs w:val="20"/>
                <w:color w:val="auto"/>
              </w:rPr>
            </w:pPr>
            <w:r>
              <w:rPr>
                <w:rFonts w:ascii="Arial" w:cs="Arial" w:eastAsia="Arial" w:hAnsi="Arial"/>
                <w:sz w:val="17"/>
                <w:szCs w:val="17"/>
                <w:b w:val="1"/>
                <w:bCs w:val="1"/>
                <w:color w:val="3A4967"/>
              </w:rPr>
              <w:t>(21.7)% $</w:t>
            </w:r>
          </w:p>
        </w:tc>
        <w:tc>
          <w:tcPr>
            <w:tcW w:w="6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(1.96)</w:t>
            </w:r>
          </w:p>
        </w:tc>
      </w:tr>
    </w:tbl>
    <w:p>
      <w:pPr>
        <w:spacing w:after="0" w:line="200" w:lineRule="exact"/>
        <w:rPr>
          <w:sz w:val="20"/>
          <w:szCs w:val="20"/>
          <w:color w:val="auto"/>
        </w:rPr>
      </w:pPr>
    </w:p>
    <w:p>
      <w:pPr>
        <w:sectPr>
          <w:pgSz w:w="11880" w:h="15481" w:orient="portrait"/>
          <w:cols w:equalWidth="0" w:num="1">
            <w:col w:w="10600"/>
          </w:cols>
          <w:pgMar w:left="460" w:top="579" w:right="821" w:bottom="0" w:gutter="0" w:footer="0" w:header="0"/>
        </w:sectPr>
      </w:pPr>
    </w:p>
    <w:p>
      <w:pPr>
        <w:spacing w:after="0" w:line="1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Net revenue</w:t>
      </w:r>
    </w:p>
    <w:p>
      <w:pPr>
        <w:spacing w:after="0" w:line="118" w:lineRule="exact"/>
        <w:rPr>
          <w:sz w:val="20"/>
          <w:szCs w:val="20"/>
          <w:color w:val="auto"/>
        </w:rPr>
      </w:pPr>
    </w:p>
    <w:p>
      <w:pPr>
        <w:jc w:val="both"/>
        <w:ind w:left="400"/>
        <w:spacing w:after="0" w:line="294" w:lineRule="auto"/>
        <w:rPr>
          <w:sz w:val="20"/>
          <w:szCs w:val="20"/>
          <w:color w:val="auto"/>
        </w:rPr>
      </w:pPr>
      <w:r>
        <w:rPr>
          <w:rFonts w:ascii="Arial" w:cs="Arial" w:eastAsia="Arial" w:hAnsi="Arial"/>
          <w:sz w:val="16"/>
          <w:szCs w:val="16"/>
          <w:color w:val="3A4967"/>
        </w:rPr>
        <w:t>Net revenue increased by $4.3 million, or 0.2%, to $2,012.9 million for the year ended December 28, 2024, as compared to $2,008.6 million for the year ended December 30, 2023, due to price increases of $38.3 million and lower returns of $13.0 million, partially offset by the impact of lower shipment volume of $48.3 million.</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6D7890"/>
        </w:rPr>
        <w:t>Volume</w:t>
      </w:r>
    </w:p>
    <w:p>
      <w:pPr>
        <w:spacing w:after="0" w:line="94"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3A4967"/>
        </w:rPr>
        <w:t>Total shipment volume of 7,493,000 barrels for the year ended December 28, 2024 decreased by 2.4% over 2023 levels of 7,678,000 barrels, primarily due to decreases in the Company’s Truly brands, partially offset by increases in its Twisted Tea and Sun Cruiser brands.</w:t>
      </w:r>
    </w:p>
    <w:p>
      <w:pPr>
        <w:spacing w:after="0" w:line="98"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3A4967"/>
        </w:rPr>
        <w:t>Depletions of the Company’s products for the year ended December 28, 2024 decreased by approximately 2% compared to the prior year.</w:t>
      </w:r>
    </w:p>
    <w:p>
      <w:pPr>
        <w:spacing w:after="0" w:line="91"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3A4967"/>
        </w:rPr>
        <w:t>The Company believes distributor inventory as of December 28, 2024 averaged approximately four weeks on hand and was at an appropriate level for each of its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346075</wp:posOffset>
            </wp:positionV>
            <wp:extent cx="2584450" cy="1917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6D7890"/>
        </w:rPr>
        <w:t>Net Revenue per barrel</w:t>
      </w:r>
    </w:p>
    <w:p>
      <w:pPr>
        <w:spacing w:after="0" w:line="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3A4967"/>
        </w:rPr>
        <w:t>The net revenue per barrel increased by 2.7% to $ 268.64 per barrel for the year ended December 28, 2024, as compared to $261.61 per barrel for the year ended December 30, 2023, primarily due to price increases and lower returns.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Cost of goods sold</w:t>
      </w:r>
    </w:p>
    <w:p>
      <w:pPr>
        <w:spacing w:after="0" w:line="122"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3A4967"/>
        </w:rPr>
        <w:t>Cost of goods sold was $149.36 per barrel for the fifty-two weeks ended December 28, 2024, as compared to $150.59 per barrel for the fifty- two weeks ended December 30, 2023. The 2024 decrease in cost of goods sold of $1.23, or 3.2% per barrel was primarily due to contract renegotiations and recipe optimization savings of $24.1 million, or $3.22 per barrel, partially offset by inflationary impacts of $18.6 million, or $2.48 per barrel.</w:t>
      </w:r>
    </w:p>
    <w:p>
      <w:pPr>
        <w:spacing w:after="0" w:line="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3A4967"/>
        </w:rPr>
        <w:t>Inflationary impacts of $18.6 million consist primarily of increased material costs of $10.2 million and internal brewery costs of $8.4 million.</w:t>
      </w:r>
    </w:p>
    <w:p>
      <w:pPr>
        <w:spacing w:after="0" w:line="688" w:lineRule="exact"/>
        <w:rPr>
          <w:sz w:val="20"/>
          <w:szCs w:val="20"/>
          <w:color w:val="auto"/>
        </w:rPr>
      </w:pPr>
    </w:p>
    <w:p>
      <w:pPr>
        <w:sectPr>
          <w:pgSz w:w="11880" w:h="15481" w:orient="portrait"/>
          <w:cols w:equalWidth="0" w:num="2">
            <w:col w:w="5320" w:space="340"/>
            <w:col w:w="4940"/>
          </w:cols>
          <w:pgMar w:left="460" w:top="579" w:right="821"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26</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600"/>
          </w:cols>
          <w:pgMar w:left="460" w:top="579" w:right="821" w:bottom="0" w:gutter="0" w:footer="0" w:header="0"/>
          <w:type w:val="continuous"/>
        </w:sectPr>
      </w:pPr>
    </w:p>
    <w:bookmarkStart w:id="36" w:name="page37"/>
    <w:bookmarkEnd w:id="36"/>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3"/>
          <w:szCs w:val="13"/>
          <w:color w:val="3A4967"/>
        </w:rPr>
        <w:t xml:space="preserve">Item 7 </w:t>
      </w:r>
      <w:r>
        <w:rPr>
          <w:rFonts w:ascii="Arial" w:cs="Arial" w:eastAsia="Arial" w:hAnsi="Arial"/>
          <w:sz w:val="13"/>
          <w:szCs w:val="13"/>
          <w:color w:val="6D7890"/>
        </w:rPr>
        <w:t>Management’s Discussion and Analysis of Financial Condition and Results of Operations</w:t>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Gross profit</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Gross profit was $ 119.27 per barrel for the year ended December 28, 2024, as compared to $111.01 per barrel for the year ended December 30, 2023. Gross margin was 44.4% for the year ended December 28, 2024, as compared to 42.4% for the year ended December 30, 2023. Gross margin primarily benefited from price increases, contract renegotiations and recipe optimization savings and lower returns, partially offset by higher brewery processing costs per barrel due to lower volumes and increased inflationary costs.</w:t>
      </w:r>
    </w:p>
    <w:p>
      <w:pPr>
        <w:spacing w:after="0" w:line="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A4967"/>
        </w:rPr>
        <w:t>The Company includes freight charges related to the movement of finished goods from manufacturing locations to Distributor locations in its advertising, promotional and selling expense line item. As such, the Company’s gross margins may not be comparable to other entities that classify costs related to distribution differently.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Advertising, promotional, and selling expenses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Advertising, promotional and selling expenses, decreased $4.0 million, or 0.7%, to $552.0 million for the year ended December 28, 2024, as compared to $556.0 million for the year ended December 30, 2023. The decrease was primarily due to decreased freight to distributors of $10.5 million from lower rates and volumes. Brand and selling costs increased $ 6.5 million, primarily due to increased brand media investments and higher salaries and benefits.</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Advertising, promotional and selling expenses were 27.4% of net revenue, or $73.67 per barrel, for the year ended December 28, 2024, as compared to 27.7% of net revenue, or $72.41 per barrel, for the year ended December 30, 2023. The Company will invest in advertising and promotional campaigns that it believes are effective, but there is no guarantee that such investment will generate sales growth.</w:t>
      </w:r>
    </w:p>
    <w:p>
      <w:pPr>
        <w:spacing w:after="0" w:line="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3A4967"/>
        </w:rPr>
        <w:t>The Company conducts certain advertising and promotional activities in its Distributors’ markets, and the Distributors make contributions to the Company for such efforts. These amounts are included in the Company’s statement of operations as reductions to advertising, promotional and selling expenses. Historically, contributions from Distributors for advertising and promotional activities have amounted to approximately 2% of net sales. The Company may adjust its promotional efforts in the Distributors’ markets, if changes occur in these promotional contribution arrangements, depending on the industry and market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General and administrative expenses</w:t>
      </w:r>
    </w:p>
    <w:p>
      <w:pPr>
        <w:spacing w:after="0" w:line="118" w:lineRule="exact"/>
        <w:rPr>
          <w:sz w:val="20"/>
          <w:szCs w:val="20"/>
          <w:color w:val="auto"/>
        </w:rPr>
      </w:pPr>
    </w:p>
    <w:p>
      <w:pPr>
        <w:jc w:val="both"/>
        <w:ind w:right="380"/>
        <w:spacing w:after="0" w:line="291" w:lineRule="auto"/>
        <w:rPr>
          <w:sz w:val="20"/>
          <w:szCs w:val="20"/>
          <w:color w:val="auto"/>
        </w:rPr>
      </w:pPr>
      <w:r>
        <w:rPr>
          <w:rFonts w:ascii="Arial" w:cs="Arial" w:eastAsia="Arial" w:hAnsi="Arial"/>
          <w:sz w:val="16"/>
          <w:szCs w:val="16"/>
          <w:color w:val="3A4967"/>
        </w:rPr>
        <w:t>General and administrative expenses increased by $15.4 million, or 8.8%, to $189.9 million for the year ended December 28, 2024, as compared to $174.5 million for the comparable period in 2023. The increase was primarily due to higher salaries and benefits costs resulting from Chief Executive Officer transition costs recorded in the first quarter as well as increased inflationary costs.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Impairment of intangible assets</w:t>
      </w:r>
    </w:p>
    <w:p>
      <w:pPr>
        <w:spacing w:after="0" w:line="118" w:lineRule="exact"/>
        <w:rPr>
          <w:sz w:val="20"/>
          <w:szCs w:val="20"/>
          <w:color w:val="auto"/>
        </w:rPr>
      </w:pPr>
    </w:p>
    <w:p>
      <w:pPr>
        <w:jc w:val="both"/>
        <w:ind w:right="380"/>
        <w:spacing w:after="0" w:line="268" w:lineRule="auto"/>
        <w:rPr>
          <w:sz w:val="20"/>
          <w:szCs w:val="20"/>
          <w:color w:val="auto"/>
        </w:rPr>
      </w:pPr>
      <w:r>
        <w:rPr>
          <w:rFonts w:ascii="Arial" w:cs="Arial" w:eastAsia="Arial" w:hAnsi="Arial"/>
          <w:sz w:val="17"/>
          <w:szCs w:val="17"/>
          <w:color w:val="3A4967"/>
        </w:rPr>
        <w:t>Impairment of intangible assets reflects a $42.6 million non-cash impairment charge recorded for the Dogfish Head brand, taken as a result of the Company’s annual impairment analysis as of September 1, 2024. The impairment determination was primarily based on the latest forecasts of brand performance which have been below the Company’s previous projections. In fiscal 2023, the Company recorded an impairment charge of $16.4 million primarily for the Dogfish Head brand. See further discussion in Note H to the Consolidated Financial Statements within Part II, Item 8 of this Form 10-K.</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Impairment of brewery assets</w:t>
      </w:r>
    </w:p>
    <w:p>
      <w:pPr>
        <w:spacing w:after="0" w:line="118"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3A4967"/>
        </w:rPr>
        <w:t>Impairment of brewery assets of $7.2 million increased by $1.8 million from the prior fiscal year, due to higher write-offs of equipment at Company-owned breweries.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Contract settlement costs</w:t>
      </w:r>
    </w:p>
    <w:p>
      <w:pPr>
        <w:spacing w:after="0" w:line="118"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3A4967"/>
        </w:rPr>
        <w:t>Contract settlement costs of $26 million due to an amendment and restatement in its entirety of an existing production agreement with a third-party supplier, Rauch. This amendment adjusts the existing production agreement to better match the Company’s future capacity requirements and results in increased production flexibility and more favorable termination rights to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Income tax provision</w:t>
      </w:r>
    </w:p>
    <w:p>
      <w:pPr>
        <w:spacing w:after="0" w:line="118" w:lineRule="exact"/>
        <w:rPr>
          <w:sz w:val="20"/>
          <w:szCs w:val="20"/>
          <w:color w:val="auto"/>
        </w:rPr>
      </w:pPr>
    </w:p>
    <w:p>
      <w:pPr>
        <w:jc w:val="both"/>
        <w:ind w:right="380"/>
        <w:spacing w:after="0" w:line="314" w:lineRule="auto"/>
        <w:rPr>
          <w:sz w:val="20"/>
          <w:szCs w:val="20"/>
          <w:color w:val="auto"/>
        </w:rPr>
      </w:pPr>
      <w:r>
        <w:rPr>
          <w:rFonts w:ascii="Arial" w:cs="Arial" w:eastAsia="Arial" w:hAnsi="Arial"/>
          <w:sz w:val="15"/>
          <w:szCs w:val="15"/>
          <w:color w:val="3A4967"/>
        </w:rPr>
        <w:t>The Company’s effective tax rate for fiscal 2024 was 31.9% compared to 30.2% in fiscal 2023, primarily due to lower pre-tax income with no corresponding reduction in non-deductible expenses. The Company estimates the lower pre-tax income resulting from the impairment of intangible assets and the contract settlement negatively impacted the 2024 effective tax rate by approximately 300 basis points.</w:t>
      </w:r>
    </w:p>
    <w:p>
      <w:pPr>
        <w:spacing w:after="0" w:line="227"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Liquidity and Capital Resources</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3A4967"/>
        </w:rPr>
        <w:t>The Company’s primary sources of liquidity are its existing cash balances, cash flows from operating activities and amounts available under its revolving credit facility. The Company’s material cash requirements include working capital needs, satisfaction of contractual commitments, and investment in the Company’s business through capital expenditures.</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3A4967"/>
        </w:rPr>
        <w:t>Cash and cash equivalents decreased to $211.8 million as of December 28, 2024 from $ 298.5 million as of December 30, 2023, primarily reflecting repurchases of the Company’s Class A common stock, a note receivable issued, and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214630</wp:posOffset>
            </wp:positionV>
            <wp:extent cx="2584450" cy="1917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jc w:val="both"/>
        <w:ind w:right="380"/>
        <w:spacing w:after="0" w:line="267" w:lineRule="auto"/>
        <w:rPr>
          <w:sz w:val="20"/>
          <w:szCs w:val="20"/>
          <w:color w:val="auto"/>
        </w:rPr>
      </w:pPr>
      <w:r>
        <w:rPr>
          <w:rFonts w:ascii="Arial" w:cs="Arial" w:eastAsia="Arial" w:hAnsi="Arial"/>
          <w:sz w:val="18"/>
          <w:szCs w:val="18"/>
          <w:color w:val="3A4967"/>
        </w:rPr>
        <w:t>of property, plant, and equipment, partially offset by net cash provided by operating activities.</w:t>
      </w:r>
    </w:p>
    <w:p>
      <w:pPr>
        <w:spacing w:after="0" w:line="85" w:lineRule="exact"/>
        <w:rPr>
          <w:sz w:val="20"/>
          <w:szCs w:val="20"/>
          <w:color w:val="auto"/>
        </w:rPr>
      </w:pPr>
    </w:p>
    <w:p>
      <w:pPr>
        <w:jc w:val="both"/>
        <w:ind w:right="380"/>
        <w:spacing w:after="0" w:line="270" w:lineRule="auto"/>
        <w:rPr>
          <w:sz w:val="20"/>
          <w:szCs w:val="20"/>
          <w:color w:val="auto"/>
        </w:rPr>
      </w:pPr>
      <w:r>
        <w:rPr>
          <w:rFonts w:ascii="Arial" w:cs="Arial" w:eastAsia="Arial" w:hAnsi="Arial"/>
          <w:sz w:val="17"/>
          <w:szCs w:val="17"/>
          <w:color w:val="3A4967"/>
        </w:rPr>
        <w:t>Cash provided by operating activities consists of net income, adjusted for certain non-cash items, such as depreciation and amortization, impairment of intangible assets, stock-based compensation expense, other non-cash items included in operating results, and changes in operating assets and liabilities, such as accounts receivable, inventory, prepaid expenses and other current assets, accounts payable, and accrued expenses.</w:t>
      </w:r>
    </w:p>
    <w:p>
      <w:pPr>
        <w:spacing w:after="0" w:line="423"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209"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37" w:name="page38"/>
    <w:bookmarkEnd w:id="37"/>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7 </w:t>
      </w:r>
      <w:r>
        <w:rPr>
          <w:rFonts w:ascii="Arial" w:cs="Arial" w:eastAsia="Arial" w:hAnsi="Arial"/>
          <w:sz w:val="13"/>
          <w:szCs w:val="13"/>
          <w:color w:val="6D7890"/>
        </w:rPr>
        <w:t>Management’s Discussion and Analysis of Financial Condition and Results of Operations</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00"/>
        <w:spacing w:after="0" w:line="285" w:lineRule="auto"/>
        <w:rPr>
          <w:sz w:val="20"/>
          <w:szCs w:val="20"/>
          <w:color w:val="auto"/>
        </w:rPr>
      </w:pPr>
      <w:r>
        <w:rPr>
          <w:rFonts w:ascii="Arial" w:cs="Arial" w:eastAsia="Arial" w:hAnsi="Arial"/>
          <w:sz w:val="16"/>
          <w:szCs w:val="16"/>
          <w:color w:val="3A4967"/>
        </w:rPr>
        <w:t>Cash provided by operating activities for the year ended December 28, 2024 was $248.9 million and consisted of net income of $59.7 million, non- cash items of $150.3 million, and an inflow of $38.9 million from a net decrease in operating assets and liabilities. The third-party production prepayments decrease of $19.1 million is due to a full year amortization of these prepayments during 2024, decreasing the prepaid balance from $33.6 million as of December 30, 2023 to $14.5 million as of December 28, 2024. The accrued expenses and other current liabilities increase of $12.3 million is primarily due to increases in accrued supply chain costs and accrued marketing costs compared to the prior year. The inventory decrease of $6.9 million is primarily due decrease on hops inventory compared to the prior year to align with beer volumes.</w:t>
      </w:r>
    </w:p>
    <w:p>
      <w:pPr>
        <w:spacing w:after="0" w:line="81" w:lineRule="exact"/>
        <w:rPr>
          <w:sz w:val="20"/>
          <w:szCs w:val="20"/>
          <w:color w:val="auto"/>
        </w:rPr>
      </w:pPr>
    </w:p>
    <w:p>
      <w:pPr>
        <w:jc w:val="both"/>
        <w:ind w:left="400"/>
        <w:spacing w:after="0" w:line="267" w:lineRule="auto"/>
        <w:rPr>
          <w:sz w:val="20"/>
          <w:szCs w:val="20"/>
          <w:color w:val="auto"/>
        </w:rPr>
      </w:pPr>
      <w:r>
        <w:rPr>
          <w:rFonts w:ascii="Arial" w:cs="Arial" w:eastAsia="Arial" w:hAnsi="Arial"/>
          <w:sz w:val="17"/>
          <w:szCs w:val="17"/>
          <w:color w:val="3A4967"/>
        </w:rPr>
        <w:t>Cash provided by operating activities for the year ended December 30, 2023 was $265.2 million and consisted of net income of $76.3 million, non-cash items of $124.0 million, and an inflow of $64.9 million from a net decrease in operating assets and liabilities. The inventory decrease of $31.5 million is due to improvements in supply chain process resulting in lower inventory levels and lower volumes. The third-party production prepayments decrease of $27.8 million is due to expensing of these prepayments over the respective contract terms. The accrued expenses and other current liabilities increase of $13.9 million is primarily due to increases in accrued incentive compensation compared to the prior year. The accounts receivable increase of $10.3 million is primarily due to timing of shipments in the month of December compared to the prior year.</w:t>
      </w:r>
    </w:p>
    <w:p>
      <w:pPr>
        <w:spacing w:after="0" w:line="93" w:lineRule="exact"/>
        <w:rPr>
          <w:sz w:val="20"/>
          <w:szCs w:val="20"/>
          <w:color w:val="auto"/>
        </w:rPr>
      </w:pPr>
    </w:p>
    <w:p>
      <w:pPr>
        <w:jc w:val="both"/>
        <w:ind w:left="400"/>
        <w:spacing w:after="0" w:line="306" w:lineRule="auto"/>
        <w:rPr>
          <w:sz w:val="20"/>
          <w:szCs w:val="20"/>
          <w:color w:val="auto"/>
        </w:rPr>
      </w:pPr>
      <w:r>
        <w:rPr>
          <w:rFonts w:ascii="Arial" w:cs="Arial" w:eastAsia="Arial" w:hAnsi="Arial"/>
          <w:sz w:val="16"/>
          <w:szCs w:val="16"/>
          <w:color w:val="3A4967"/>
        </w:rPr>
        <w:t>The Company used $96.3 million in investing activities during the year ended December 28, 2024, as compared to $62.4 million during the year ended December 30, 2023. The increase in investing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A4967"/>
        </w:rPr>
        <w:t>activity cash outflows is due to a $ 20.0 million note receivable issued and a $12.2 million increase in capital investments. For both periods, capital investments were made mostly in the Company’s breweries to drive efficiencies and cost reductions and support product innovation and future growth.</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3A4967"/>
        </w:rPr>
        <w:t>Cash used in financing activities was $239.3 million during the year ended December 28, 2024, as compared to $84.8 million during the year ended December 30, 2023. The $154.5 million increase in financing activity cash outflows in 2024 compared to 2023 is primarily due to higher repurchases of the Company’s Class A common stock in the current year.</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During fiscal year 2024, the Company repurchased and subsequently retired 803,281 shares of its Class A Common Stock for an aggregate purchase price of $238.9 million. As of December 28, 2024, the Company had repurchased a cumulative total of approximately 14.9 million shares of its Class A Common Stock for an aggregate purchase price of approximately $1.17 billion and had approximately $427.5 million remaining on the $1.6 billion stock repurchase expenditure limit set by the Board of Directors.</w:t>
      </w:r>
    </w:p>
    <w:p>
      <w:pPr>
        <w:spacing w:after="0" w:line="1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3A4967"/>
        </w:rPr>
        <w:t>The Company expects that its cash balance as of December 28, 2024 of $211.8 million and future operating cash flows, along with its $150.0 million credit facility agreement, will be sufficient to fund future cash requirements. Refer to Note K of the Notes to the Consolidated Financial Statements within Part II, Item 8 of this Form 10-K for further details of the terms of the credit facility agreement. As of the date of this filing, the Company was not in violation of any of its covenants to the lender under the credit facility.</w:t>
      </w:r>
    </w:p>
    <w:p>
      <w:pPr>
        <w:spacing w:after="0" w:line="536"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103"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Critical Accounting Policies</w:t>
      </w:r>
    </w:p>
    <w:p>
      <w:pPr>
        <w:spacing w:after="0" w:line="164" w:lineRule="exact"/>
        <w:rPr>
          <w:sz w:val="20"/>
          <w:szCs w:val="20"/>
          <w:color w:val="auto"/>
        </w:rPr>
      </w:pPr>
    </w:p>
    <w:p>
      <w:pPr>
        <w:jc w:val="both"/>
        <w:ind w:left="400"/>
        <w:spacing w:after="0" w:line="285" w:lineRule="auto"/>
        <w:rPr>
          <w:sz w:val="20"/>
          <w:szCs w:val="20"/>
          <w:color w:val="auto"/>
        </w:rPr>
      </w:pPr>
      <w:r>
        <w:rPr>
          <w:rFonts w:ascii="Arial" w:cs="Arial" w:eastAsia="Arial" w:hAnsi="Arial"/>
          <w:sz w:val="16"/>
          <w:szCs w:val="16"/>
          <w:color w:val="3A4967"/>
        </w:rPr>
        <w:t>The discussion and analysis of the Company’s financial condition and results of operations is based upon its consolidated financial statements, which have been prepared in accordance with U.S. generally accepted accounting principles. The preparation of these financial statements requires the Company to make significant estimates and judgments that affect the reported amounts of assets, liabilities, revenues and expenses, and related disclosure of contingent assets and liabilities. These items are monitored and analyzed by management for changes in facts and circumstances, and material changes in these estimates could occur in the future. The more judgmental estimates are summarized below. Changes in estimates are recorded in the period in which they become known. The Company bases its estimates on historical experience and various other assumptions that the Company believes to be reasonable under the circumstances. Actual results may differ from the Company’s estimates.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6D7890"/>
        </w:rPr>
        <w:t>Provision for Excess or Expired Inventory</w:t>
      </w:r>
    </w:p>
    <w:p>
      <w:pPr>
        <w:spacing w:after="0" w:line="114" w:lineRule="exact"/>
        <w:rPr>
          <w:sz w:val="20"/>
          <w:szCs w:val="20"/>
          <w:color w:val="auto"/>
        </w:rPr>
      </w:pPr>
    </w:p>
    <w:p>
      <w:pPr>
        <w:jc w:val="both"/>
        <w:ind w:left="400"/>
        <w:spacing w:after="0" w:line="294" w:lineRule="auto"/>
        <w:rPr>
          <w:sz w:val="20"/>
          <w:szCs w:val="20"/>
          <w:color w:val="auto"/>
        </w:rPr>
      </w:pPr>
      <w:r>
        <w:rPr>
          <w:rFonts w:ascii="Arial" w:cs="Arial" w:eastAsia="Arial" w:hAnsi="Arial"/>
          <w:sz w:val="16"/>
          <w:szCs w:val="16"/>
          <w:color w:val="3A4967"/>
        </w:rPr>
        <w:t>The provisions for excess or expired inventory are based on management’s estimates of forecasted usage of inventories on hand. Forecasting usage involves significant judgments regarding future demand for the Company’s various existing products and products under development as well as the potency and shelf-life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237490</wp:posOffset>
            </wp:positionV>
            <wp:extent cx="2584450" cy="1917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3A4967"/>
        </w:rPr>
        <w:t>of various raw material ingredients and finished goods. A significant change in the timing or level of demand for certain products as compared to forecasted amounts may result in recording additional provisions for excess or expired inventory in the future. Provision for excess or expired inventory included in cost of goods sold was $21.9 million, $19.3 million, and $35.9 million in fiscal years 2024, 2023, and 2022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Valuation of Property, Plant, and Equipment</w:t>
      </w:r>
    </w:p>
    <w:p>
      <w:pPr>
        <w:spacing w:after="0" w:line="1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The carrying value of property, plant, and equipment, net of accumulated depreciation, at December 28, 2024 was $616.2 million. For purposes of determining whether there are any impairment losses on brewery assets, as further discussed below, management has historically examined the carrying value of the Company’s identifiable long-lived assets, including their useful lives, semi- annually, or more frequently when indicators of impairment are present. Evaluations of whether indicators of impairment exist involve judgments regarding the current and 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w:t>
      </w:r>
    </w:p>
    <w:p>
      <w:pPr>
        <w:spacing w:after="0" w:line="226"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40"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28</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38" w:name="page39"/>
    <w:bookmarkEnd w:id="38"/>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3"/>
          <w:szCs w:val="13"/>
          <w:color w:val="3A4967"/>
        </w:rPr>
        <w:t xml:space="preserve">Item 7 </w:t>
      </w:r>
      <w:r>
        <w:rPr>
          <w:rFonts w:ascii="Arial" w:cs="Arial" w:eastAsia="Arial" w:hAnsi="Arial"/>
          <w:sz w:val="13"/>
          <w:szCs w:val="13"/>
          <w:color w:val="6D7890"/>
        </w:rPr>
        <w:t>Management’s Discussion and Analysis of Financial Condition and Results of Operations</w:t>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review of the carrying values of the long-lived assets indicates impairment of such assets, the Company may determine that shorter estimated useful lives are more appropriate. In that event, the Company will be required to record additional depreciation in future periods, which will reduce earnings. Estimating the amount of impairment, if any, requires significant judgments including identification of potential impairments, market comparison to similar assets, estimated cash flows to be generated by the asset, discount rates, the remaining useful life of the asset, and the usefulness of the asset in consideration of future business plans. Impairment of brewery assets classified as property, plant, and equipment included in operating expenses was $7.2 million, $5.0 million and $2.6 million in fiscal years 2024, 2023, and 2022, respectively.</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Factors generally considered important which could trigger an impairment review on the carrying value of long-lived assets include the following: (1) 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w:t>
      </w:r>
    </w:p>
    <w:p>
      <w:pPr>
        <w:spacing w:after="0" w:line="227" w:lineRule="exact"/>
        <w:rPr>
          <w:sz w:val="20"/>
          <w:szCs w:val="20"/>
          <w:color w:val="auto"/>
        </w:rPr>
      </w:pPr>
    </w:p>
    <w:p>
      <w:pPr>
        <w:ind w:right="340"/>
        <w:spacing w:after="0" w:line="269" w:lineRule="auto"/>
        <w:rPr>
          <w:sz w:val="20"/>
          <w:szCs w:val="20"/>
          <w:color w:val="auto"/>
        </w:rPr>
      </w:pPr>
      <w:r>
        <w:rPr>
          <w:rFonts w:ascii="Arial" w:cs="Arial" w:eastAsia="Arial" w:hAnsi="Arial"/>
          <w:sz w:val="22"/>
          <w:szCs w:val="22"/>
          <w:b w:val="1"/>
          <w:bCs w:val="1"/>
          <w:color w:val="6D7890"/>
        </w:rPr>
        <w:t>Valuation of Goodwill and Indefinite Lived Intangible Assets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3A4967"/>
        </w:rPr>
        <w:t>The Company’s annual goodwill impairment evaluation analysis conducted at the end of fiscal August indicated that the fair value of the Company’s goodwill was substantially greater than the carrying value and accordingly there was no impairment to record during fiscal 2024. The guidance for goodwill impairment testing allows an entity to assess qualitative factors to determine whether the existence of events or circumstances leads to a determination that it is more likely than not that the estimated fair value of a reporting unit, of which the Company has one, is less than its carrying amount or to proceed directly to performing a quantitative impairment test. Under the quantitative assessment, the estimated fair value of the Company’s 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613410</wp:posOffset>
            </wp:positionV>
            <wp:extent cx="2584450" cy="1917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380"/>
        <w:spacing w:after="0" w:line="267" w:lineRule="auto"/>
        <w:rPr>
          <w:sz w:val="20"/>
          <w:szCs w:val="20"/>
          <w:color w:val="auto"/>
        </w:rPr>
      </w:pPr>
      <w:r>
        <w:rPr>
          <w:rFonts w:ascii="Arial" w:cs="Arial" w:eastAsia="Arial" w:hAnsi="Arial"/>
          <w:sz w:val="17"/>
          <w:szCs w:val="17"/>
          <w:color w:val="3A4967"/>
        </w:rPr>
        <w:t>will be recognized. In estimating the fair value of the 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spacing w:after="0" w:line="93" w:lineRule="exact"/>
        <w:rPr>
          <w:sz w:val="20"/>
          <w:szCs w:val="20"/>
          <w:color w:val="auto"/>
        </w:rPr>
      </w:pPr>
    </w:p>
    <w:p>
      <w:pPr>
        <w:jc w:val="both"/>
        <w:ind w:right="380"/>
        <w:spacing w:after="0" w:line="266" w:lineRule="auto"/>
        <w:rPr>
          <w:sz w:val="20"/>
          <w:szCs w:val="20"/>
          <w:color w:val="auto"/>
        </w:rPr>
      </w:pPr>
      <w:r>
        <w:rPr>
          <w:rFonts w:ascii="Arial" w:cs="Arial" w:eastAsia="Arial" w:hAnsi="Arial"/>
          <w:sz w:val="17"/>
          <w:szCs w:val="17"/>
          <w:color w:val="3A4967"/>
        </w:rPr>
        <w:t>The Company’s intangible assets consist primarily of a trademark and customer relationships obtained through the Company’s Dogfish Head acquisition. Customer relationships are amortized over their estimated useful lives. As of the annual impairment assessment date at the end of fiscal August, the Dogfish Head trademark was determined to have a indefinite useful life and was not amortized. The guidance for indefinite lived intangible asset impairment testing allows an entity to assess qualitative factors to determine whether the existence of events or circumstances indicates that it is more likely than not that the indefinite lived intangible asset is impaired or to proceed directly to performing the quantitative impairment test. Under the quantitative assessment, the trademark is evaluated for impairment by comparing the carrying value of the trademark to its estimated fair value. The estimated fair value of the trademark is calculated based on an income approach using the relief from royalty method. If the estimated fair value is less than the carrying value of the trademark, then an impairment charge is recognized to reduce the carrying value of the trademark to its estimated fair value.</w:t>
      </w:r>
    </w:p>
    <w:p>
      <w:pPr>
        <w:spacing w:after="0" w:line="100" w:lineRule="exact"/>
        <w:rPr>
          <w:sz w:val="20"/>
          <w:szCs w:val="20"/>
          <w:color w:val="auto"/>
        </w:rPr>
      </w:pPr>
    </w:p>
    <w:p>
      <w:pPr>
        <w:jc w:val="both"/>
        <w:ind w:right="380"/>
        <w:spacing w:after="0" w:line="266" w:lineRule="auto"/>
        <w:rPr>
          <w:sz w:val="20"/>
          <w:szCs w:val="20"/>
          <w:color w:val="auto"/>
        </w:rPr>
      </w:pPr>
      <w:r>
        <w:rPr>
          <w:rFonts w:ascii="Arial" w:cs="Arial" w:eastAsia="Arial" w:hAnsi="Arial"/>
          <w:sz w:val="17"/>
          <w:szCs w:val="17"/>
          <w:color w:val="3A4967"/>
        </w:rPr>
        <w:t>Significant judgment is required to estimate the fair value of the Dogfish Head trademark. Accordingly, the Company obtains the assistance of third-party valuation specialists as part of the impairment evaluation. In estimating the fair value of the trademark, management must make assumptions and projections regarding future cash flows based upon future revenues, the market-based royalty rate, the discount rate, and the after-tax royalty savings expected from ownership of the trademark. The assumptions and projections used in the estimate of fair value are consistent with recent trends and represent the projections used in Company’s current strategic operating plans which include reductions in revenues from the Dogfish Head beer products. These assumptions reflect management’s estimates of future economic and competitive conditions and consider many factors including macroeconomic conditions, industry growth rates, and competitive activities and are, therefore, subject to change as a result of changing market conditions. Beginning in the fourth quarter of 2024, the Company changed the indefinite useful life of the Dogfish Head trademark asset and began amortizing the remaining $14.4 million balance over an estimated useful life of 10 years.</w:t>
      </w:r>
    </w:p>
    <w:p>
      <w:pPr>
        <w:spacing w:after="0" w:line="203"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39" w:name="page40"/>
    <w:bookmarkEnd w:id="39"/>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7 </w:t>
      </w:r>
      <w:r>
        <w:rPr>
          <w:rFonts w:ascii="Arial" w:cs="Arial" w:eastAsia="Arial" w:hAnsi="Arial"/>
          <w:sz w:val="13"/>
          <w:szCs w:val="13"/>
          <w:color w:val="6D7890"/>
        </w:rPr>
        <w:t>Management’s Discussion and Analysis of Financial Condition and Results of Operations</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00"/>
        <w:spacing w:after="0" w:line="306" w:lineRule="auto"/>
        <w:rPr>
          <w:sz w:val="20"/>
          <w:szCs w:val="20"/>
          <w:color w:val="auto"/>
        </w:rPr>
      </w:pPr>
      <w:r>
        <w:rPr>
          <w:rFonts w:ascii="Arial" w:cs="Arial" w:eastAsia="Arial" w:hAnsi="Arial"/>
          <w:sz w:val="16"/>
          <w:szCs w:val="16"/>
          <w:color w:val="3A4967"/>
        </w:rPr>
        <w:t>The Company performed a sensitivity analysis on its significant assumptions used in the Dogfish Head trademark fair value calculation as of September 28, 2024 and determined the following:</w:t>
      </w:r>
    </w:p>
    <w:p>
      <w:pPr>
        <w:spacing w:after="0" w:line="58" w:lineRule="exact"/>
        <w:rPr>
          <w:sz w:val="20"/>
          <w:szCs w:val="20"/>
          <w:color w:val="auto"/>
        </w:rPr>
      </w:pPr>
    </w:p>
    <w:p>
      <w:pPr>
        <w:jc w:val="both"/>
        <w:ind w:left="560" w:hanging="169"/>
        <w:spacing w:after="0" w:line="259" w:lineRule="auto"/>
        <w:tabs>
          <w:tab w:leader="none" w:pos="560" w:val="left"/>
        </w:tabs>
        <w:numPr>
          <w:ilvl w:val="0"/>
          <w:numId w:val="14"/>
        </w:numPr>
        <w:rPr>
          <w:rFonts w:ascii="Wingdings" w:cs="Wingdings" w:eastAsia="Wingdings" w:hAnsi="Wingdings"/>
          <w:sz w:val="15"/>
          <w:szCs w:val="15"/>
          <w:color w:val="3A4967"/>
        </w:rPr>
      </w:pPr>
      <w:r>
        <w:rPr>
          <w:rFonts w:ascii="Arial" w:cs="Arial" w:eastAsia="Arial" w:hAnsi="Arial"/>
          <w:sz w:val="18"/>
          <w:szCs w:val="18"/>
          <w:color w:val="3A4967"/>
        </w:rPr>
        <w:t>A decrease in the annual forecasted revenue growth rate of 1.0% would result in a 4.9% decrease to the fair value of $14.4 million as of September 28, 2024.</w:t>
      </w:r>
    </w:p>
    <w:p>
      <w:pPr>
        <w:spacing w:after="0" w:line="34" w:lineRule="exact"/>
        <w:rPr>
          <w:rFonts w:ascii="Wingdings" w:cs="Wingdings" w:eastAsia="Wingdings" w:hAnsi="Wingdings"/>
          <w:sz w:val="15"/>
          <w:szCs w:val="15"/>
          <w:color w:val="3A4967"/>
        </w:rPr>
      </w:pPr>
    </w:p>
    <w:p>
      <w:pPr>
        <w:jc w:val="both"/>
        <w:ind w:left="560" w:hanging="169"/>
        <w:spacing w:after="0" w:line="254" w:lineRule="auto"/>
        <w:tabs>
          <w:tab w:leader="none" w:pos="560" w:val="left"/>
        </w:tabs>
        <w:numPr>
          <w:ilvl w:val="0"/>
          <w:numId w:val="14"/>
        </w:numPr>
        <w:rPr>
          <w:rFonts w:ascii="Wingdings" w:cs="Wingdings" w:eastAsia="Wingdings" w:hAnsi="Wingdings"/>
          <w:sz w:val="15"/>
          <w:szCs w:val="15"/>
          <w:color w:val="3A4967"/>
        </w:rPr>
      </w:pPr>
      <w:r>
        <w:rPr>
          <w:rFonts w:ascii="Arial" w:cs="Arial" w:eastAsia="Arial" w:hAnsi="Arial"/>
          <w:sz w:val="18"/>
          <w:szCs w:val="18"/>
          <w:color w:val="3A4967"/>
        </w:rPr>
        <w:t>A decrease in the discount rate of 1.5% would result in a 8.3% increase to the fair value of $14.4 million as of September 28, 2024, and an increase in the discount rate of 1.5% would result in a 6.9% decrease to the fair value of $14.4 million as of September 28, 2024.</w:t>
      </w:r>
    </w:p>
    <w:p>
      <w:pPr>
        <w:spacing w:after="0" w:line="166" w:lineRule="exact"/>
        <w:rPr>
          <w:sz w:val="20"/>
          <w:szCs w:val="20"/>
          <w:color w:val="auto"/>
        </w:rPr>
      </w:pPr>
    </w:p>
    <w:p>
      <w:pPr>
        <w:ind w:left="400" w:right="260"/>
        <w:spacing w:after="0" w:line="269" w:lineRule="auto"/>
        <w:rPr>
          <w:sz w:val="20"/>
          <w:szCs w:val="20"/>
          <w:color w:val="auto"/>
        </w:rPr>
      </w:pPr>
      <w:r>
        <w:rPr>
          <w:rFonts w:ascii="Arial" w:cs="Arial" w:eastAsia="Arial" w:hAnsi="Arial"/>
          <w:sz w:val="22"/>
          <w:szCs w:val="22"/>
          <w:b w:val="1"/>
          <w:bCs w:val="1"/>
          <w:color w:val="6D7890"/>
        </w:rPr>
        <w:t>Revenue Recognition and Classification of Customer Programs and Incentives</w:t>
      </w:r>
    </w:p>
    <w:p>
      <w:pPr>
        <w:spacing w:after="0" w:line="63" w:lineRule="exact"/>
        <w:rPr>
          <w:sz w:val="20"/>
          <w:szCs w:val="20"/>
          <w:color w:val="auto"/>
        </w:rPr>
      </w:pPr>
    </w:p>
    <w:p>
      <w:pPr>
        <w:jc w:val="both"/>
        <w:ind w:left="400"/>
        <w:spacing w:after="0" w:line="267" w:lineRule="auto"/>
        <w:rPr>
          <w:sz w:val="20"/>
          <w:szCs w:val="20"/>
          <w:color w:val="auto"/>
        </w:rPr>
      </w:pPr>
      <w:r>
        <w:rPr>
          <w:rFonts w:ascii="Arial" w:cs="Arial" w:eastAsia="Arial" w:hAnsi="Arial"/>
          <w:sz w:val="17"/>
          <w:szCs w:val="17"/>
          <w:color w:val="3A4967"/>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28, 2024 and December 30, 2023, the Company had deferred revenue of $11.3 million and $8.9 million, respectively, related to product shipped prior to these dates for which the criteria to recognize revenue was not met as of these dates. These amounts are included in accrued expenses and other current liabilities in the accompanying consolidated balance sheets.</w:t>
      </w:r>
    </w:p>
    <w:p>
      <w:pPr>
        <w:spacing w:after="0" w:line="94" w:lineRule="exact"/>
        <w:rPr>
          <w:sz w:val="20"/>
          <w:szCs w:val="20"/>
          <w:color w:val="auto"/>
        </w:rPr>
      </w:pPr>
    </w:p>
    <w:p>
      <w:pPr>
        <w:jc w:val="both"/>
        <w:ind w:left="400"/>
        <w:spacing w:after="0" w:line="284" w:lineRule="auto"/>
        <w:rPr>
          <w:sz w:val="20"/>
          <w:szCs w:val="20"/>
          <w:color w:val="auto"/>
        </w:rPr>
      </w:pPr>
      <w:r>
        <w:rPr>
          <w:rFonts w:ascii="Arial" w:cs="Arial" w:eastAsia="Arial" w:hAnsi="Arial"/>
          <w:sz w:val="16"/>
          <w:szCs w:val="16"/>
          <w:color w:val="3A4967"/>
        </w:rPr>
        <w:t>The Company is committed to maintaining the freshness of its products in the market. In certain circumstances and with the Company’s approval, the Company accepts and destroys or offers credits for stale beer that is returned or destroyed by Distributors. The Company generally credits approximately fifty percent of the distributor’s cost of beer that has passed its freshness expiration date when it is returned to the Company or destroyed. The Company reduces revenue and establishes 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reserves which would impact revenue. As of December 28, 2024, and December 30, 2023, the stale beer reserve was $6.1 million and $8.2 million, respectively. These amounts are included in accrued expenses and other current liabilities in the accompanying consolidated balance sheets.</w:t>
      </w:r>
    </w:p>
    <w:p>
      <w:pPr>
        <w:spacing w:after="0" w:line="293" w:lineRule="exact"/>
        <w:rPr>
          <w:sz w:val="20"/>
          <w:szCs w:val="20"/>
          <w:color w:val="auto"/>
        </w:rPr>
      </w:pPr>
    </w:p>
    <w:p>
      <w:pPr>
        <w:jc w:val="both"/>
        <w:ind w:left="400"/>
        <w:spacing w:after="0" w:line="271" w:lineRule="auto"/>
        <w:rPr>
          <w:sz w:val="20"/>
          <w:szCs w:val="20"/>
          <w:color w:val="auto"/>
        </w:rPr>
      </w:pPr>
      <w:r>
        <w:rPr>
          <w:rFonts w:ascii="Arial" w:cs="Arial" w:eastAsia="Arial" w:hAnsi="Arial"/>
          <w:sz w:val="17"/>
          <w:szCs w:val="17"/>
          <w:color w:val="3A4967"/>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394970</wp:posOffset>
            </wp:positionV>
            <wp:extent cx="2584450" cy="1917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$112.3 million, $ 106.4 million and $95.9 million in fiscal years 2024, 2023, and 2022, respectively. Estimates are based on historical and projected experience for each type of program or customer and have historically been in line with actual costs incurred.</w:t>
      </w:r>
    </w:p>
    <w:p>
      <w:pPr>
        <w:spacing w:after="0" w:line="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3A4967"/>
        </w:rPr>
        <w:t>Customer promotional discount programs are entered into with Distributors for certain periods of time. Amounts paid to Distributors in connection with these programs in fiscal years 2024, 2023, and 2022 were $ 61.0 million, $62.6 million and $54.8 million, respectively. The reimbursements for discounts to Distributors are recorded as reductions to net revenue. The agreed- 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allowances.</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3A4967"/>
        </w:rPr>
        <w:t>Customer incentives and other payments are made primarily to Distributors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in fiscal years 2024, 2023, and 2022 were $51.3 million, $43.8 million and $41.1 million, respectively. In fiscal years 2024, 2023, and 2022, the Company recorded certain of these costs in the total amount of $32.2 million, $31.4 million and $29.9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spacing w:after="0" w:line="2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spacing w:after="0" w:line="435"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30</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40" w:name="page41"/>
    <w:bookmarkEnd w:id="40"/>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3"/>
          <w:szCs w:val="13"/>
          <w:color w:val="3A4967"/>
        </w:rPr>
        <w:t xml:space="preserve">Item 7 </w:t>
      </w:r>
      <w:r>
        <w:rPr>
          <w:rFonts w:ascii="Arial" w:cs="Arial" w:eastAsia="Arial" w:hAnsi="Arial"/>
          <w:sz w:val="13"/>
          <w:szCs w:val="13"/>
          <w:color w:val="6D7890"/>
        </w:rPr>
        <w:t>Management’s Discussion and Analysis of Financial Condition and Results of Operations</w:t>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Stock-Based Compensation</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4967"/>
        </w:rPr>
        <w:t>The Company accounts for share-based awards in accordance with ASC Topic 718, Compensation – Stock Compensation (“ASC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 based compensation was $19.0 million, $17.0 million and $14.0 million in fiscal years 2024, 2023, and 2022, respectively.</w:t>
      </w:r>
    </w:p>
    <w:p>
      <w:pPr>
        <w:spacing w:after="0" w:line="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3A4967"/>
        </w:rPr>
        <w:t>As permitted by ASC 718, the Company elected to use a lattice model, such as the trinomial option-pricing model, to estimate the fair values of stock options. All option-pricing models require the input of subjective assumptions. These assumptions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380"/>
        <w:spacing w:after="0" w:line="273" w:lineRule="auto"/>
        <w:rPr>
          <w:sz w:val="20"/>
          <w:szCs w:val="20"/>
          <w:color w:val="auto"/>
        </w:rPr>
      </w:pPr>
      <w:r>
        <w:rPr>
          <w:rFonts w:ascii="Arial" w:cs="Arial" w:eastAsia="Arial" w:hAnsi="Arial"/>
          <w:sz w:val="17"/>
          <w:szCs w:val="17"/>
          <w:color w:val="3A4967"/>
        </w:rPr>
        <w:t>include the estimated volatility of the Company’s common stock price over the expected term, the expected dividend rate, the estimated post-vesting forfeiture rate, the risk -free interest rate and expected exercise behavior. See Note O for further discussion of the application of the option-pricing models.</w:t>
      </w:r>
    </w:p>
    <w:p>
      <w:pPr>
        <w:spacing w:after="0" w:line="82" w:lineRule="exact"/>
        <w:rPr>
          <w:sz w:val="20"/>
          <w:szCs w:val="20"/>
          <w:color w:val="auto"/>
        </w:rPr>
      </w:pPr>
    </w:p>
    <w:p>
      <w:pPr>
        <w:jc w:val="both"/>
        <w:ind w:right="380"/>
        <w:spacing w:after="0" w:line="268" w:lineRule="auto"/>
        <w:rPr>
          <w:sz w:val="20"/>
          <w:szCs w:val="20"/>
          <w:color w:val="auto"/>
        </w:rPr>
      </w:pPr>
      <w:r>
        <w:rPr>
          <w:rFonts w:ascii="Arial" w:cs="Arial" w:eastAsia="Arial" w:hAnsi="Arial"/>
          <w:sz w:val="17"/>
          <w:szCs w:val="17"/>
          <w:color w:val="3A4967"/>
        </w:rPr>
        <w:t>In addition, an estimated pre-vesting forfeiture rate is applied in the recognition of the compensation charge. Periodically, the Company grants performance-based stock options. The Company only recognizes compensation expense with respect to these options if it is probable that the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spacing w:after="0" w:line="568"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Business Environment</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The alcoholic beverage industry is highly regulated at the federal, state and local levels. The TTB and the Justice Department’s Bureau of Alcohol, Tobacco, Firearms and Explosives enforce laws under the Federal Alcohol Administration Act. The TTB is responsible for administering and enforcing excise tax laws that directly affect the Company’s results of operations. State and regulatory authorities have the ability to suspend or revoke the Company’s licenses and permits or impose substantial fines for violations. The Company has established strict policies, procedures and guidelines in efforts to ensure compliance with all applicable state and federal laws. However, the loss or revocation of any existing license or permit could have a material adverse effect on the Company’s business, results of operations, cash flows and financial position.</w:t>
      </w:r>
    </w:p>
    <w:p>
      <w:pPr>
        <w:spacing w:after="0" w:line="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A4967"/>
        </w:rPr>
        <w:t>The Beyond beer and Traditional beer categories within the United States are highly competitive due to large domestic and international brewers and the large number of craft brewers in this category who distribute similar products that have similar pricing and target drinkers. The Company believes that its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2598420</wp:posOffset>
            </wp:positionV>
            <wp:extent cx="2584450" cy="1917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both"/>
        <w:ind w:right="380"/>
        <w:spacing w:after="0" w:line="267" w:lineRule="auto"/>
        <w:rPr>
          <w:sz w:val="20"/>
          <w:szCs w:val="20"/>
          <w:color w:val="auto"/>
        </w:rPr>
      </w:pPr>
      <w:r>
        <w:rPr>
          <w:rFonts w:ascii="Arial" w:cs="Arial" w:eastAsia="Arial" w:hAnsi="Arial"/>
          <w:sz w:val="17"/>
          <w:szCs w:val="17"/>
          <w:color w:val="3A4967"/>
        </w:rPr>
        <w:t>is appropriate given the quality and reputation of its brands, while realizing that economic pricing pressures may affect future pricing levels. Large domestic and international brewers are able to compete more aggressively than the Company, as they have substantially greater resources, marketing strength and distribution networks than the Company. The Company also increasingly competes with wine and spirits companies, some of which have significantly greater resources than the Company. This competitive environment may affect the Company’s overall performance within the Beyond beer and Traditional beer categories. As the market continues to consolidate, the Company believes that companies that are well-positioned in terms of brand equity, marketing and distribution will have greater success than those who do not. With its over 300 Distributors nationwide and the Company’s sales force of over 475 people, as well as a commitment to maintaining its innovation capability, brand equity and quality, the Company believes it is well positioned to compete in the Beyond beer and Traditional beer categories.</w:t>
      </w:r>
    </w:p>
    <w:p>
      <w:pPr>
        <w:spacing w:after="0" w:line="317"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41" w:name="page42"/>
    <w:bookmarkEnd w:id="41"/>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7A </w:t>
      </w:r>
      <w:r>
        <w:rPr>
          <w:rFonts w:ascii="Arial" w:cs="Arial" w:eastAsia="Arial" w:hAnsi="Arial"/>
          <w:sz w:val="14"/>
          <w:szCs w:val="14"/>
          <w:color w:val="6D7890"/>
        </w:rPr>
        <w:t>Quantitative and Qualitative Disclosures About Market Risk</w:t>
      </w:r>
    </w:p>
    <w:p>
      <w:pPr>
        <w:spacing w:after="0" w:line="200" w:lineRule="exact"/>
        <w:rPr>
          <w:sz w:val="20"/>
          <w:szCs w:val="20"/>
          <w:color w:val="auto"/>
        </w:rPr>
      </w:pPr>
    </w:p>
    <w:p>
      <w:pPr>
        <w:spacing w:after="0" w:line="399" w:lineRule="exact"/>
        <w:rPr>
          <w:sz w:val="20"/>
          <w:szCs w:val="20"/>
          <w:color w:val="auto"/>
        </w:rPr>
      </w:pPr>
    </w:p>
    <w:p>
      <w:pPr>
        <w:ind w:left="400"/>
        <w:spacing w:after="0"/>
        <w:rPr>
          <w:sz w:val="20"/>
          <w:szCs w:val="20"/>
          <w:color w:val="auto"/>
        </w:rPr>
      </w:pPr>
      <w:r>
        <w:rPr>
          <w:rFonts w:ascii="Arial" w:cs="Arial" w:eastAsia="Arial" w:hAnsi="Arial"/>
          <w:sz w:val="35"/>
          <w:szCs w:val="35"/>
          <w:b w:val="1"/>
          <w:bCs w:val="1"/>
          <w:color w:val="3A4967"/>
        </w:rPr>
        <w:t xml:space="preserve">Item 7A. </w:t>
      </w:r>
      <w:r>
        <w:rPr>
          <w:rFonts w:ascii="Arial" w:cs="Arial" w:eastAsia="Arial" w:hAnsi="Arial"/>
          <w:sz w:val="35"/>
          <w:szCs w:val="35"/>
          <w:b w:val="1"/>
          <w:bCs w:val="1"/>
          <w:color w:val="6D7890"/>
        </w:rPr>
        <w:t>Quantitative and Qualitative Disclosures About</w:t>
      </w:r>
    </w:p>
    <w:p>
      <w:pPr>
        <w:spacing w:after="0" w:line="28" w:lineRule="exact"/>
        <w:rPr>
          <w:sz w:val="20"/>
          <w:szCs w:val="20"/>
          <w:color w:val="auto"/>
        </w:rPr>
      </w:pPr>
    </w:p>
    <w:p>
      <w:pPr>
        <w:ind w:left="2100"/>
        <w:spacing w:after="0"/>
        <w:rPr>
          <w:sz w:val="20"/>
          <w:szCs w:val="20"/>
          <w:color w:val="auto"/>
        </w:rPr>
      </w:pPr>
      <w:r>
        <w:rPr>
          <w:rFonts w:ascii="Arial" w:cs="Arial" w:eastAsia="Arial" w:hAnsi="Arial"/>
          <w:sz w:val="35"/>
          <w:szCs w:val="35"/>
          <w:b w:val="1"/>
          <w:bCs w:val="1"/>
          <w:color w:val="6D7890"/>
        </w:rPr>
        <w:t>Market Risk</w:t>
      </w:r>
    </w:p>
    <w:p>
      <w:pPr>
        <w:sectPr>
          <w:pgSz w:w="11880" w:h="15481" w:orient="portrait"/>
          <w:cols w:equalWidth="0" w:num="1">
            <w:col w:w="10580"/>
          </w:cols>
          <w:pgMar w:left="460" w:top="579" w:right="841" w:bottom="0" w:gutter="0" w:footer="0" w:header="0"/>
        </w:sectPr>
      </w:pPr>
    </w:p>
    <w:p>
      <w:pPr>
        <w:spacing w:after="0" w:line="252" w:lineRule="exact"/>
        <w:rPr>
          <w:sz w:val="20"/>
          <w:szCs w:val="20"/>
          <w:color w:val="auto"/>
        </w:rPr>
      </w:pPr>
    </w:p>
    <w:p>
      <w:pPr>
        <w:jc w:val="both"/>
        <w:ind w:left="400"/>
        <w:spacing w:after="0" w:line="269" w:lineRule="auto"/>
        <w:rPr>
          <w:sz w:val="20"/>
          <w:szCs w:val="20"/>
          <w:color w:val="auto"/>
        </w:rPr>
      </w:pPr>
      <w:r>
        <w:rPr>
          <w:rFonts w:ascii="Arial" w:cs="Arial" w:eastAsia="Arial" w:hAnsi="Arial"/>
          <w:sz w:val="17"/>
          <w:szCs w:val="17"/>
          <w:color w:val="3A4967"/>
        </w:rPr>
        <w:t>In the ordinary course of business, the Company is exposed to the impact of fluctuations in foreign exchange rates. The Company does not enter into derivatives or other market risk sensitive instruments for the purpose of speculation or for trading purposes. Market risk sensitive instruments include derivative financial instruments, other financial instruments and derivative commodity instruments, such as futures, forwards, swaps and options, that are exposed to rate or price changes.</w:t>
      </w:r>
    </w:p>
    <w:p>
      <w:pPr>
        <w:spacing w:after="0" w:line="89" w:lineRule="exact"/>
        <w:rPr>
          <w:sz w:val="20"/>
          <w:szCs w:val="20"/>
          <w:color w:val="auto"/>
        </w:rPr>
      </w:pPr>
    </w:p>
    <w:p>
      <w:pPr>
        <w:jc w:val="both"/>
        <w:ind w:left="400"/>
        <w:spacing w:after="0" w:line="276" w:lineRule="auto"/>
        <w:rPr>
          <w:sz w:val="20"/>
          <w:szCs w:val="20"/>
          <w:color w:val="auto"/>
        </w:rPr>
      </w:pPr>
      <w:r>
        <w:rPr>
          <w:rFonts w:ascii="Arial" w:cs="Arial" w:eastAsia="Arial" w:hAnsi="Arial"/>
          <w:sz w:val="17"/>
          <w:szCs w:val="17"/>
          <w:color w:val="3A4967"/>
        </w:rPr>
        <w:t>The Company enters into hops purchase contracts, as described in Note M to the Consolidated Financial Statements within Part II, Item 8 of this Form 10-K, and makes purchases of other ingredients, equipment, and machinery and payments for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A4967"/>
        </w:rPr>
        <w:t>commissions and marketing services to an international sales agent denominated in foreign currencies. The cost of these commitments changes as foreign exchange rates fluctuate. Currently, it is not the Company’s policy to hedge against foreign currency fluctuations.</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3A4967"/>
        </w:rPr>
        <w:t>The interest rate for borrowings under the Company’s credit facility is based on the applicable secured overnight financing rate (“SOFR”) plus 1.1%, and therefore, subjects the Company to fluctuations in such rates. At December 28, 2024, the applicable SOFR was 4.5%. As of December 28, 2024, the Company had no amounts outstanding under its current line of credit.</w:t>
      </w:r>
    </w:p>
    <w:p>
      <w:pPr>
        <w:spacing w:after="0" w:line="422"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124"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Sensitivity Analysis</w:t>
      </w:r>
    </w:p>
    <w:p>
      <w:pPr>
        <w:spacing w:after="0" w:line="164" w:lineRule="exact"/>
        <w:rPr>
          <w:sz w:val="20"/>
          <w:szCs w:val="20"/>
          <w:color w:val="auto"/>
        </w:rPr>
      </w:pPr>
    </w:p>
    <w:p>
      <w:pPr>
        <w:jc w:val="both"/>
        <w:ind w:left="400"/>
        <w:spacing w:after="0" w:line="273" w:lineRule="auto"/>
        <w:rPr>
          <w:sz w:val="20"/>
          <w:szCs w:val="20"/>
          <w:color w:val="auto"/>
        </w:rPr>
      </w:pPr>
      <w:r>
        <w:rPr>
          <w:rFonts w:ascii="Arial" w:cs="Arial" w:eastAsia="Arial" w:hAnsi="Arial"/>
          <w:sz w:val="17"/>
          <w:szCs w:val="17"/>
          <w:color w:val="3A4967"/>
        </w:rPr>
        <w:t>The Company applies a sensitivity analysis to reflect the impact of a 10% hypothetical adverse change in the foreign currency exchange rates. A potential adverse fluctuation in foreign currency exchange rates could negatively impact future cash flows by approximately $2.5 million as of December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4705350</wp:posOffset>
            </wp:positionV>
            <wp:extent cx="2584450" cy="1917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3A4967"/>
        </w:rPr>
        <w:t>There are many economic factors that can affect volatility in foreign exchange rates. As such factors cannot be predicted, the actual impact on earnings due to an adverse change in the respective rates could vary substantially from the amounts calculated above.</w:t>
      </w:r>
    </w:p>
    <w:p>
      <w:pPr>
        <w:spacing w:after="0" w:line="397"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32</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42" w:name="page43"/>
    <w:bookmarkEnd w:id="42"/>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399" w:lineRule="exact"/>
        <w:rPr>
          <w:sz w:val="20"/>
          <w:szCs w:val="20"/>
          <w:color w:val="auto"/>
        </w:rPr>
      </w:pPr>
    </w:p>
    <w:p>
      <w:pPr>
        <w:spacing w:after="0"/>
        <w:tabs>
          <w:tab w:leader="none" w:pos="1680" w:val="left"/>
        </w:tabs>
        <w:rPr>
          <w:sz w:val="20"/>
          <w:szCs w:val="20"/>
          <w:color w:val="auto"/>
        </w:rPr>
      </w:pPr>
      <w:r>
        <w:rPr>
          <w:rFonts w:ascii="Arial" w:cs="Arial" w:eastAsia="Arial" w:hAnsi="Arial"/>
          <w:sz w:val="35"/>
          <w:szCs w:val="35"/>
          <w:b w:val="1"/>
          <w:bCs w:val="1"/>
          <w:color w:val="3A4967"/>
        </w:rPr>
        <w:t>Item 8.</w:t>
      </w:r>
      <w:r>
        <w:rPr>
          <w:rFonts w:ascii="Arial" w:cs="Arial" w:eastAsia="Arial" w:hAnsi="Arial"/>
          <w:sz w:val="35"/>
          <w:szCs w:val="35"/>
          <w:b w:val="1"/>
          <w:bCs w:val="1"/>
          <w:color w:val="6D7890"/>
        </w:rPr>
        <w:tab/>
        <w:t>Financial Statements and Supplementary Data</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3A4967"/>
        </w:rPr>
        <w:t>To the stockholders and the Board of Directors of The Boston Beer Company,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Opinion on the Financial Statements</w:t>
      </w:r>
    </w:p>
    <w:p>
      <w:pPr>
        <w:spacing w:after="0" w:line="114"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3A4967"/>
        </w:rPr>
        <w:t>We have audited the accompanying consolidated balance sheets of The Boston Beer Company, Inc. and subsidiaries (the “Company”) as of December 28, 2024 and December 30, 2023, the related consolidated statements of comprehensive income, stockholders’ equity, and cash flows, for each of the three years in the period ended December 28, 2024, and the related notes (collectively referred to as the “financial statements”). In our opinion, the financial statements present fairly, in all material respects, the financial position of the Company as of December 28, 2024 and December 30, 2023, and the results of its operations and its cash flows for each of the three years in the period ended December 28, 2024, in conformity with accounting principles generally accepted in the United States of America.</w:t>
      </w:r>
    </w:p>
    <w:p>
      <w:pPr>
        <w:spacing w:after="0" w:line="98" w:lineRule="exact"/>
        <w:rPr>
          <w:sz w:val="20"/>
          <w:szCs w:val="20"/>
          <w:color w:val="auto"/>
        </w:rPr>
      </w:pPr>
    </w:p>
    <w:p>
      <w:pPr>
        <w:jc w:val="both"/>
        <w:ind w:right="380"/>
        <w:spacing w:after="0" w:line="276" w:lineRule="auto"/>
        <w:rPr>
          <w:sz w:val="20"/>
          <w:szCs w:val="20"/>
          <w:color w:val="auto"/>
        </w:rPr>
      </w:pPr>
      <w:r>
        <w:rPr>
          <w:rFonts w:ascii="Arial" w:cs="Arial" w:eastAsia="Arial" w:hAnsi="Arial"/>
          <w:sz w:val="17"/>
          <w:szCs w:val="17"/>
          <w:color w:val="3A4967"/>
        </w:rPr>
        <w:t>We have also audited, in accordance with the standards of the Public Company Accounting Oversight Board (United States) (PCAOB), the Company’s internal control over financial reporting as of December 28, 2024, based on criteria established in Internal Control — Integrated Framework (2013) issued by the Committee of Sponsoring Organizations of the Treadway Commission and our report dated February 25, 2025, expressed an unqualified opinion on the Company’s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Basis for Opinion</w:t>
      </w:r>
    </w:p>
    <w:p>
      <w:pPr>
        <w:spacing w:after="0" w:line="114"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3A4967"/>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3A4967"/>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Critical Audit Matter</w:t>
      </w:r>
    </w:p>
    <w:p>
      <w:pPr>
        <w:spacing w:after="0" w:line="114" w:lineRule="exact"/>
        <w:rPr>
          <w:sz w:val="20"/>
          <w:szCs w:val="20"/>
          <w:color w:val="auto"/>
        </w:rPr>
      </w:pPr>
    </w:p>
    <w:p>
      <w:pPr>
        <w:jc w:val="both"/>
        <w:ind w:right="380"/>
        <w:spacing w:after="0" w:line="294" w:lineRule="auto"/>
        <w:rPr>
          <w:sz w:val="20"/>
          <w:szCs w:val="20"/>
          <w:color w:val="auto"/>
        </w:rPr>
      </w:pPr>
      <w:r>
        <w:rPr>
          <w:rFonts w:ascii="Arial" w:cs="Arial" w:eastAsia="Arial" w:hAnsi="Arial"/>
          <w:sz w:val="16"/>
          <w:szCs w:val="16"/>
          <w:color w:val="3A4967"/>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Dogfish Head Trademark Intangible — Refer to Notes B, H, and N to the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Critical Audit Matter Description</w:t>
      </w:r>
    </w:p>
    <w:p>
      <w:pPr>
        <w:spacing w:after="0" w:line="118" w:lineRule="exact"/>
        <w:rPr>
          <w:sz w:val="20"/>
          <w:szCs w:val="20"/>
          <w:color w:val="auto"/>
        </w:rPr>
      </w:pPr>
    </w:p>
    <w:p>
      <w:pPr>
        <w:jc w:val="both"/>
        <w:ind w:right="380"/>
        <w:spacing w:after="0" w:line="269" w:lineRule="auto"/>
        <w:rPr>
          <w:sz w:val="20"/>
          <w:szCs w:val="20"/>
          <w:color w:val="auto"/>
        </w:rPr>
      </w:pPr>
      <w:r>
        <w:rPr>
          <w:rFonts w:ascii="Arial" w:cs="Arial" w:eastAsia="Arial" w:hAnsi="Arial"/>
          <w:sz w:val="17"/>
          <w:szCs w:val="17"/>
          <w:color w:val="3A4967"/>
        </w:rPr>
        <w:t>The Company had an indefinite lived intangible asset consisting of the Dogfish Head Trademark (the “trademark”) . The Company’s evaluation of the trademark for impairment involves the comparison of the fair value to its carrying value. Management estimates the fair value of the trademark annually on its elected assessment date which is September 1</w:t>
      </w:r>
      <w:r>
        <w:rPr>
          <w:rFonts w:ascii="Arial" w:cs="Arial" w:eastAsia="Arial" w:hAnsi="Arial"/>
          <w:sz w:val="10"/>
          <w:szCs w:val="10"/>
          <w:color w:val="3A4967"/>
        </w:rPr>
        <w:t>st</w:t>
      </w:r>
      <w:r>
        <w:rPr>
          <w:rFonts w:ascii="Arial" w:cs="Arial" w:eastAsia="Arial" w:hAnsi="Arial"/>
          <w:sz w:val="17"/>
          <w:szCs w:val="17"/>
          <w:color w:val="3A4967"/>
        </w:rPr>
        <w:t xml:space="preserve"> of each fiscal year, or more often if impairment indicators are present, using the relief-from-royalty method, which is a discounted cash flow method. The determination of fair value requires management to make significant estimates and assumptions related to forecasted revenues, including growth rates, the royalty rate, and the discount rate used to estimate the fair value of the trademark asset. Changes in these assumptions could have a significant impact on the fair value of the trademark and the amount of any impairment charge. As of December 28, 2024, the carrying value of the trademark was $14.4 million. During the year ended December 28, 2024, the Company recognized an impairment charge of $41.2 million related to the trademark, since its fair value was lower than its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472440</wp:posOffset>
            </wp:positionV>
            <wp:extent cx="2584450" cy="1917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43" w:name="page44"/>
    <w:bookmarkEnd w:id="43"/>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400"/>
        <w:spacing w:after="0" w:line="298" w:lineRule="auto"/>
        <w:rPr>
          <w:sz w:val="20"/>
          <w:szCs w:val="20"/>
          <w:color w:val="auto"/>
        </w:rPr>
      </w:pPr>
      <w:r>
        <w:rPr>
          <w:rFonts w:ascii="Arial" w:cs="Arial" w:eastAsia="Arial" w:hAnsi="Arial"/>
          <w:sz w:val="16"/>
          <w:szCs w:val="16"/>
          <w:color w:val="3A4967"/>
        </w:rPr>
        <w:t>We identified the valuation of the trademark as a critical audit matter because of the significant judgments and assumptions management makes in estimating the fair value of the trademark. This required a high degree of auditor judgment and an increased extent of effort when performing audit procedures to evaluate the reasonableness of management’s estimates and assumptions related to the forecasts of future revenues as well as the selection of royalty rate and discount rate, including the need to involve our fair value specialists.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How the Critical Audit Matter Was Addressed in the Audit</w:t>
      </w:r>
    </w:p>
    <w:p>
      <w:pPr>
        <w:spacing w:after="0" w:line="118" w:lineRule="exact"/>
        <w:rPr>
          <w:sz w:val="20"/>
          <w:szCs w:val="20"/>
          <w:color w:val="auto"/>
        </w:rPr>
      </w:pPr>
    </w:p>
    <w:p>
      <w:pPr>
        <w:jc w:val="both"/>
        <w:ind w:left="400"/>
        <w:spacing w:after="0" w:line="267" w:lineRule="auto"/>
        <w:rPr>
          <w:sz w:val="20"/>
          <w:szCs w:val="20"/>
          <w:color w:val="auto"/>
        </w:rPr>
      </w:pPr>
      <w:r>
        <w:rPr>
          <w:rFonts w:ascii="Arial" w:cs="Arial" w:eastAsia="Arial" w:hAnsi="Arial"/>
          <w:sz w:val="18"/>
          <w:szCs w:val="18"/>
          <w:color w:val="3A4967"/>
        </w:rPr>
        <w:t>Our audit procedures related to forecasts of future revenues and the selection of the royalty rate and discount rate for the Dogfish Head Trademark included the following, among others:</w:t>
      </w:r>
    </w:p>
    <w:p>
      <w:pPr>
        <w:spacing w:after="0" w:line="85" w:lineRule="exact"/>
        <w:rPr>
          <w:sz w:val="20"/>
          <w:szCs w:val="20"/>
          <w:color w:val="auto"/>
        </w:rPr>
      </w:pPr>
    </w:p>
    <w:p>
      <w:pPr>
        <w:jc w:val="both"/>
        <w:ind w:left="560" w:hanging="169"/>
        <w:spacing w:after="0" w:line="259" w:lineRule="auto"/>
        <w:tabs>
          <w:tab w:leader="none" w:pos="560" w:val="left"/>
        </w:tabs>
        <w:numPr>
          <w:ilvl w:val="0"/>
          <w:numId w:val="15"/>
        </w:numPr>
        <w:rPr>
          <w:rFonts w:ascii="Wingdings" w:cs="Wingdings" w:eastAsia="Wingdings" w:hAnsi="Wingdings"/>
          <w:sz w:val="15"/>
          <w:szCs w:val="15"/>
          <w:color w:val="3A4967"/>
        </w:rPr>
      </w:pPr>
      <w:r>
        <w:rPr>
          <w:rFonts w:ascii="Arial" w:cs="Arial" w:eastAsia="Arial" w:hAnsi="Arial"/>
          <w:sz w:val="18"/>
          <w:szCs w:val="18"/>
          <w:color w:val="3A4967"/>
        </w:rPr>
        <w:t>We tested the effectiveness of controls over management’s trademark impairment evaluation, including those over the determination of the fair value of the trademark, such as controls related to management’s forecasts of future revenue, and the selection of the royalty rate and discount rate.</w:t>
      </w:r>
    </w:p>
    <w:p>
      <w:pPr>
        <w:spacing w:after="0" w:line="34" w:lineRule="exact"/>
        <w:rPr>
          <w:rFonts w:ascii="Wingdings" w:cs="Wingdings" w:eastAsia="Wingdings" w:hAnsi="Wingdings"/>
          <w:sz w:val="15"/>
          <w:szCs w:val="15"/>
          <w:color w:val="3A4967"/>
        </w:rPr>
      </w:pPr>
    </w:p>
    <w:p>
      <w:pPr>
        <w:ind w:left="560" w:hanging="169"/>
        <w:spacing w:after="0" w:line="267" w:lineRule="auto"/>
        <w:tabs>
          <w:tab w:leader="none" w:pos="560" w:val="left"/>
        </w:tabs>
        <w:numPr>
          <w:ilvl w:val="0"/>
          <w:numId w:val="15"/>
        </w:numPr>
        <w:rPr>
          <w:rFonts w:ascii="Wingdings" w:cs="Wingdings" w:eastAsia="Wingdings" w:hAnsi="Wingdings"/>
          <w:sz w:val="15"/>
          <w:szCs w:val="15"/>
          <w:color w:val="3A4967"/>
        </w:rPr>
      </w:pPr>
      <w:r>
        <w:rPr>
          <w:rFonts w:ascii="Arial" w:cs="Arial" w:eastAsia="Arial" w:hAnsi="Arial"/>
          <w:sz w:val="18"/>
          <w:szCs w:val="18"/>
          <w:color w:val="3A4967"/>
        </w:rPr>
        <w:t>We evaluated management’s ability to accurately forecast revenues by comparing actual revenues to management’s historical forecasts.</w:t>
      </w:r>
    </w:p>
    <w:p>
      <w:pPr>
        <w:spacing w:after="0" w:line="28" w:lineRule="exact"/>
        <w:rPr>
          <w:rFonts w:ascii="Wingdings" w:cs="Wingdings" w:eastAsia="Wingdings" w:hAnsi="Wingdings"/>
          <w:sz w:val="15"/>
          <w:szCs w:val="15"/>
          <w:color w:val="3A4967"/>
        </w:rPr>
      </w:pPr>
    </w:p>
    <w:p>
      <w:pPr>
        <w:ind w:left="560" w:hanging="169"/>
        <w:spacing w:after="0"/>
        <w:tabs>
          <w:tab w:leader="none" w:pos="560" w:val="left"/>
        </w:tabs>
        <w:numPr>
          <w:ilvl w:val="0"/>
          <w:numId w:val="15"/>
        </w:numPr>
        <w:rPr>
          <w:rFonts w:ascii="Wingdings" w:cs="Wingdings" w:eastAsia="Wingdings" w:hAnsi="Wingdings"/>
          <w:sz w:val="15"/>
          <w:szCs w:val="15"/>
          <w:color w:val="3A4967"/>
        </w:rPr>
      </w:pPr>
      <w:r>
        <w:rPr>
          <w:rFonts w:ascii="Arial" w:cs="Arial" w:eastAsia="Arial" w:hAnsi="Arial"/>
          <w:sz w:val="18"/>
          <w:szCs w:val="18"/>
          <w:color w:val="3A4967"/>
        </w:rPr>
        <w:t>We evaluated the reasonableness of management’s forecasts by comparing forecasted revenues to:</w:t>
      </w:r>
    </w:p>
    <w:p>
      <w:pPr>
        <w:spacing w:after="0" w:line="65" w:lineRule="exact"/>
        <w:rPr>
          <w:rFonts w:ascii="Wingdings" w:cs="Wingdings" w:eastAsia="Wingdings" w:hAnsi="Wingdings"/>
          <w:sz w:val="15"/>
          <w:szCs w:val="15"/>
          <w:color w:val="3A4967"/>
        </w:rPr>
      </w:pPr>
    </w:p>
    <w:p>
      <w:pPr>
        <w:ind w:left="560" w:right="1480"/>
        <w:spacing w:after="0" w:line="316" w:lineRule="auto"/>
        <w:rPr>
          <w:rFonts w:ascii="Wingdings" w:cs="Wingdings" w:eastAsia="Wingdings" w:hAnsi="Wingdings"/>
          <w:sz w:val="15"/>
          <w:szCs w:val="15"/>
          <w:color w:val="3A4967"/>
        </w:rPr>
      </w:pPr>
      <w:r>
        <w:rPr>
          <w:rFonts w:ascii="Wingdings" w:cs="Wingdings" w:eastAsia="Wingdings" w:hAnsi="Wingdings"/>
          <w:sz w:val="15"/>
          <w:szCs w:val="15"/>
          <w:color w:val="949BAE"/>
        </w:rPr>
        <w:t xml:space="preserve">z </w:t>
      </w:r>
      <w:r>
        <w:rPr>
          <w:rFonts w:ascii="Arial" w:cs="Arial" w:eastAsia="Arial" w:hAnsi="Arial"/>
          <w:sz w:val="18"/>
          <w:szCs w:val="18"/>
          <w:color w:val="3A4967"/>
        </w:rPr>
        <w:t>The Company’s business strategies and growth plans including consideration of the effects of new products;</w:t>
      </w:r>
      <w:r>
        <w:rPr>
          <w:rFonts w:ascii="Wingdings" w:cs="Wingdings" w:eastAsia="Wingdings" w:hAnsi="Wingdings"/>
          <w:sz w:val="15"/>
          <w:szCs w:val="15"/>
          <w:color w:val="949BAE"/>
        </w:rPr>
        <w:t xml:space="preserve"> z </w:t>
      </w:r>
      <w:r>
        <w:rPr>
          <w:rFonts w:ascii="Arial" w:cs="Arial" w:eastAsia="Arial" w:hAnsi="Arial"/>
          <w:sz w:val="18"/>
          <w:szCs w:val="18"/>
          <w:color w:val="3A4967"/>
        </w:rPr>
        <w:t>Historical results and trends; and</w:t>
      </w:r>
    </w:p>
    <w:p>
      <w:pPr>
        <w:ind w:left="560"/>
        <w:spacing w:after="0"/>
        <w:rPr>
          <w:rFonts w:ascii="Wingdings" w:cs="Wingdings" w:eastAsia="Wingdings" w:hAnsi="Wingdings"/>
          <w:sz w:val="15"/>
          <w:szCs w:val="15"/>
          <w:color w:val="3A4967"/>
        </w:rPr>
      </w:pPr>
      <w:r>
        <w:rPr>
          <w:rFonts w:ascii="Wingdings" w:cs="Wingdings" w:eastAsia="Wingdings" w:hAnsi="Wingdings"/>
          <w:sz w:val="15"/>
          <w:szCs w:val="15"/>
          <w:color w:val="949BAE"/>
        </w:rPr>
        <w:t xml:space="preserve">z </w:t>
      </w:r>
      <w:r>
        <w:rPr>
          <w:rFonts w:ascii="Arial" w:cs="Arial" w:eastAsia="Arial" w:hAnsi="Arial"/>
          <w:sz w:val="18"/>
          <w:szCs w:val="18"/>
          <w:color w:val="3A4967"/>
        </w:rPr>
        <w:t>Industry reports.</w:t>
      </w:r>
    </w:p>
    <w:p>
      <w:pPr>
        <w:spacing w:after="0" w:line="65" w:lineRule="exact"/>
        <w:rPr>
          <w:rFonts w:ascii="Wingdings" w:cs="Wingdings" w:eastAsia="Wingdings" w:hAnsi="Wingdings"/>
          <w:sz w:val="15"/>
          <w:szCs w:val="15"/>
          <w:color w:val="3A4967"/>
        </w:rPr>
      </w:pPr>
    </w:p>
    <w:p>
      <w:pPr>
        <w:ind w:left="560" w:hanging="169"/>
        <w:spacing w:after="0" w:line="267" w:lineRule="auto"/>
        <w:tabs>
          <w:tab w:leader="none" w:pos="560" w:val="left"/>
        </w:tabs>
        <w:numPr>
          <w:ilvl w:val="0"/>
          <w:numId w:val="15"/>
        </w:numPr>
        <w:rPr>
          <w:rFonts w:ascii="Wingdings" w:cs="Wingdings" w:eastAsia="Wingdings" w:hAnsi="Wingdings"/>
          <w:sz w:val="15"/>
          <w:szCs w:val="15"/>
          <w:color w:val="3A4967"/>
        </w:rPr>
      </w:pPr>
      <w:r>
        <w:rPr>
          <w:rFonts w:ascii="Arial" w:cs="Arial" w:eastAsia="Arial" w:hAnsi="Arial"/>
          <w:sz w:val="18"/>
          <w:szCs w:val="18"/>
          <w:color w:val="3A4967"/>
        </w:rPr>
        <w:t>With the assistance of our fair value specialists, we evaluated the reasonableness of the valuation methodology and management’s assumptions including the royalty rate and the discount rate by:</w:t>
      </w:r>
    </w:p>
    <w:p>
      <w:pPr>
        <w:spacing w:after="0" w:line="28" w:lineRule="exact"/>
        <w:rPr>
          <w:rFonts w:ascii="Wingdings" w:cs="Wingdings" w:eastAsia="Wingdings" w:hAnsi="Wingdings"/>
          <w:sz w:val="15"/>
          <w:szCs w:val="15"/>
          <w:color w:val="3A4967"/>
        </w:rPr>
      </w:pPr>
    </w:p>
    <w:p>
      <w:pPr>
        <w:ind w:left="740" w:hanging="170"/>
        <w:spacing w:after="0" w:line="267" w:lineRule="auto"/>
        <w:rPr>
          <w:rFonts w:ascii="Wingdings" w:cs="Wingdings" w:eastAsia="Wingdings" w:hAnsi="Wingdings"/>
          <w:sz w:val="15"/>
          <w:szCs w:val="15"/>
          <w:color w:val="3A4967"/>
        </w:rPr>
      </w:pPr>
      <w:r>
        <w:rPr>
          <w:rFonts w:ascii="Wingdings" w:cs="Wingdings" w:eastAsia="Wingdings" w:hAnsi="Wingdings"/>
          <w:sz w:val="15"/>
          <w:szCs w:val="15"/>
          <w:color w:val="949BAE"/>
        </w:rPr>
        <w:t xml:space="preserve">z </w:t>
      </w:r>
      <w:r>
        <w:rPr>
          <w:rFonts w:ascii="Arial" w:cs="Arial" w:eastAsia="Arial" w:hAnsi="Arial"/>
          <w:sz w:val="18"/>
          <w:szCs w:val="18"/>
          <w:color w:val="3A4967"/>
        </w:rPr>
        <w:t>Testing the source information underlying the determination of the royalty rate, the discount rate, and the mathematical accuracy</w:t>
      </w:r>
      <w:r>
        <w:rPr>
          <w:rFonts w:ascii="Wingdings" w:cs="Wingdings" w:eastAsia="Wingdings" w:hAnsi="Wingdings"/>
          <w:sz w:val="15"/>
          <w:szCs w:val="15"/>
          <w:color w:val="949BAE"/>
        </w:rPr>
        <w:t xml:space="preserve"> </w:t>
      </w:r>
      <w:r>
        <w:rPr>
          <w:rFonts w:ascii="Arial" w:cs="Arial" w:eastAsia="Arial" w:hAnsi="Arial"/>
          <w:sz w:val="18"/>
          <w:szCs w:val="18"/>
          <w:color w:val="3A4967"/>
        </w:rPr>
        <w:t>of the calculations.</w:t>
      </w:r>
    </w:p>
    <w:p>
      <w:pPr>
        <w:spacing w:after="0" w:line="28" w:lineRule="exact"/>
        <w:rPr>
          <w:rFonts w:ascii="Wingdings" w:cs="Wingdings" w:eastAsia="Wingdings" w:hAnsi="Wingdings"/>
          <w:sz w:val="15"/>
          <w:szCs w:val="15"/>
          <w:color w:val="3A4967"/>
        </w:rPr>
      </w:pPr>
    </w:p>
    <w:p>
      <w:pPr>
        <w:ind w:left="740" w:right="20" w:hanging="170"/>
        <w:spacing w:after="0" w:line="267" w:lineRule="auto"/>
        <w:rPr>
          <w:rFonts w:ascii="Wingdings" w:cs="Wingdings" w:eastAsia="Wingdings" w:hAnsi="Wingdings"/>
          <w:sz w:val="15"/>
          <w:szCs w:val="15"/>
          <w:color w:val="3A4967"/>
        </w:rPr>
      </w:pPr>
      <w:r>
        <w:rPr>
          <w:rFonts w:ascii="Wingdings" w:cs="Wingdings" w:eastAsia="Wingdings" w:hAnsi="Wingdings"/>
          <w:sz w:val="15"/>
          <w:szCs w:val="15"/>
          <w:color w:val="949BAE"/>
        </w:rPr>
        <w:t xml:space="preserve">z </w:t>
      </w:r>
      <w:r>
        <w:rPr>
          <w:rFonts w:ascii="Arial" w:cs="Arial" w:eastAsia="Arial" w:hAnsi="Arial"/>
          <w:sz w:val="18"/>
          <w:szCs w:val="18"/>
          <w:color w:val="3A4967"/>
        </w:rPr>
        <w:t>Developing a range of independent estimates for the discount rate and comparing those to the discount rate selected by</w:t>
      </w:r>
      <w:r>
        <w:rPr>
          <w:rFonts w:ascii="Wingdings" w:cs="Wingdings" w:eastAsia="Wingdings" w:hAnsi="Wingdings"/>
          <w:sz w:val="15"/>
          <w:szCs w:val="15"/>
          <w:color w:val="949BAE"/>
        </w:rPr>
        <w:t xml:space="preserve"> </w:t>
      </w:r>
      <w:r>
        <w:rPr>
          <w:rFonts w:ascii="Arial" w:cs="Arial" w:eastAsia="Arial" w:hAnsi="Arial"/>
          <w:sz w:val="18"/>
          <w:szCs w:val="18"/>
          <w:color w:val="3A4967"/>
        </w:rPr>
        <w:t>management.</w:t>
      </w:r>
    </w:p>
    <w:p>
      <w:pPr>
        <w:spacing w:after="0" w:line="358"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/s/ Deloitte &amp; Touche LLP</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Boston, Massachusetts</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February 25, 2025</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We have served as the Company’s auditor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3771265</wp:posOffset>
            </wp:positionV>
            <wp:extent cx="2584450" cy="1917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34</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44" w:name="page45"/>
    <w:bookmarkEnd w:id="44"/>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5180"/>
        <w:spacing w:after="0" w:line="299" w:lineRule="auto"/>
        <w:rPr>
          <w:sz w:val="20"/>
          <w:szCs w:val="20"/>
          <w:color w:val="auto"/>
        </w:rPr>
      </w:pPr>
      <w:r>
        <w:rPr>
          <w:rFonts w:ascii="Arial" w:cs="Arial" w:eastAsia="Arial" w:hAnsi="Arial"/>
          <w:sz w:val="17"/>
          <w:szCs w:val="17"/>
          <w:b w:val="1"/>
          <w:bCs w:val="1"/>
          <w:color w:val="3A4967"/>
        </w:rPr>
        <w:t>THE BOSTON BEER COMPANY, INC. AND SUBSIDIARIES CONSOLIDATED STATEMENTS OF COMPREHENSIVE INCOME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gridSpan w:val="2"/>
          </w:tcPr>
          <w:p>
            <w:pPr>
              <w:jc w:val="right"/>
              <w:ind w:right="515"/>
              <w:spacing w:after="0"/>
              <w:rPr>
                <w:sz w:val="20"/>
                <w:szCs w:val="20"/>
                <w:color w:val="auto"/>
              </w:rPr>
            </w:pPr>
            <w:r>
              <w:rPr>
                <w:rFonts w:ascii="Arial" w:cs="Arial" w:eastAsia="Arial" w:hAnsi="Arial"/>
                <w:sz w:val="16"/>
                <w:szCs w:val="16"/>
                <w:b w:val="1"/>
                <w:bCs w:val="1"/>
                <w:color w:val="3A4967"/>
              </w:rPr>
              <w:t>Year Ended</w:t>
            </w: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
        </w:trPr>
        <w:tc>
          <w:tcPr>
            <w:tcW w:w="4880" w:type="dxa"/>
            <w:vAlign w:val="bottom"/>
          </w:tcPr>
          <w:p>
            <w:pPr>
              <w:spacing w:after="0"/>
              <w:rPr>
                <w:sz w:val="3"/>
                <w:szCs w:val="3"/>
                <w:color w:val="auto"/>
              </w:rPr>
            </w:pPr>
          </w:p>
        </w:tc>
        <w:tc>
          <w:tcPr>
            <w:tcW w:w="1840" w:type="dxa"/>
            <w:vAlign w:val="bottom"/>
            <w:tcBorders>
              <w:bottom w:val="single" w:sz="8" w:color="3A4967"/>
            </w:tcBorders>
            <w:gridSpan w:val="2"/>
          </w:tcPr>
          <w:p>
            <w:pPr>
              <w:spacing w:after="0"/>
              <w:rPr>
                <w:sz w:val="3"/>
                <w:szCs w:val="3"/>
                <w:color w:val="auto"/>
              </w:rPr>
            </w:pPr>
          </w:p>
        </w:tc>
        <w:tc>
          <w:tcPr>
            <w:tcW w:w="1780" w:type="dxa"/>
            <w:vAlign w:val="bottom"/>
            <w:tcBorders>
              <w:bottom w:val="single" w:sz="8" w:color="3A4967"/>
            </w:tcBorders>
            <w:gridSpan w:val="2"/>
          </w:tcPr>
          <w:p>
            <w:pPr>
              <w:spacing w:after="0"/>
              <w:rPr>
                <w:sz w:val="3"/>
                <w:szCs w:val="3"/>
                <w:color w:val="auto"/>
              </w:rPr>
            </w:pPr>
          </w:p>
        </w:tc>
        <w:tc>
          <w:tcPr>
            <w:tcW w:w="1560" w:type="dxa"/>
            <w:vAlign w:val="bottom"/>
            <w:tcBorders>
              <w:bottom w:val="single" w:sz="8" w:color="3A4967"/>
            </w:tcBorders>
            <w:gridSpan w:val="2"/>
          </w:tcPr>
          <w:p>
            <w:pPr>
              <w:spacing w:after="0"/>
              <w:rPr>
                <w:sz w:val="3"/>
                <w:szCs w:val="3"/>
                <w:color w:val="auto"/>
              </w:rPr>
            </w:pPr>
          </w:p>
        </w:tc>
        <w:tc>
          <w:tcPr>
            <w:tcW w:w="100" w:type="dxa"/>
            <w:vAlign w:val="bottom"/>
          </w:tcPr>
          <w:p>
            <w:pPr>
              <w:spacing w:after="0"/>
              <w:rPr>
                <w:sz w:val="3"/>
                <w:szCs w:val="3"/>
                <w:color w:val="auto"/>
              </w:rPr>
            </w:pPr>
          </w:p>
        </w:tc>
      </w:tr>
      <w:tr>
        <w:trPr>
          <w:trHeight w:val="221"/>
        </w:trPr>
        <w:tc>
          <w:tcPr>
            <w:tcW w:w="4880" w:type="dxa"/>
            <w:vAlign w:val="bottom"/>
          </w:tcPr>
          <w:p>
            <w:pPr>
              <w:ind w:left="80"/>
              <w:spacing w:after="0"/>
              <w:rPr>
                <w:sz w:val="20"/>
                <w:szCs w:val="20"/>
                <w:color w:val="auto"/>
              </w:rPr>
            </w:pPr>
            <w:r>
              <w:rPr>
                <w:rFonts w:ascii="Arial" w:cs="Arial" w:eastAsia="Arial" w:hAnsi="Arial"/>
                <w:sz w:val="13"/>
                <w:szCs w:val="13"/>
                <w:i w:val="1"/>
                <w:iCs w:val="1"/>
                <w:color w:val="3A4967"/>
              </w:rPr>
              <w:t>(in thousands, except per share data)</w:t>
            </w:r>
          </w:p>
        </w:tc>
        <w:tc>
          <w:tcPr>
            <w:tcW w:w="1840" w:type="dxa"/>
            <w:vAlign w:val="bottom"/>
            <w:gridSpan w:val="2"/>
          </w:tcPr>
          <w:p>
            <w:pPr>
              <w:jc w:val="right"/>
              <w:ind w:right="115"/>
              <w:spacing w:after="0"/>
              <w:rPr>
                <w:sz w:val="20"/>
                <w:szCs w:val="20"/>
                <w:color w:val="auto"/>
              </w:rPr>
            </w:pPr>
            <w:r>
              <w:rPr>
                <w:rFonts w:ascii="Arial" w:cs="Arial" w:eastAsia="Arial" w:hAnsi="Arial"/>
                <w:sz w:val="16"/>
                <w:szCs w:val="16"/>
                <w:b w:val="1"/>
                <w:bCs w:val="1"/>
                <w:color w:val="3A4967"/>
              </w:rPr>
              <w:t>December 28, 2024</w:t>
            </w:r>
          </w:p>
        </w:tc>
        <w:tc>
          <w:tcPr>
            <w:tcW w:w="1780" w:type="dxa"/>
            <w:vAlign w:val="bottom"/>
            <w:gridSpan w:val="2"/>
          </w:tcPr>
          <w:p>
            <w:pPr>
              <w:jc w:val="right"/>
              <w:ind w:right="75"/>
              <w:spacing w:after="0"/>
              <w:rPr>
                <w:sz w:val="20"/>
                <w:szCs w:val="20"/>
                <w:color w:val="auto"/>
              </w:rPr>
            </w:pPr>
            <w:r>
              <w:rPr>
                <w:rFonts w:ascii="Arial" w:cs="Arial" w:eastAsia="Arial" w:hAnsi="Arial"/>
                <w:sz w:val="16"/>
                <w:szCs w:val="16"/>
                <w:b w:val="1"/>
                <w:bCs w:val="1"/>
                <w:color w:val="3A4967"/>
              </w:rPr>
              <w:t>December 30, 2023</w:t>
            </w:r>
          </w:p>
        </w:tc>
        <w:tc>
          <w:tcPr>
            <w:tcW w:w="16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3A4967"/>
              </w:rPr>
              <w:t>December 31, 2022</w:t>
            </w:r>
          </w:p>
        </w:tc>
      </w:tr>
      <w:tr>
        <w:trPr>
          <w:trHeight w:val="41"/>
        </w:trPr>
        <w:tc>
          <w:tcPr>
            <w:tcW w:w="488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r>
      <w:tr>
        <w:trPr>
          <w:trHeight w:val="226"/>
        </w:trPr>
        <w:tc>
          <w:tcPr>
            <w:tcW w:w="4880" w:type="dxa"/>
            <w:vAlign w:val="bottom"/>
          </w:tcPr>
          <w:p>
            <w:pPr>
              <w:ind w:left="80"/>
              <w:spacing w:after="0"/>
              <w:rPr>
                <w:sz w:val="20"/>
                <w:szCs w:val="20"/>
                <w:color w:val="auto"/>
              </w:rPr>
            </w:pPr>
            <w:r>
              <w:rPr>
                <w:rFonts w:ascii="Arial" w:cs="Arial" w:eastAsia="Arial" w:hAnsi="Arial"/>
                <w:sz w:val="17"/>
                <w:szCs w:val="17"/>
                <w:color w:val="3A4967"/>
              </w:rPr>
              <w:t>Revenue</w:t>
            </w:r>
          </w:p>
        </w:tc>
        <w:tc>
          <w:tcPr>
            <w:tcW w:w="800" w:type="dxa"/>
            <w:vAlign w:val="bottom"/>
          </w:tcPr>
          <w:p>
            <w:pPr>
              <w:jc w:val="right"/>
              <w:spacing w:after="0"/>
              <w:rPr>
                <w:sz w:val="20"/>
                <w:szCs w:val="20"/>
                <w:color w:val="auto"/>
              </w:rPr>
            </w:pPr>
            <w:r>
              <w:rPr>
                <w:rFonts w:ascii="Arial" w:cs="Arial" w:eastAsia="Arial" w:hAnsi="Arial"/>
                <w:sz w:val="17"/>
                <w:szCs w:val="17"/>
                <w:color w:val="3A4967"/>
              </w:rPr>
              <w:t>$</w:t>
            </w: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2,137,802</w:t>
            </w:r>
          </w:p>
        </w:tc>
        <w:tc>
          <w:tcPr>
            <w:tcW w:w="780" w:type="dxa"/>
            <w:vAlign w:val="bottom"/>
          </w:tcPr>
          <w:p>
            <w:pPr>
              <w:jc w:val="right"/>
              <w:spacing w:after="0"/>
              <w:rPr>
                <w:sz w:val="20"/>
                <w:szCs w:val="20"/>
                <w:color w:val="auto"/>
              </w:rPr>
            </w:pPr>
            <w:r>
              <w:rPr>
                <w:rFonts w:ascii="Arial" w:cs="Arial" w:eastAsia="Arial" w:hAnsi="Arial"/>
                <w:sz w:val="17"/>
                <w:szCs w:val="17"/>
                <w:color w:val="3A4967"/>
              </w:rPr>
              <w:t>$</w:t>
            </w: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2,133,292</w:t>
            </w:r>
          </w:p>
        </w:tc>
        <w:tc>
          <w:tcPr>
            <w:tcW w:w="720" w:type="dxa"/>
            <w:vAlign w:val="bottom"/>
          </w:tcPr>
          <w:p>
            <w:pPr>
              <w:jc w:val="right"/>
              <w:ind w:right="16"/>
              <w:spacing w:after="0"/>
              <w:rPr>
                <w:sz w:val="20"/>
                <w:szCs w:val="20"/>
                <w:color w:val="auto"/>
              </w:rPr>
            </w:pPr>
            <w:r>
              <w:rPr>
                <w:rFonts w:ascii="Arial" w:cs="Arial" w:eastAsia="Arial" w:hAnsi="Arial"/>
                <w:sz w:val="17"/>
                <w:szCs w:val="17"/>
                <w:color w:val="3A4967"/>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2,222,667</w:t>
            </w:r>
          </w:p>
        </w:tc>
      </w:tr>
      <w:tr>
        <w:trPr>
          <w:trHeight w:val="281"/>
        </w:trPr>
        <w:tc>
          <w:tcPr>
            <w:tcW w:w="4880" w:type="dxa"/>
            <w:vAlign w:val="bottom"/>
          </w:tcPr>
          <w:p>
            <w:pPr>
              <w:ind w:left="80"/>
              <w:spacing w:after="0"/>
              <w:rPr>
                <w:sz w:val="20"/>
                <w:szCs w:val="20"/>
                <w:color w:val="auto"/>
              </w:rPr>
            </w:pPr>
            <w:r>
              <w:rPr>
                <w:rFonts w:ascii="Arial" w:cs="Arial" w:eastAsia="Arial" w:hAnsi="Arial"/>
                <w:sz w:val="17"/>
                <w:szCs w:val="17"/>
                <w:color w:val="3A4967"/>
              </w:rPr>
              <w:t>Less excise taxes</w:t>
            </w:r>
          </w:p>
        </w:tc>
        <w:tc>
          <w:tcPr>
            <w:tcW w:w="800" w:type="dxa"/>
            <w:vAlign w:val="bottom"/>
          </w:tcPr>
          <w:p>
            <w:pPr>
              <w:spacing w:after="0"/>
              <w:rPr>
                <w:sz w:val="24"/>
                <w:szCs w:val="24"/>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124,876</w:t>
            </w:r>
          </w:p>
        </w:tc>
        <w:tc>
          <w:tcPr>
            <w:tcW w:w="780" w:type="dxa"/>
            <w:vAlign w:val="bottom"/>
          </w:tcPr>
          <w:p>
            <w:pPr>
              <w:spacing w:after="0"/>
              <w:rPr>
                <w:sz w:val="24"/>
                <w:szCs w:val="24"/>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124,667</w:t>
            </w:r>
          </w:p>
        </w:tc>
        <w:tc>
          <w:tcPr>
            <w:tcW w:w="7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132,333</w:t>
            </w:r>
          </w:p>
        </w:tc>
      </w:tr>
      <w:tr>
        <w:trPr>
          <w:trHeight w:val="35"/>
        </w:trPr>
        <w:tc>
          <w:tcPr>
            <w:tcW w:w="488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r>
      <w:tr>
        <w:trPr>
          <w:trHeight w:val="226"/>
        </w:trPr>
        <w:tc>
          <w:tcPr>
            <w:tcW w:w="4880" w:type="dxa"/>
            <w:vAlign w:val="bottom"/>
          </w:tcPr>
          <w:p>
            <w:pPr>
              <w:ind w:left="220"/>
              <w:spacing w:after="0"/>
              <w:rPr>
                <w:sz w:val="20"/>
                <w:szCs w:val="20"/>
                <w:color w:val="auto"/>
              </w:rPr>
            </w:pPr>
            <w:r>
              <w:rPr>
                <w:rFonts w:ascii="Arial" w:cs="Arial" w:eastAsia="Arial" w:hAnsi="Arial"/>
                <w:sz w:val="17"/>
                <w:szCs w:val="17"/>
                <w:color w:val="3A4967"/>
              </w:rPr>
              <w:t>Net revenue</w:t>
            </w:r>
          </w:p>
        </w:tc>
        <w:tc>
          <w:tcPr>
            <w:tcW w:w="80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2,012,926</w:t>
            </w:r>
          </w:p>
        </w:tc>
        <w:tc>
          <w:tcPr>
            <w:tcW w:w="78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2,008,625</w:t>
            </w:r>
          </w:p>
        </w:tc>
        <w:tc>
          <w:tcPr>
            <w:tcW w:w="7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2,090,334</w:t>
            </w:r>
          </w:p>
        </w:tc>
      </w:tr>
      <w:tr>
        <w:trPr>
          <w:trHeight w:val="281"/>
        </w:trPr>
        <w:tc>
          <w:tcPr>
            <w:tcW w:w="4880" w:type="dxa"/>
            <w:vAlign w:val="bottom"/>
          </w:tcPr>
          <w:p>
            <w:pPr>
              <w:ind w:left="80"/>
              <w:spacing w:after="0"/>
              <w:rPr>
                <w:sz w:val="20"/>
                <w:szCs w:val="20"/>
                <w:color w:val="auto"/>
              </w:rPr>
            </w:pPr>
            <w:r>
              <w:rPr>
                <w:rFonts w:ascii="Arial" w:cs="Arial" w:eastAsia="Arial" w:hAnsi="Arial"/>
                <w:sz w:val="17"/>
                <w:szCs w:val="17"/>
                <w:color w:val="3A4967"/>
              </w:rPr>
              <w:t>Cost of goods sold</w:t>
            </w:r>
          </w:p>
        </w:tc>
        <w:tc>
          <w:tcPr>
            <w:tcW w:w="800" w:type="dxa"/>
            <w:vAlign w:val="bottom"/>
          </w:tcPr>
          <w:p>
            <w:pPr>
              <w:spacing w:after="0"/>
              <w:rPr>
                <w:sz w:val="24"/>
                <w:szCs w:val="24"/>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1,119,194</w:t>
            </w:r>
          </w:p>
        </w:tc>
        <w:tc>
          <w:tcPr>
            <w:tcW w:w="780" w:type="dxa"/>
            <w:vAlign w:val="bottom"/>
          </w:tcPr>
          <w:p>
            <w:pPr>
              <w:spacing w:after="0"/>
              <w:rPr>
                <w:sz w:val="24"/>
                <w:szCs w:val="24"/>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1,156,256</w:t>
            </w:r>
          </w:p>
        </w:tc>
        <w:tc>
          <w:tcPr>
            <w:tcW w:w="7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1,228,348</w:t>
            </w:r>
          </w:p>
        </w:tc>
      </w:tr>
      <w:tr>
        <w:trPr>
          <w:trHeight w:val="35"/>
        </w:trPr>
        <w:tc>
          <w:tcPr>
            <w:tcW w:w="488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r>
      <w:tr>
        <w:trPr>
          <w:trHeight w:val="226"/>
        </w:trPr>
        <w:tc>
          <w:tcPr>
            <w:tcW w:w="4880" w:type="dxa"/>
            <w:vAlign w:val="bottom"/>
          </w:tcPr>
          <w:p>
            <w:pPr>
              <w:ind w:left="220"/>
              <w:spacing w:after="0"/>
              <w:rPr>
                <w:sz w:val="20"/>
                <w:szCs w:val="20"/>
                <w:color w:val="auto"/>
              </w:rPr>
            </w:pPr>
            <w:r>
              <w:rPr>
                <w:rFonts w:ascii="Arial" w:cs="Arial" w:eastAsia="Arial" w:hAnsi="Arial"/>
                <w:sz w:val="17"/>
                <w:szCs w:val="17"/>
                <w:color w:val="3A4967"/>
              </w:rPr>
              <w:t>Gross profit</w:t>
            </w:r>
          </w:p>
        </w:tc>
        <w:tc>
          <w:tcPr>
            <w:tcW w:w="80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893,732</w:t>
            </w:r>
          </w:p>
        </w:tc>
        <w:tc>
          <w:tcPr>
            <w:tcW w:w="78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852,369</w:t>
            </w:r>
          </w:p>
        </w:tc>
        <w:tc>
          <w:tcPr>
            <w:tcW w:w="7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861,986</w:t>
            </w:r>
          </w:p>
        </w:tc>
      </w:tr>
      <w:tr>
        <w:trPr>
          <w:trHeight w:val="281"/>
        </w:trPr>
        <w:tc>
          <w:tcPr>
            <w:tcW w:w="4880" w:type="dxa"/>
            <w:vAlign w:val="bottom"/>
          </w:tcPr>
          <w:p>
            <w:pPr>
              <w:ind w:left="80"/>
              <w:spacing w:after="0"/>
              <w:rPr>
                <w:sz w:val="20"/>
                <w:szCs w:val="20"/>
                <w:color w:val="auto"/>
              </w:rPr>
            </w:pPr>
            <w:r>
              <w:rPr>
                <w:rFonts w:ascii="Arial" w:cs="Arial" w:eastAsia="Arial" w:hAnsi="Arial"/>
                <w:sz w:val="17"/>
                <w:szCs w:val="17"/>
                <w:color w:val="3A4967"/>
              </w:rPr>
              <w:t>Operating expenses:</w:t>
            </w: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1"/>
        </w:trPr>
        <w:tc>
          <w:tcPr>
            <w:tcW w:w="4880" w:type="dxa"/>
            <w:vAlign w:val="bottom"/>
          </w:tcPr>
          <w:p>
            <w:pPr>
              <w:ind w:left="220"/>
              <w:spacing w:after="0"/>
              <w:rPr>
                <w:sz w:val="20"/>
                <w:szCs w:val="20"/>
                <w:color w:val="auto"/>
              </w:rPr>
            </w:pPr>
            <w:r>
              <w:rPr>
                <w:rFonts w:ascii="Arial" w:cs="Arial" w:eastAsia="Arial" w:hAnsi="Arial"/>
                <w:sz w:val="17"/>
                <w:szCs w:val="17"/>
                <w:color w:val="3A4967"/>
              </w:rPr>
              <w:t>Advertising, promotional, and selling expenses</w:t>
            </w:r>
          </w:p>
        </w:tc>
        <w:tc>
          <w:tcPr>
            <w:tcW w:w="800" w:type="dxa"/>
            <w:vAlign w:val="bottom"/>
          </w:tcPr>
          <w:p>
            <w:pPr>
              <w:spacing w:after="0"/>
              <w:rPr>
                <w:sz w:val="24"/>
                <w:szCs w:val="24"/>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552,033</w:t>
            </w:r>
          </w:p>
        </w:tc>
        <w:tc>
          <w:tcPr>
            <w:tcW w:w="780" w:type="dxa"/>
            <w:vAlign w:val="bottom"/>
          </w:tcPr>
          <w:p>
            <w:pPr>
              <w:spacing w:after="0"/>
              <w:rPr>
                <w:sz w:val="24"/>
                <w:szCs w:val="24"/>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555,998</w:t>
            </w:r>
          </w:p>
        </w:tc>
        <w:tc>
          <w:tcPr>
            <w:tcW w:w="7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578,400</w:t>
            </w:r>
          </w:p>
        </w:tc>
      </w:tr>
      <w:tr>
        <w:trPr>
          <w:trHeight w:val="281"/>
        </w:trPr>
        <w:tc>
          <w:tcPr>
            <w:tcW w:w="4880" w:type="dxa"/>
            <w:vAlign w:val="bottom"/>
          </w:tcPr>
          <w:p>
            <w:pPr>
              <w:ind w:left="220"/>
              <w:spacing w:after="0"/>
              <w:rPr>
                <w:sz w:val="20"/>
                <w:szCs w:val="20"/>
                <w:color w:val="auto"/>
              </w:rPr>
            </w:pPr>
            <w:r>
              <w:rPr>
                <w:rFonts w:ascii="Arial" w:cs="Arial" w:eastAsia="Arial" w:hAnsi="Arial"/>
                <w:sz w:val="17"/>
                <w:szCs w:val="17"/>
                <w:color w:val="3A4967"/>
              </w:rPr>
              <w:t>General and administrative expenses</w:t>
            </w:r>
          </w:p>
        </w:tc>
        <w:tc>
          <w:tcPr>
            <w:tcW w:w="800" w:type="dxa"/>
            <w:vAlign w:val="bottom"/>
          </w:tcPr>
          <w:p>
            <w:pPr>
              <w:spacing w:after="0"/>
              <w:rPr>
                <w:sz w:val="24"/>
                <w:szCs w:val="24"/>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189,906</w:t>
            </w:r>
          </w:p>
        </w:tc>
        <w:tc>
          <w:tcPr>
            <w:tcW w:w="780" w:type="dxa"/>
            <w:vAlign w:val="bottom"/>
          </w:tcPr>
          <w:p>
            <w:pPr>
              <w:spacing w:after="0"/>
              <w:rPr>
                <w:sz w:val="24"/>
                <w:szCs w:val="24"/>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174,548</w:t>
            </w:r>
          </w:p>
        </w:tc>
        <w:tc>
          <w:tcPr>
            <w:tcW w:w="7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157,534</w:t>
            </w:r>
          </w:p>
        </w:tc>
      </w:tr>
      <w:tr>
        <w:trPr>
          <w:trHeight w:val="281"/>
        </w:trPr>
        <w:tc>
          <w:tcPr>
            <w:tcW w:w="4880" w:type="dxa"/>
            <w:vAlign w:val="bottom"/>
          </w:tcPr>
          <w:p>
            <w:pPr>
              <w:ind w:left="220"/>
              <w:spacing w:after="0"/>
              <w:rPr>
                <w:sz w:val="20"/>
                <w:szCs w:val="20"/>
                <w:color w:val="auto"/>
              </w:rPr>
            </w:pPr>
            <w:r>
              <w:rPr>
                <w:rFonts w:ascii="Arial" w:cs="Arial" w:eastAsia="Arial" w:hAnsi="Arial"/>
                <w:sz w:val="17"/>
                <w:szCs w:val="17"/>
                <w:color w:val="3A4967"/>
              </w:rPr>
              <w:t>Impairment of intangible assets</w:t>
            </w:r>
          </w:p>
        </w:tc>
        <w:tc>
          <w:tcPr>
            <w:tcW w:w="800" w:type="dxa"/>
            <w:vAlign w:val="bottom"/>
          </w:tcPr>
          <w:p>
            <w:pPr>
              <w:spacing w:after="0"/>
              <w:rPr>
                <w:sz w:val="24"/>
                <w:szCs w:val="24"/>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42,584</w:t>
            </w:r>
          </w:p>
        </w:tc>
        <w:tc>
          <w:tcPr>
            <w:tcW w:w="780" w:type="dxa"/>
            <w:vAlign w:val="bottom"/>
          </w:tcPr>
          <w:p>
            <w:pPr>
              <w:spacing w:after="0"/>
              <w:rPr>
                <w:sz w:val="24"/>
                <w:szCs w:val="24"/>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16,426</w:t>
            </w:r>
          </w:p>
        </w:tc>
        <w:tc>
          <w:tcPr>
            <w:tcW w:w="7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27,100</w:t>
            </w:r>
          </w:p>
        </w:tc>
      </w:tr>
      <w:tr>
        <w:trPr>
          <w:trHeight w:val="281"/>
        </w:trPr>
        <w:tc>
          <w:tcPr>
            <w:tcW w:w="4880" w:type="dxa"/>
            <w:vAlign w:val="bottom"/>
          </w:tcPr>
          <w:p>
            <w:pPr>
              <w:ind w:left="220"/>
              <w:spacing w:after="0"/>
              <w:rPr>
                <w:sz w:val="20"/>
                <w:szCs w:val="20"/>
                <w:color w:val="auto"/>
              </w:rPr>
            </w:pPr>
            <w:r>
              <w:rPr>
                <w:rFonts w:ascii="Arial" w:cs="Arial" w:eastAsia="Arial" w:hAnsi="Arial"/>
                <w:sz w:val="17"/>
                <w:szCs w:val="17"/>
                <w:color w:val="3A4967"/>
              </w:rPr>
              <w:t>Impairment of brewery assets</w:t>
            </w:r>
          </w:p>
        </w:tc>
        <w:tc>
          <w:tcPr>
            <w:tcW w:w="800" w:type="dxa"/>
            <w:vAlign w:val="bottom"/>
          </w:tcPr>
          <w:p>
            <w:pPr>
              <w:spacing w:after="0"/>
              <w:rPr>
                <w:sz w:val="24"/>
                <w:szCs w:val="24"/>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7,184</w:t>
            </w:r>
          </w:p>
        </w:tc>
        <w:tc>
          <w:tcPr>
            <w:tcW w:w="780" w:type="dxa"/>
            <w:vAlign w:val="bottom"/>
          </w:tcPr>
          <w:p>
            <w:pPr>
              <w:spacing w:after="0"/>
              <w:rPr>
                <w:sz w:val="24"/>
                <w:szCs w:val="24"/>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5,396</w:t>
            </w:r>
          </w:p>
        </w:tc>
        <w:tc>
          <w:tcPr>
            <w:tcW w:w="7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2,782</w:t>
            </w:r>
          </w:p>
        </w:tc>
      </w:tr>
      <w:tr>
        <w:trPr>
          <w:trHeight w:val="281"/>
        </w:trPr>
        <w:tc>
          <w:tcPr>
            <w:tcW w:w="4880" w:type="dxa"/>
            <w:vAlign w:val="bottom"/>
          </w:tcPr>
          <w:p>
            <w:pPr>
              <w:ind w:left="220"/>
              <w:spacing w:after="0"/>
              <w:rPr>
                <w:sz w:val="20"/>
                <w:szCs w:val="20"/>
                <w:color w:val="auto"/>
              </w:rPr>
            </w:pPr>
            <w:r>
              <w:rPr>
                <w:rFonts w:ascii="Arial" w:cs="Arial" w:eastAsia="Arial" w:hAnsi="Arial"/>
                <w:sz w:val="17"/>
                <w:szCs w:val="17"/>
                <w:color w:val="3A4967"/>
              </w:rPr>
              <w:t>Contract settlement costs</w:t>
            </w:r>
          </w:p>
        </w:tc>
        <w:tc>
          <w:tcPr>
            <w:tcW w:w="800" w:type="dxa"/>
            <w:vAlign w:val="bottom"/>
          </w:tcPr>
          <w:p>
            <w:pPr>
              <w:spacing w:after="0"/>
              <w:rPr>
                <w:sz w:val="24"/>
                <w:szCs w:val="24"/>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26,052</w:t>
            </w:r>
          </w:p>
        </w:tc>
        <w:tc>
          <w:tcPr>
            <w:tcW w:w="780" w:type="dxa"/>
            <w:vAlign w:val="bottom"/>
          </w:tcPr>
          <w:p>
            <w:pPr>
              <w:spacing w:after="0"/>
              <w:rPr>
                <w:sz w:val="24"/>
                <w:szCs w:val="24"/>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w:t>
            </w:r>
          </w:p>
        </w:tc>
        <w:tc>
          <w:tcPr>
            <w:tcW w:w="7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5,379</w:t>
            </w:r>
          </w:p>
        </w:tc>
      </w:tr>
      <w:tr>
        <w:trPr>
          <w:trHeight w:val="35"/>
        </w:trPr>
        <w:tc>
          <w:tcPr>
            <w:tcW w:w="488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r>
      <w:tr>
        <w:trPr>
          <w:trHeight w:val="226"/>
        </w:trPr>
        <w:tc>
          <w:tcPr>
            <w:tcW w:w="4880" w:type="dxa"/>
            <w:vAlign w:val="bottom"/>
          </w:tcPr>
          <w:p>
            <w:pPr>
              <w:ind w:left="360"/>
              <w:spacing w:after="0"/>
              <w:rPr>
                <w:sz w:val="20"/>
                <w:szCs w:val="20"/>
                <w:color w:val="auto"/>
              </w:rPr>
            </w:pPr>
            <w:r>
              <w:rPr>
                <w:rFonts w:ascii="Arial" w:cs="Arial" w:eastAsia="Arial" w:hAnsi="Arial"/>
                <w:sz w:val="17"/>
                <w:szCs w:val="17"/>
                <w:color w:val="3A4967"/>
              </w:rPr>
              <w:t>Total operating expenses</w:t>
            </w:r>
          </w:p>
        </w:tc>
        <w:tc>
          <w:tcPr>
            <w:tcW w:w="80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817,759</w:t>
            </w:r>
          </w:p>
        </w:tc>
        <w:tc>
          <w:tcPr>
            <w:tcW w:w="78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752,368</w:t>
            </w:r>
          </w:p>
        </w:tc>
        <w:tc>
          <w:tcPr>
            <w:tcW w:w="7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771,195</w:t>
            </w:r>
          </w:p>
        </w:tc>
      </w:tr>
      <w:tr>
        <w:trPr>
          <w:trHeight w:val="35"/>
        </w:trPr>
        <w:tc>
          <w:tcPr>
            <w:tcW w:w="488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r>
      <w:tr>
        <w:trPr>
          <w:trHeight w:val="226"/>
        </w:trPr>
        <w:tc>
          <w:tcPr>
            <w:tcW w:w="4880" w:type="dxa"/>
            <w:vAlign w:val="bottom"/>
          </w:tcPr>
          <w:p>
            <w:pPr>
              <w:ind w:left="80"/>
              <w:spacing w:after="0"/>
              <w:rPr>
                <w:sz w:val="20"/>
                <w:szCs w:val="20"/>
                <w:color w:val="auto"/>
              </w:rPr>
            </w:pPr>
            <w:r>
              <w:rPr>
                <w:rFonts w:ascii="Arial" w:cs="Arial" w:eastAsia="Arial" w:hAnsi="Arial"/>
                <w:sz w:val="17"/>
                <w:szCs w:val="17"/>
                <w:color w:val="3A4967"/>
              </w:rPr>
              <w:t>Operating income</w:t>
            </w:r>
          </w:p>
        </w:tc>
        <w:tc>
          <w:tcPr>
            <w:tcW w:w="80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75,973</w:t>
            </w:r>
          </w:p>
        </w:tc>
        <w:tc>
          <w:tcPr>
            <w:tcW w:w="78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100,001</w:t>
            </w:r>
          </w:p>
        </w:tc>
        <w:tc>
          <w:tcPr>
            <w:tcW w:w="7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90,791</w:t>
            </w:r>
          </w:p>
        </w:tc>
      </w:tr>
      <w:tr>
        <w:trPr>
          <w:trHeight w:val="281"/>
        </w:trPr>
        <w:tc>
          <w:tcPr>
            <w:tcW w:w="4880" w:type="dxa"/>
            <w:vAlign w:val="bottom"/>
          </w:tcPr>
          <w:p>
            <w:pPr>
              <w:ind w:left="80"/>
              <w:spacing w:after="0"/>
              <w:rPr>
                <w:sz w:val="20"/>
                <w:szCs w:val="20"/>
                <w:color w:val="auto"/>
              </w:rPr>
            </w:pPr>
            <w:r>
              <w:rPr>
                <w:rFonts w:ascii="Arial" w:cs="Arial" w:eastAsia="Arial" w:hAnsi="Arial"/>
                <w:sz w:val="17"/>
                <w:szCs w:val="17"/>
                <w:color w:val="3A4967"/>
              </w:rPr>
              <w:t>Other income, net:</w:t>
            </w: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1"/>
        </w:trPr>
        <w:tc>
          <w:tcPr>
            <w:tcW w:w="4880" w:type="dxa"/>
            <w:vAlign w:val="bottom"/>
          </w:tcPr>
          <w:p>
            <w:pPr>
              <w:ind w:left="220"/>
              <w:spacing w:after="0"/>
              <w:rPr>
                <w:sz w:val="20"/>
                <w:szCs w:val="20"/>
                <w:color w:val="auto"/>
              </w:rPr>
            </w:pPr>
            <w:r>
              <w:rPr>
                <w:rFonts w:ascii="Arial" w:cs="Arial" w:eastAsia="Arial" w:hAnsi="Arial"/>
                <w:sz w:val="17"/>
                <w:szCs w:val="17"/>
                <w:color w:val="3A4967"/>
              </w:rPr>
              <w:t>Interest income, net</w:t>
            </w:r>
          </w:p>
        </w:tc>
        <w:tc>
          <w:tcPr>
            <w:tcW w:w="800" w:type="dxa"/>
            <w:vAlign w:val="bottom"/>
          </w:tcPr>
          <w:p>
            <w:pPr>
              <w:spacing w:after="0"/>
              <w:rPr>
                <w:sz w:val="24"/>
                <w:szCs w:val="24"/>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13,249</w:t>
            </w:r>
          </w:p>
        </w:tc>
        <w:tc>
          <w:tcPr>
            <w:tcW w:w="780" w:type="dxa"/>
            <w:vAlign w:val="bottom"/>
          </w:tcPr>
          <w:p>
            <w:pPr>
              <w:spacing w:after="0"/>
              <w:rPr>
                <w:sz w:val="24"/>
                <w:szCs w:val="24"/>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10,995</w:t>
            </w:r>
          </w:p>
        </w:tc>
        <w:tc>
          <w:tcPr>
            <w:tcW w:w="7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2,561</w:t>
            </w:r>
          </w:p>
        </w:tc>
      </w:tr>
      <w:tr>
        <w:trPr>
          <w:trHeight w:val="281"/>
        </w:trPr>
        <w:tc>
          <w:tcPr>
            <w:tcW w:w="4880" w:type="dxa"/>
            <w:vAlign w:val="bottom"/>
          </w:tcPr>
          <w:p>
            <w:pPr>
              <w:ind w:left="220"/>
              <w:spacing w:after="0"/>
              <w:rPr>
                <w:sz w:val="20"/>
                <w:szCs w:val="20"/>
                <w:color w:val="auto"/>
              </w:rPr>
            </w:pPr>
            <w:r>
              <w:rPr>
                <w:rFonts w:ascii="Arial" w:cs="Arial" w:eastAsia="Arial" w:hAnsi="Arial"/>
                <w:sz w:val="17"/>
                <w:szCs w:val="17"/>
                <w:color w:val="3A4967"/>
              </w:rPr>
              <w:t>other</w:t>
            </w:r>
          </w:p>
        </w:tc>
        <w:tc>
          <w:tcPr>
            <w:tcW w:w="800" w:type="dxa"/>
            <w:vAlign w:val="bottom"/>
          </w:tcPr>
          <w:p>
            <w:pPr>
              <w:spacing w:after="0"/>
              <w:rPr>
                <w:sz w:val="24"/>
                <w:szCs w:val="24"/>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3A4967"/>
              </w:rPr>
              <w:t>(1,620)</w:t>
            </w:r>
          </w:p>
        </w:tc>
        <w:tc>
          <w:tcPr>
            <w:tcW w:w="780" w:type="dxa"/>
            <w:vAlign w:val="bottom"/>
          </w:tcPr>
          <w:p>
            <w:pPr>
              <w:spacing w:after="0"/>
              <w:rPr>
                <w:sz w:val="24"/>
                <w:szCs w:val="24"/>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3A4967"/>
              </w:rPr>
              <w:t>(1,408)</w:t>
            </w:r>
          </w:p>
        </w:tc>
        <w:tc>
          <w:tcPr>
            <w:tcW w:w="7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3A4967"/>
              </w:rPr>
              <w:t>(1,916)</w:t>
            </w:r>
          </w:p>
        </w:tc>
      </w:tr>
      <w:tr>
        <w:trPr>
          <w:trHeight w:val="35"/>
        </w:trPr>
        <w:tc>
          <w:tcPr>
            <w:tcW w:w="488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r>
      <w:tr>
        <w:trPr>
          <w:trHeight w:val="226"/>
        </w:trPr>
        <w:tc>
          <w:tcPr>
            <w:tcW w:w="4880" w:type="dxa"/>
            <w:vAlign w:val="bottom"/>
          </w:tcPr>
          <w:p>
            <w:pPr>
              <w:ind w:left="360"/>
              <w:spacing w:after="0"/>
              <w:rPr>
                <w:sz w:val="20"/>
                <w:szCs w:val="20"/>
                <w:color w:val="auto"/>
              </w:rPr>
            </w:pPr>
            <w:r>
              <w:rPr>
                <w:rFonts w:ascii="Arial" w:cs="Arial" w:eastAsia="Arial" w:hAnsi="Arial"/>
                <w:sz w:val="17"/>
                <w:szCs w:val="17"/>
                <w:color w:val="3A4967"/>
              </w:rPr>
              <w:t>Total other income, net</w:t>
            </w:r>
          </w:p>
        </w:tc>
        <w:tc>
          <w:tcPr>
            <w:tcW w:w="80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11,629</w:t>
            </w:r>
          </w:p>
        </w:tc>
        <w:tc>
          <w:tcPr>
            <w:tcW w:w="78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9,587</w:t>
            </w:r>
          </w:p>
        </w:tc>
        <w:tc>
          <w:tcPr>
            <w:tcW w:w="7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645</w:t>
            </w:r>
          </w:p>
        </w:tc>
      </w:tr>
      <w:tr>
        <w:trPr>
          <w:trHeight w:val="35"/>
        </w:trPr>
        <w:tc>
          <w:tcPr>
            <w:tcW w:w="488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r>
      <w:tr>
        <w:trPr>
          <w:trHeight w:val="226"/>
        </w:trPr>
        <w:tc>
          <w:tcPr>
            <w:tcW w:w="4880" w:type="dxa"/>
            <w:vAlign w:val="bottom"/>
          </w:tcPr>
          <w:p>
            <w:pPr>
              <w:ind w:left="80"/>
              <w:spacing w:after="0"/>
              <w:rPr>
                <w:sz w:val="20"/>
                <w:szCs w:val="20"/>
                <w:color w:val="auto"/>
              </w:rPr>
            </w:pPr>
            <w:r>
              <w:rPr>
                <w:rFonts w:ascii="Arial" w:cs="Arial" w:eastAsia="Arial" w:hAnsi="Arial"/>
                <w:sz w:val="17"/>
                <w:szCs w:val="17"/>
                <w:color w:val="3A4967"/>
              </w:rPr>
              <w:t>Income before income tax provision</w:t>
            </w:r>
          </w:p>
        </w:tc>
        <w:tc>
          <w:tcPr>
            <w:tcW w:w="80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87,602</w:t>
            </w:r>
          </w:p>
        </w:tc>
        <w:tc>
          <w:tcPr>
            <w:tcW w:w="78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109,588</w:t>
            </w:r>
          </w:p>
        </w:tc>
        <w:tc>
          <w:tcPr>
            <w:tcW w:w="7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91,436</w:t>
            </w:r>
          </w:p>
        </w:tc>
      </w:tr>
      <w:tr>
        <w:trPr>
          <w:trHeight w:val="281"/>
        </w:trPr>
        <w:tc>
          <w:tcPr>
            <w:tcW w:w="4880" w:type="dxa"/>
            <w:vAlign w:val="bottom"/>
          </w:tcPr>
          <w:p>
            <w:pPr>
              <w:ind w:left="80"/>
              <w:spacing w:after="0"/>
              <w:rPr>
                <w:sz w:val="20"/>
                <w:szCs w:val="20"/>
                <w:color w:val="auto"/>
              </w:rPr>
            </w:pPr>
            <w:r>
              <w:rPr>
                <w:rFonts w:ascii="Arial" w:cs="Arial" w:eastAsia="Arial" w:hAnsi="Arial"/>
                <w:sz w:val="17"/>
                <w:szCs w:val="17"/>
                <w:color w:val="3A4967"/>
              </w:rPr>
              <w:t>Income tax provision</w:t>
            </w:r>
          </w:p>
        </w:tc>
        <w:tc>
          <w:tcPr>
            <w:tcW w:w="800" w:type="dxa"/>
            <w:vAlign w:val="bottom"/>
          </w:tcPr>
          <w:p>
            <w:pPr>
              <w:spacing w:after="0"/>
              <w:rPr>
                <w:sz w:val="24"/>
                <w:szCs w:val="24"/>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27,907</w:t>
            </w:r>
          </w:p>
        </w:tc>
        <w:tc>
          <w:tcPr>
            <w:tcW w:w="780" w:type="dxa"/>
            <w:vAlign w:val="bottom"/>
          </w:tcPr>
          <w:p>
            <w:pPr>
              <w:spacing w:after="0"/>
              <w:rPr>
                <w:sz w:val="24"/>
                <w:szCs w:val="24"/>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33,338</w:t>
            </w:r>
          </w:p>
        </w:tc>
        <w:tc>
          <w:tcPr>
            <w:tcW w:w="7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24,173</w:t>
            </w:r>
          </w:p>
        </w:tc>
      </w:tr>
      <w:tr>
        <w:trPr>
          <w:trHeight w:val="35"/>
        </w:trPr>
        <w:tc>
          <w:tcPr>
            <w:tcW w:w="488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r>
      <w:tr>
        <w:trPr>
          <w:trHeight w:val="230"/>
        </w:trPr>
        <w:tc>
          <w:tcPr>
            <w:tcW w:w="4880" w:type="dxa"/>
            <w:vAlign w:val="bottom"/>
          </w:tcPr>
          <w:p>
            <w:pPr>
              <w:ind w:left="80"/>
              <w:spacing w:after="0"/>
              <w:rPr>
                <w:sz w:val="20"/>
                <w:szCs w:val="20"/>
                <w:color w:val="auto"/>
              </w:rPr>
            </w:pPr>
            <w:r>
              <w:rPr>
                <w:rFonts w:ascii="Arial" w:cs="Arial" w:eastAsia="Arial" w:hAnsi="Arial"/>
                <w:sz w:val="17"/>
                <w:szCs w:val="17"/>
                <w:b w:val="1"/>
                <w:bCs w:val="1"/>
                <w:color w:val="3A4967"/>
              </w:rPr>
              <w:t>NET INCOME</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3A4967"/>
              </w:rPr>
              <w:t>$</w:t>
            </w: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59,695</w:t>
            </w:r>
          </w:p>
        </w:tc>
        <w:tc>
          <w:tcPr>
            <w:tcW w:w="780" w:type="dxa"/>
            <w:vAlign w:val="bottom"/>
          </w:tcPr>
          <w:p>
            <w:pPr>
              <w:jc w:val="right"/>
              <w:spacing w:after="0"/>
              <w:rPr>
                <w:sz w:val="20"/>
                <w:szCs w:val="20"/>
                <w:color w:val="auto"/>
              </w:rPr>
            </w:pPr>
            <w:r>
              <w:rPr>
                <w:rFonts w:ascii="Arial" w:cs="Arial" w:eastAsia="Arial" w:hAnsi="Arial"/>
                <w:sz w:val="17"/>
                <w:szCs w:val="17"/>
                <w:color w:val="3A4967"/>
              </w:rPr>
              <w:t>$</w:t>
            </w: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76,250</w:t>
            </w:r>
          </w:p>
        </w:tc>
        <w:tc>
          <w:tcPr>
            <w:tcW w:w="720" w:type="dxa"/>
            <w:vAlign w:val="bottom"/>
          </w:tcPr>
          <w:p>
            <w:pPr>
              <w:jc w:val="right"/>
              <w:ind w:right="16"/>
              <w:spacing w:after="0"/>
              <w:rPr>
                <w:sz w:val="20"/>
                <w:szCs w:val="20"/>
                <w:color w:val="auto"/>
              </w:rPr>
            </w:pPr>
            <w:r>
              <w:rPr>
                <w:rFonts w:ascii="Arial" w:cs="Arial" w:eastAsia="Arial" w:hAnsi="Arial"/>
                <w:sz w:val="17"/>
                <w:szCs w:val="17"/>
                <w:color w:val="3A4967"/>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67,263</w:t>
            </w:r>
          </w:p>
        </w:tc>
      </w:tr>
      <w:tr>
        <w:trPr>
          <w:trHeight w:val="31"/>
        </w:trPr>
        <w:tc>
          <w:tcPr>
            <w:tcW w:w="4880" w:type="dxa"/>
            <w:vAlign w:val="bottom"/>
            <w:tcBorders>
              <w:bottom w:val="single" w:sz="8" w:color="3A4967"/>
            </w:tcBorders>
          </w:tcPr>
          <w:p>
            <w:pPr>
              <w:spacing w:after="0"/>
              <w:rPr>
                <w:sz w:val="2"/>
                <w:szCs w:val="2"/>
                <w:color w:val="auto"/>
              </w:rPr>
            </w:pPr>
          </w:p>
        </w:tc>
        <w:tc>
          <w:tcPr>
            <w:tcW w:w="800" w:type="dxa"/>
            <w:vAlign w:val="bottom"/>
            <w:tcBorders>
              <w:bottom w:val="single" w:sz="8" w:color="3A4967"/>
            </w:tcBorders>
          </w:tcPr>
          <w:p>
            <w:pPr>
              <w:spacing w:after="0"/>
              <w:rPr>
                <w:sz w:val="2"/>
                <w:szCs w:val="2"/>
                <w:color w:val="auto"/>
              </w:rPr>
            </w:pPr>
          </w:p>
        </w:tc>
        <w:tc>
          <w:tcPr>
            <w:tcW w:w="1040" w:type="dxa"/>
            <w:vAlign w:val="bottom"/>
            <w:tcBorders>
              <w:bottom w:val="single" w:sz="8" w:color="3A4967"/>
            </w:tcBorders>
          </w:tcPr>
          <w:p>
            <w:pPr>
              <w:spacing w:after="0"/>
              <w:rPr>
                <w:sz w:val="2"/>
                <w:szCs w:val="2"/>
                <w:color w:val="auto"/>
              </w:rPr>
            </w:pPr>
          </w:p>
        </w:tc>
        <w:tc>
          <w:tcPr>
            <w:tcW w:w="780" w:type="dxa"/>
            <w:vAlign w:val="bottom"/>
            <w:tcBorders>
              <w:bottom w:val="single" w:sz="8" w:color="3A4967"/>
            </w:tcBorders>
          </w:tcPr>
          <w:p>
            <w:pPr>
              <w:spacing w:after="0"/>
              <w:rPr>
                <w:sz w:val="2"/>
                <w:szCs w:val="2"/>
                <w:color w:val="auto"/>
              </w:rPr>
            </w:pPr>
          </w:p>
        </w:tc>
        <w:tc>
          <w:tcPr>
            <w:tcW w:w="1000" w:type="dxa"/>
            <w:vAlign w:val="bottom"/>
            <w:tcBorders>
              <w:bottom w:val="single" w:sz="8" w:color="3A4967"/>
            </w:tcBorders>
          </w:tcPr>
          <w:p>
            <w:pPr>
              <w:spacing w:after="0"/>
              <w:rPr>
                <w:sz w:val="2"/>
                <w:szCs w:val="2"/>
                <w:color w:val="auto"/>
              </w:rPr>
            </w:pPr>
          </w:p>
        </w:tc>
        <w:tc>
          <w:tcPr>
            <w:tcW w:w="720" w:type="dxa"/>
            <w:vAlign w:val="bottom"/>
            <w:tcBorders>
              <w:bottom w:val="single" w:sz="8" w:color="3A4967"/>
            </w:tcBorders>
          </w:tcPr>
          <w:p>
            <w:pPr>
              <w:spacing w:after="0"/>
              <w:rPr>
                <w:sz w:val="2"/>
                <w:szCs w:val="2"/>
                <w:color w:val="auto"/>
              </w:rPr>
            </w:pPr>
          </w:p>
        </w:tc>
        <w:tc>
          <w:tcPr>
            <w:tcW w:w="840" w:type="dxa"/>
            <w:vAlign w:val="bottom"/>
            <w:tcBorders>
              <w:bottom w:val="single" w:sz="8" w:color="3A4967"/>
            </w:tcBorders>
          </w:tcPr>
          <w:p>
            <w:pPr>
              <w:spacing w:after="0"/>
              <w:rPr>
                <w:sz w:val="2"/>
                <w:szCs w:val="2"/>
                <w:color w:val="auto"/>
              </w:rPr>
            </w:pPr>
          </w:p>
        </w:tc>
        <w:tc>
          <w:tcPr>
            <w:tcW w:w="100" w:type="dxa"/>
            <w:vAlign w:val="bottom"/>
            <w:tcBorders>
              <w:bottom w:val="single" w:sz="8" w:color="3A4967"/>
            </w:tcBorders>
          </w:tcPr>
          <w:p>
            <w:pPr>
              <w:spacing w:after="0"/>
              <w:rPr>
                <w:sz w:val="2"/>
                <w:szCs w:val="2"/>
                <w:color w:val="auto"/>
              </w:rPr>
            </w:pPr>
          </w:p>
        </w:tc>
      </w:tr>
      <w:tr>
        <w:trPr>
          <w:trHeight w:val="230"/>
        </w:trPr>
        <w:tc>
          <w:tcPr>
            <w:tcW w:w="4880" w:type="dxa"/>
            <w:vAlign w:val="bottom"/>
          </w:tcPr>
          <w:p>
            <w:pPr>
              <w:ind w:left="80"/>
              <w:spacing w:after="0"/>
              <w:rPr>
                <w:sz w:val="20"/>
                <w:szCs w:val="20"/>
                <w:color w:val="auto"/>
              </w:rPr>
            </w:pPr>
            <w:r>
              <w:rPr>
                <w:rFonts w:ascii="Arial" w:cs="Arial" w:eastAsia="Arial" w:hAnsi="Arial"/>
                <w:sz w:val="17"/>
                <w:szCs w:val="17"/>
                <w:b w:val="1"/>
                <w:bCs w:val="1"/>
                <w:color w:val="3A4967"/>
              </w:rPr>
              <w:t>NET INCOME PER COMMON SHARE — BASIC</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3A4967"/>
              </w:rPr>
              <w:t>$</w:t>
            </w: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5.07</w:t>
            </w:r>
          </w:p>
        </w:tc>
        <w:tc>
          <w:tcPr>
            <w:tcW w:w="780" w:type="dxa"/>
            <w:vAlign w:val="bottom"/>
          </w:tcPr>
          <w:p>
            <w:pPr>
              <w:jc w:val="right"/>
              <w:spacing w:after="0"/>
              <w:rPr>
                <w:sz w:val="20"/>
                <w:szCs w:val="20"/>
                <w:color w:val="auto"/>
              </w:rPr>
            </w:pPr>
            <w:r>
              <w:rPr>
                <w:rFonts w:ascii="Arial" w:cs="Arial" w:eastAsia="Arial" w:hAnsi="Arial"/>
                <w:sz w:val="17"/>
                <w:szCs w:val="17"/>
                <w:color w:val="3A4967"/>
              </w:rPr>
              <w:t>$</w:t>
            </w: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6.23</w:t>
            </w:r>
          </w:p>
        </w:tc>
        <w:tc>
          <w:tcPr>
            <w:tcW w:w="720" w:type="dxa"/>
            <w:vAlign w:val="bottom"/>
          </w:tcPr>
          <w:p>
            <w:pPr>
              <w:jc w:val="right"/>
              <w:ind w:right="16"/>
              <w:spacing w:after="0"/>
              <w:rPr>
                <w:sz w:val="20"/>
                <w:szCs w:val="20"/>
                <w:color w:val="auto"/>
              </w:rPr>
            </w:pPr>
            <w:r>
              <w:rPr>
                <w:rFonts w:ascii="Arial" w:cs="Arial" w:eastAsia="Arial" w:hAnsi="Arial"/>
                <w:sz w:val="17"/>
                <w:szCs w:val="17"/>
                <w:color w:val="3A4967"/>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5.46</w:t>
            </w:r>
          </w:p>
        </w:tc>
      </w:tr>
      <w:tr>
        <w:trPr>
          <w:trHeight w:val="31"/>
        </w:trPr>
        <w:tc>
          <w:tcPr>
            <w:tcW w:w="4880" w:type="dxa"/>
            <w:vAlign w:val="bottom"/>
            <w:tcBorders>
              <w:bottom w:val="single" w:sz="8" w:color="3A4967"/>
            </w:tcBorders>
          </w:tcPr>
          <w:p>
            <w:pPr>
              <w:spacing w:after="0"/>
              <w:rPr>
                <w:sz w:val="2"/>
                <w:szCs w:val="2"/>
                <w:color w:val="auto"/>
              </w:rPr>
            </w:pPr>
          </w:p>
        </w:tc>
        <w:tc>
          <w:tcPr>
            <w:tcW w:w="800" w:type="dxa"/>
            <w:vAlign w:val="bottom"/>
            <w:tcBorders>
              <w:bottom w:val="single" w:sz="8" w:color="3A4967"/>
            </w:tcBorders>
          </w:tcPr>
          <w:p>
            <w:pPr>
              <w:spacing w:after="0"/>
              <w:rPr>
                <w:sz w:val="2"/>
                <w:szCs w:val="2"/>
                <w:color w:val="auto"/>
              </w:rPr>
            </w:pPr>
          </w:p>
        </w:tc>
        <w:tc>
          <w:tcPr>
            <w:tcW w:w="1040" w:type="dxa"/>
            <w:vAlign w:val="bottom"/>
            <w:tcBorders>
              <w:bottom w:val="single" w:sz="8" w:color="3A4967"/>
            </w:tcBorders>
          </w:tcPr>
          <w:p>
            <w:pPr>
              <w:spacing w:after="0"/>
              <w:rPr>
                <w:sz w:val="2"/>
                <w:szCs w:val="2"/>
                <w:color w:val="auto"/>
              </w:rPr>
            </w:pPr>
          </w:p>
        </w:tc>
        <w:tc>
          <w:tcPr>
            <w:tcW w:w="780" w:type="dxa"/>
            <w:vAlign w:val="bottom"/>
            <w:tcBorders>
              <w:bottom w:val="single" w:sz="8" w:color="3A4967"/>
            </w:tcBorders>
          </w:tcPr>
          <w:p>
            <w:pPr>
              <w:spacing w:after="0"/>
              <w:rPr>
                <w:sz w:val="2"/>
                <w:szCs w:val="2"/>
                <w:color w:val="auto"/>
              </w:rPr>
            </w:pPr>
          </w:p>
        </w:tc>
        <w:tc>
          <w:tcPr>
            <w:tcW w:w="1000" w:type="dxa"/>
            <w:vAlign w:val="bottom"/>
            <w:tcBorders>
              <w:bottom w:val="single" w:sz="8" w:color="3A4967"/>
            </w:tcBorders>
          </w:tcPr>
          <w:p>
            <w:pPr>
              <w:spacing w:after="0"/>
              <w:rPr>
                <w:sz w:val="2"/>
                <w:szCs w:val="2"/>
                <w:color w:val="auto"/>
              </w:rPr>
            </w:pPr>
          </w:p>
        </w:tc>
        <w:tc>
          <w:tcPr>
            <w:tcW w:w="720" w:type="dxa"/>
            <w:vAlign w:val="bottom"/>
            <w:tcBorders>
              <w:bottom w:val="single" w:sz="8" w:color="3A4967"/>
            </w:tcBorders>
          </w:tcPr>
          <w:p>
            <w:pPr>
              <w:spacing w:after="0"/>
              <w:rPr>
                <w:sz w:val="2"/>
                <w:szCs w:val="2"/>
                <w:color w:val="auto"/>
              </w:rPr>
            </w:pPr>
          </w:p>
        </w:tc>
        <w:tc>
          <w:tcPr>
            <w:tcW w:w="840" w:type="dxa"/>
            <w:vAlign w:val="bottom"/>
            <w:tcBorders>
              <w:bottom w:val="single" w:sz="8" w:color="3A4967"/>
            </w:tcBorders>
          </w:tcPr>
          <w:p>
            <w:pPr>
              <w:spacing w:after="0"/>
              <w:rPr>
                <w:sz w:val="2"/>
                <w:szCs w:val="2"/>
                <w:color w:val="auto"/>
              </w:rPr>
            </w:pPr>
          </w:p>
        </w:tc>
        <w:tc>
          <w:tcPr>
            <w:tcW w:w="100" w:type="dxa"/>
            <w:vAlign w:val="bottom"/>
            <w:tcBorders>
              <w:bottom w:val="single" w:sz="8" w:color="3A4967"/>
            </w:tcBorders>
          </w:tcPr>
          <w:p>
            <w:pPr>
              <w:spacing w:after="0"/>
              <w:rPr>
                <w:sz w:val="2"/>
                <w:szCs w:val="2"/>
                <w:color w:val="auto"/>
              </w:rPr>
            </w:pPr>
          </w:p>
        </w:tc>
      </w:tr>
      <w:tr>
        <w:trPr>
          <w:trHeight w:val="230"/>
        </w:trPr>
        <w:tc>
          <w:tcPr>
            <w:tcW w:w="4880" w:type="dxa"/>
            <w:vAlign w:val="bottom"/>
          </w:tcPr>
          <w:p>
            <w:pPr>
              <w:ind w:left="80"/>
              <w:spacing w:after="0"/>
              <w:rPr>
                <w:sz w:val="20"/>
                <w:szCs w:val="20"/>
                <w:color w:val="auto"/>
              </w:rPr>
            </w:pPr>
            <w:r>
              <w:rPr>
                <w:rFonts w:ascii="Arial" w:cs="Arial" w:eastAsia="Arial" w:hAnsi="Arial"/>
                <w:sz w:val="17"/>
                <w:szCs w:val="17"/>
                <w:b w:val="1"/>
                <w:bCs w:val="1"/>
                <w:color w:val="3A4967"/>
              </w:rPr>
              <w:t>NET INCOME PER COMMON SHARE — DILUTED</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3A4967"/>
              </w:rPr>
              <w:t>$</w:t>
            </w: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5.06</w:t>
            </w:r>
          </w:p>
        </w:tc>
        <w:tc>
          <w:tcPr>
            <w:tcW w:w="780" w:type="dxa"/>
            <w:vAlign w:val="bottom"/>
          </w:tcPr>
          <w:p>
            <w:pPr>
              <w:jc w:val="right"/>
              <w:spacing w:after="0"/>
              <w:rPr>
                <w:sz w:val="20"/>
                <w:szCs w:val="20"/>
                <w:color w:val="auto"/>
              </w:rPr>
            </w:pPr>
            <w:r>
              <w:rPr>
                <w:rFonts w:ascii="Arial" w:cs="Arial" w:eastAsia="Arial" w:hAnsi="Arial"/>
                <w:sz w:val="17"/>
                <w:szCs w:val="17"/>
                <w:color w:val="3A4967"/>
              </w:rPr>
              <w:t>$</w:t>
            </w: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6.21</w:t>
            </w:r>
          </w:p>
        </w:tc>
        <w:tc>
          <w:tcPr>
            <w:tcW w:w="720" w:type="dxa"/>
            <w:vAlign w:val="bottom"/>
          </w:tcPr>
          <w:p>
            <w:pPr>
              <w:jc w:val="right"/>
              <w:ind w:right="16"/>
              <w:spacing w:after="0"/>
              <w:rPr>
                <w:sz w:val="20"/>
                <w:szCs w:val="20"/>
                <w:color w:val="auto"/>
              </w:rPr>
            </w:pPr>
            <w:r>
              <w:rPr>
                <w:rFonts w:ascii="Arial" w:cs="Arial" w:eastAsia="Arial" w:hAnsi="Arial"/>
                <w:sz w:val="17"/>
                <w:szCs w:val="17"/>
                <w:color w:val="3A4967"/>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5.44</w:t>
            </w:r>
          </w:p>
        </w:tc>
      </w:tr>
      <w:tr>
        <w:trPr>
          <w:trHeight w:val="31"/>
        </w:trPr>
        <w:tc>
          <w:tcPr>
            <w:tcW w:w="4880" w:type="dxa"/>
            <w:vAlign w:val="bottom"/>
            <w:tcBorders>
              <w:bottom w:val="single" w:sz="8" w:color="3A4967"/>
            </w:tcBorders>
          </w:tcPr>
          <w:p>
            <w:pPr>
              <w:spacing w:after="0"/>
              <w:rPr>
                <w:sz w:val="2"/>
                <w:szCs w:val="2"/>
                <w:color w:val="auto"/>
              </w:rPr>
            </w:pPr>
          </w:p>
        </w:tc>
        <w:tc>
          <w:tcPr>
            <w:tcW w:w="800" w:type="dxa"/>
            <w:vAlign w:val="bottom"/>
            <w:tcBorders>
              <w:bottom w:val="single" w:sz="8" w:color="3A4967"/>
            </w:tcBorders>
          </w:tcPr>
          <w:p>
            <w:pPr>
              <w:spacing w:after="0"/>
              <w:rPr>
                <w:sz w:val="2"/>
                <w:szCs w:val="2"/>
                <w:color w:val="auto"/>
              </w:rPr>
            </w:pPr>
          </w:p>
        </w:tc>
        <w:tc>
          <w:tcPr>
            <w:tcW w:w="1040" w:type="dxa"/>
            <w:vAlign w:val="bottom"/>
            <w:tcBorders>
              <w:bottom w:val="single" w:sz="8" w:color="3A4967"/>
            </w:tcBorders>
          </w:tcPr>
          <w:p>
            <w:pPr>
              <w:spacing w:after="0"/>
              <w:rPr>
                <w:sz w:val="2"/>
                <w:szCs w:val="2"/>
                <w:color w:val="auto"/>
              </w:rPr>
            </w:pPr>
          </w:p>
        </w:tc>
        <w:tc>
          <w:tcPr>
            <w:tcW w:w="780" w:type="dxa"/>
            <w:vAlign w:val="bottom"/>
            <w:tcBorders>
              <w:bottom w:val="single" w:sz="8" w:color="3A4967"/>
            </w:tcBorders>
          </w:tcPr>
          <w:p>
            <w:pPr>
              <w:spacing w:after="0"/>
              <w:rPr>
                <w:sz w:val="2"/>
                <w:szCs w:val="2"/>
                <w:color w:val="auto"/>
              </w:rPr>
            </w:pPr>
          </w:p>
        </w:tc>
        <w:tc>
          <w:tcPr>
            <w:tcW w:w="1000" w:type="dxa"/>
            <w:vAlign w:val="bottom"/>
            <w:tcBorders>
              <w:bottom w:val="single" w:sz="8" w:color="3A4967"/>
            </w:tcBorders>
          </w:tcPr>
          <w:p>
            <w:pPr>
              <w:spacing w:after="0"/>
              <w:rPr>
                <w:sz w:val="2"/>
                <w:szCs w:val="2"/>
                <w:color w:val="auto"/>
              </w:rPr>
            </w:pPr>
          </w:p>
        </w:tc>
        <w:tc>
          <w:tcPr>
            <w:tcW w:w="720" w:type="dxa"/>
            <w:vAlign w:val="bottom"/>
            <w:tcBorders>
              <w:bottom w:val="single" w:sz="8" w:color="3A4967"/>
            </w:tcBorders>
          </w:tcPr>
          <w:p>
            <w:pPr>
              <w:spacing w:after="0"/>
              <w:rPr>
                <w:sz w:val="2"/>
                <w:szCs w:val="2"/>
                <w:color w:val="auto"/>
              </w:rPr>
            </w:pPr>
          </w:p>
        </w:tc>
        <w:tc>
          <w:tcPr>
            <w:tcW w:w="840" w:type="dxa"/>
            <w:vAlign w:val="bottom"/>
            <w:tcBorders>
              <w:bottom w:val="single" w:sz="8" w:color="3A4967"/>
            </w:tcBorders>
          </w:tcPr>
          <w:p>
            <w:pPr>
              <w:spacing w:after="0"/>
              <w:rPr>
                <w:sz w:val="2"/>
                <w:szCs w:val="2"/>
                <w:color w:val="auto"/>
              </w:rPr>
            </w:pPr>
          </w:p>
        </w:tc>
        <w:tc>
          <w:tcPr>
            <w:tcW w:w="100" w:type="dxa"/>
            <w:vAlign w:val="bottom"/>
            <w:tcBorders>
              <w:bottom w:val="single" w:sz="8" w:color="3A4967"/>
            </w:tcBorders>
          </w:tcPr>
          <w:p>
            <w:pPr>
              <w:spacing w:after="0"/>
              <w:rPr>
                <w:sz w:val="2"/>
                <w:szCs w:val="2"/>
                <w:color w:val="auto"/>
              </w:rPr>
            </w:pPr>
          </w:p>
        </w:tc>
      </w:tr>
      <w:tr>
        <w:trPr>
          <w:trHeight w:val="226"/>
        </w:trPr>
        <w:tc>
          <w:tcPr>
            <w:tcW w:w="4880" w:type="dxa"/>
            <w:vAlign w:val="bottom"/>
          </w:tcPr>
          <w:p>
            <w:pPr>
              <w:ind w:left="80"/>
              <w:spacing w:after="0"/>
              <w:rPr>
                <w:sz w:val="20"/>
                <w:szCs w:val="20"/>
                <w:color w:val="auto"/>
              </w:rPr>
            </w:pPr>
            <w:r>
              <w:rPr>
                <w:rFonts w:ascii="Arial" w:cs="Arial" w:eastAsia="Arial" w:hAnsi="Arial"/>
                <w:sz w:val="17"/>
                <w:szCs w:val="17"/>
                <w:color w:val="3A4967"/>
              </w:rPr>
              <w:t>Weighted-average number of common shares — basic</w:t>
            </w:r>
          </w:p>
        </w:tc>
        <w:tc>
          <w:tcPr>
            <w:tcW w:w="80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11,774</w:t>
            </w:r>
          </w:p>
        </w:tc>
        <w:tc>
          <w:tcPr>
            <w:tcW w:w="78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12,243</w:t>
            </w:r>
          </w:p>
        </w:tc>
        <w:tc>
          <w:tcPr>
            <w:tcW w:w="7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12,317</w:t>
            </w:r>
          </w:p>
        </w:tc>
      </w:tr>
      <w:tr>
        <w:trPr>
          <w:trHeight w:val="35"/>
        </w:trPr>
        <w:tc>
          <w:tcPr>
            <w:tcW w:w="488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r>
      <w:tr>
        <w:trPr>
          <w:trHeight w:val="226"/>
        </w:trPr>
        <w:tc>
          <w:tcPr>
            <w:tcW w:w="4880" w:type="dxa"/>
            <w:vAlign w:val="bottom"/>
          </w:tcPr>
          <w:p>
            <w:pPr>
              <w:ind w:left="80"/>
              <w:spacing w:after="0"/>
              <w:rPr>
                <w:sz w:val="20"/>
                <w:szCs w:val="20"/>
                <w:color w:val="auto"/>
              </w:rPr>
            </w:pPr>
            <w:r>
              <w:rPr>
                <w:rFonts w:ascii="Arial" w:cs="Arial" w:eastAsia="Arial" w:hAnsi="Arial"/>
                <w:sz w:val="17"/>
                <w:szCs w:val="17"/>
                <w:color w:val="3A4967"/>
              </w:rPr>
              <w:t>Weighted-average number of common shares — diluted</w:t>
            </w:r>
          </w:p>
        </w:tc>
        <w:tc>
          <w:tcPr>
            <w:tcW w:w="80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11,766</w:t>
            </w:r>
          </w:p>
        </w:tc>
        <w:tc>
          <w:tcPr>
            <w:tcW w:w="78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12,258</w:t>
            </w:r>
          </w:p>
        </w:tc>
        <w:tc>
          <w:tcPr>
            <w:tcW w:w="7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12,345</w:t>
            </w:r>
          </w:p>
        </w:tc>
      </w:tr>
      <w:tr>
        <w:trPr>
          <w:trHeight w:val="35"/>
        </w:trPr>
        <w:tc>
          <w:tcPr>
            <w:tcW w:w="488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r>
      <w:tr>
        <w:trPr>
          <w:trHeight w:val="226"/>
        </w:trPr>
        <w:tc>
          <w:tcPr>
            <w:tcW w:w="4880" w:type="dxa"/>
            <w:vAlign w:val="bottom"/>
          </w:tcPr>
          <w:p>
            <w:pPr>
              <w:ind w:left="80"/>
              <w:spacing w:after="0"/>
              <w:rPr>
                <w:sz w:val="20"/>
                <w:szCs w:val="20"/>
                <w:color w:val="auto"/>
              </w:rPr>
            </w:pPr>
            <w:r>
              <w:rPr>
                <w:rFonts w:ascii="Arial" w:cs="Arial" w:eastAsia="Arial" w:hAnsi="Arial"/>
                <w:sz w:val="17"/>
                <w:szCs w:val="17"/>
                <w:color w:val="3A4967"/>
              </w:rPr>
              <w:t>Net income</w:t>
            </w:r>
          </w:p>
        </w:tc>
        <w:tc>
          <w:tcPr>
            <w:tcW w:w="800" w:type="dxa"/>
            <w:vAlign w:val="bottom"/>
          </w:tcPr>
          <w:p>
            <w:pPr>
              <w:jc w:val="right"/>
              <w:spacing w:after="0"/>
              <w:rPr>
                <w:sz w:val="20"/>
                <w:szCs w:val="20"/>
                <w:color w:val="auto"/>
              </w:rPr>
            </w:pPr>
            <w:r>
              <w:rPr>
                <w:rFonts w:ascii="Arial" w:cs="Arial" w:eastAsia="Arial" w:hAnsi="Arial"/>
                <w:sz w:val="17"/>
                <w:szCs w:val="17"/>
                <w:color w:val="3A4967"/>
              </w:rPr>
              <w:t>$</w:t>
            </w: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59,695</w:t>
            </w:r>
          </w:p>
        </w:tc>
        <w:tc>
          <w:tcPr>
            <w:tcW w:w="780" w:type="dxa"/>
            <w:vAlign w:val="bottom"/>
          </w:tcPr>
          <w:p>
            <w:pPr>
              <w:jc w:val="right"/>
              <w:spacing w:after="0"/>
              <w:rPr>
                <w:sz w:val="20"/>
                <w:szCs w:val="20"/>
                <w:color w:val="auto"/>
              </w:rPr>
            </w:pPr>
            <w:r>
              <w:rPr>
                <w:rFonts w:ascii="Arial" w:cs="Arial" w:eastAsia="Arial" w:hAnsi="Arial"/>
                <w:sz w:val="17"/>
                <w:szCs w:val="17"/>
                <w:color w:val="3A4967"/>
              </w:rPr>
              <w:t>$</w:t>
            </w: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76,250</w:t>
            </w:r>
          </w:p>
        </w:tc>
        <w:tc>
          <w:tcPr>
            <w:tcW w:w="720" w:type="dxa"/>
            <w:vAlign w:val="bottom"/>
          </w:tcPr>
          <w:p>
            <w:pPr>
              <w:jc w:val="right"/>
              <w:ind w:right="16"/>
              <w:spacing w:after="0"/>
              <w:rPr>
                <w:sz w:val="20"/>
                <w:szCs w:val="20"/>
                <w:color w:val="auto"/>
              </w:rPr>
            </w:pPr>
            <w:r>
              <w:rPr>
                <w:rFonts w:ascii="Arial" w:cs="Arial" w:eastAsia="Arial" w:hAnsi="Arial"/>
                <w:sz w:val="17"/>
                <w:szCs w:val="17"/>
                <w:color w:val="3A4967"/>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67,263</w:t>
            </w:r>
          </w:p>
        </w:tc>
      </w:tr>
      <w:tr>
        <w:trPr>
          <w:trHeight w:val="281"/>
        </w:trPr>
        <w:tc>
          <w:tcPr>
            <w:tcW w:w="4880" w:type="dxa"/>
            <w:vAlign w:val="bottom"/>
          </w:tcPr>
          <w:p>
            <w:pPr>
              <w:ind w:left="80"/>
              <w:spacing w:after="0"/>
              <w:rPr>
                <w:sz w:val="20"/>
                <w:szCs w:val="20"/>
                <w:color w:val="auto"/>
              </w:rPr>
            </w:pPr>
            <w:r>
              <w:rPr>
                <w:rFonts w:ascii="Arial" w:cs="Arial" w:eastAsia="Arial" w:hAnsi="Arial"/>
                <w:sz w:val="17"/>
                <w:szCs w:val="17"/>
                <w:color w:val="3A4967"/>
              </w:rPr>
              <w:t>Other comprehensive (loss) income:</w:t>
            </w: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1"/>
        </w:trPr>
        <w:tc>
          <w:tcPr>
            <w:tcW w:w="4880" w:type="dxa"/>
            <w:vAlign w:val="bottom"/>
          </w:tcPr>
          <w:p>
            <w:pPr>
              <w:ind w:left="220"/>
              <w:spacing w:after="0"/>
              <w:rPr>
                <w:sz w:val="20"/>
                <w:szCs w:val="20"/>
                <w:color w:val="auto"/>
              </w:rPr>
            </w:pPr>
            <w:r>
              <w:rPr>
                <w:rFonts w:ascii="Arial" w:cs="Arial" w:eastAsia="Arial" w:hAnsi="Arial"/>
                <w:sz w:val="17"/>
                <w:szCs w:val="17"/>
                <w:color w:val="3A4967"/>
              </w:rPr>
              <w:t>Foreign currency translation adjustment</w:t>
            </w:r>
          </w:p>
        </w:tc>
        <w:tc>
          <w:tcPr>
            <w:tcW w:w="800" w:type="dxa"/>
            <w:vAlign w:val="bottom"/>
          </w:tcPr>
          <w:p>
            <w:pPr>
              <w:spacing w:after="0"/>
              <w:rPr>
                <w:sz w:val="24"/>
                <w:szCs w:val="24"/>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3A4967"/>
              </w:rPr>
              <w:t>(715)</w:t>
            </w:r>
          </w:p>
        </w:tc>
        <w:tc>
          <w:tcPr>
            <w:tcW w:w="780" w:type="dxa"/>
            <w:vAlign w:val="bottom"/>
          </w:tcPr>
          <w:p>
            <w:pPr>
              <w:spacing w:after="0"/>
              <w:rPr>
                <w:sz w:val="24"/>
                <w:szCs w:val="24"/>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166</w:t>
            </w:r>
          </w:p>
        </w:tc>
        <w:tc>
          <w:tcPr>
            <w:tcW w:w="7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3A4967"/>
              </w:rPr>
              <w:t>(269)</w:t>
            </w:r>
          </w:p>
        </w:tc>
      </w:tr>
      <w:tr>
        <w:trPr>
          <w:trHeight w:val="281"/>
        </w:trPr>
        <w:tc>
          <w:tcPr>
            <w:tcW w:w="4880" w:type="dxa"/>
            <w:vAlign w:val="bottom"/>
          </w:tcPr>
          <w:p>
            <w:pPr>
              <w:ind w:left="220"/>
              <w:spacing w:after="0"/>
              <w:rPr>
                <w:sz w:val="20"/>
                <w:szCs w:val="20"/>
                <w:color w:val="auto"/>
              </w:rPr>
            </w:pPr>
            <w:r>
              <w:rPr>
                <w:rFonts w:ascii="Arial" w:cs="Arial" w:eastAsia="Arial" w:hAnsi="Arial"/>
                <w:sz w:val="17"/>
                <w:szCs w:val="17"/>
                <w:color w:val="3A4967"/>
              </w:rPr>
              <w:t>Defined benefit plans liability adjustment</w:t>
            </w:r>
          </w:p>
        </w:tc>
        <w:tc>
          <w:tcPr>
            <w:tcW w:w="800" w:type="dxa"/>
            <w:vAlign w:val="bottom"/>
          </w:tcPr>
          <w:p>
            <w:pPr>
              <w:spacing w:after="0"/>
              <w:rPr>
                <w:sz w:val="24"/>
                <w:szCs w:val="24"/>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color w:val="3A4967"/>
              </w:rPr>
              <w:t>76</w:t>
            </w:r>
          </w:p>
        </w:tc>
        <w:tc>
          <w:tcPr>
            <w:tcW w:w="780" w:type="dxa"/>
            <w:vAlign w:val="bottom"/>
          </w:tcPr>
          <w:p>
            <w:pPr>
              <w:spacing w:after="0"/>
              <w:rPr>
                <w:sz w:val="24"/>
                <w:szCs w:val="24"/>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3A4967"/>
              </w:rPr>
              <w:t>(13)</w:t>
            </w:r>
          </w:p>
        </w:tc>
        <w:tc>
          <w:tcPr>
            <w:tcW w:w="7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3A4967"/>
              </w:rPr>
              <w:t>253</w:t>
            </w:r>
          </w:p>
        </w:tc>
      </w:tr>
      <w:tr>
        <w:trPr>
          <w:trHeight w:val="35"/>
        </w:trPr>
        <w:tc>
          <w:tcPr>
            <w:tcW w:w="488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r>
      <w:tr>
        <w:trPr>
          <w:trHeight w:val="226"/>
        </w:trPr>
        <w:tc>
          <w:tcPr>
            <w:tcW w:w="4880" w:type="dxa"/>
            <w:vAlign w:val="bottom"/>
          </w:tcPr>
          <w:p>
            <w:pPr>
              <w:ind w:left="80"/>
              <w:spacing w:after="0"/>
              <w:rPr>
                <w:sz w:val="20"/>
                <w:szCs w:val="20"/>
                <w:color w:val="auto"/>
              </w:rPr>
            </w:pPr>
            <w:r>
              <w:rPr>
                <w:rFonts w:ascii="Arial" w:cs="Arial" w:eastAsia="Arial" w:hAnsi="Arial"/>
                <w:sz w:val="17"/>
                <w:szCs w:val="17"/>
                <w:color w:val="3A4967"/>
              </w:rPr>
              <w:t>Total other comprehensive (loss) income, net of tax</w:t>
            </w:r>
          </w:p>
        </w:tc>
        <w:tc>
          <w:tcPr>
            <w:tcW w:w="80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3A4967"/>
              </w:rPr>
              <w:t>(639)</w:t>
            </w:r>
          </w:p>
        </w:tc>
        <w:tc>
          <w:tcPr>
            <w:tcW w:w="78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3A4967"/>
              </w:rPr>
              <w:t>153</w:t>
            </w:r>
          </w:p>
        </w:tc>
        <w:tc>
          <w:tcPr>
            <w:tcW w:w="7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3A4967"/>
              </w:rPr>
              <w:t>(16)</w:t>
            </w:r>
          </w:p>
        </w:tc>
      </w:tr>
      <w:tr>
        <w:trPr>
          <w:trHeight w:val="35"/>
        </w:trPr>
        <w:tc>
          <w:tcPr>
            <w:tcW w:w="488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10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r>
      <w:tr>
        <w:trPr>
          <w:trHeight w:val="266"/>
        </w:trPr>
        <w:tc>
          <w:tcPr>
            <w:tcW w:w="488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COMPREHENSIVE INCOME</w:t>
            </w:r>
          </w:p>
        </w:tc>
        <w:tc>
          <w:tcPr>
            <w:tcW w:w="80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1040" w:type="dxa"/>
            <w:vAlign w:val="bottom"/>
            <w:tcBorders>
              <w:bottom w:val="single" w:sz="8" w:color="3A4967"/>
            </w:tcBorders>
          </w:tcPr>
          <w:p>
            <w:pPr>
              <w:jc w:val="right"/>
              <w:ind w:right="115"/>
              <w:spacing w:after="0"/>
              <w:rPr>
                <w:sz w:val="20"/>
                <w:szCs w:val="20"/>
                <w:color w:val="auto"/>
              </w:rPr>
            </w:pPr>
            <w:r>
              <w:rPr>
                <w:rFonts w:ascii="Arial" w:cs="Arial" w:eastAsia="Arial" w:hAnsi="Arial"/>
                <w:sz w:val="17"/>
                <w:szCs w:val="17"/>
                <w:b w:val="1"/>
                <w:bCs w:val="1"/>
                <w:color w:val="3A4967"/>
              </w:rPr>
              <w:t>59,056</w:t>
            </w:r>
          </w:p>
        </w:tc>
        <w:tc>
          <w:tcPr>
            <w:tcW w:w="7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1000" w:type="dxa"/>
            <w:vAlign w:val="bottom"/>
            <w:tcBorders>
              <w:bottom w:val="single" w:sz="8" w:color="3A4967"/>
            </w:tcBorders>
          </w:tcPr>
          <w:p>
            <w:pPr>
              <w:jc w:val="right"/>
              <w:ind w:right="75"/>
              <w:spacing w:after="0"/>
              <w:rPr>
                <w:sz w:val="20"/>
                <w:szCs w:val="20"/>
                <w:color w:val="auto"/>
              </w:rPr>
            </w:pPr>
            <w:r>
              <w:rPr>
                <w:rFonts w:ascii="Arial" w:cs="Arial" w:eastAsia="Arial" w:hAnsi="Arial"/>
                <w:sz w:val="17"/>
                <w:szCs w:val="17"/>
                <w:b w:val="1"/>
                <w:bCs w:val="1"/>
                <w:color w:val="3A4967"/>
              </w:rPr>
              <w:t>76,403</w:t>
            </w:r>
          </w:p>
        </w:tc>
        <w:tc>
          <w:tcPr>
            <w:tcW w:w="72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b w:val="1"/>
                <w:bCs w:val="1"/>
                <w:color w:val="3A4967"/>
              </w:rPr>
              <w:t>$</w:t>
            </w:r>
          </w:p>
        </w:tc>
        <w:tc>
          <w:tcPr>
            <w:tcW w:w="940" w:type="dxa"/>
            <w:vAlign w:val="bottom"/>
            <w:tcBorders>
              <w:bottom w:val="single" w:sz="8" w:color="3A4967"/>
            </w:tcBorders>
            <w:gridSpan w:val="2"/>
          </w:tcPr>
          <w:p>
            <w:pPr>
              <w:jc w:val="right"/>
              <w:ind w:right="100"/>
              <w:spacing w:after="0"/>
              <w:rPr>
                <w:sz w:val="20"/>
                <w:szCs w:val="20"/>
                <w:color w:val="auto"/>
              </w:rPr>
            </w:pPr>
            <w:r>
              <w:rPr>
                <w:rFonts w:ascii="Arial" w:cs="Arial" w:eastAsia="Arial" w:hAnsi="Arial"/>
                <w:sz w:val="17"/>
                <w:szCs w:val="17"/>
                <w:b w:val="1"/>
                <w:bCs w:val="1"/>
                <w:color w:val="3A4967"/>
              </w:rPr>
              <w:t>67,247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3A4967"/>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243840</wp:posOffset>
            </wp:positionV>
            <wp:extent cx="2584450" cy="1917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54"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45" w:name="page46"/>
    <w:bookmarkEnd w:id="45"/>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3A4967"/>
        </w:rPr>
        <w:t>THE BOSTON BEER COMPANY, INC. AND SUBSIDIARIES</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3A4967"/>
        </w:rPr>
        <w:t>CONSOLIDATED BALANCE SHEETS</w:t>
      </w:r>
    </w:p>
    <w:p>
      <w:pPr>
        <w:spacing w:after="0" w:line="143" w:lineRule="exact"/>
        <w:rPr>
          <w:sz w:val="20"/>
          <w:szCs w:val="20"/>
          <w:color w:val="auto"/>
        </w:rPr>
      </w:pPr>
    </w:p>
    <w:tbl>
      <w:tblPr>
        <w:tblLayout w:type="fixed"/>
        <w:tblInd w:w="400" w:type="dxa"/>
        <w:tblCellMar>
          <w:top w:w="0" w:type="dxa"/>
          <w:left w:w="0" w:type="dxa"/>
          <w:bottom w:w="0" w:type="dxa"/>
          <w:right w:w="0" w:type="dxa"/>
        </w:tblCellMar>
      </w:tblPr>
      <w:tr>
        <w:trPr>
          <w:trHeight w:val="198"/>
        </w:trPr>
        <w:tc>
          <w:tcPr>
            <w:tcW w:w="6440" w:type="dxa"/>
            <w:vAlign w:val="bottom"/>
          </w:tcPr>
          <w:p>
            <w:pPr>
              <w:ind w:left="80"/>
              <w:spacing w:after="0"/>
              <w:rPr>
                <w:sz w:val="20"/>
                <w:szCs w:val="20"/>
                <w:color w:val="auto"/>
              </w:rPr>
            </w:pPr>
            <w:r>
              <w:rPr>
                <w:rFonts w:ascii="Arial" w:cs="Arial" w:eastAsia="Arial" w:hAnsi="Arial"/>
                <w:sz w:val="13"/>
                <w:szCs w:val="13"/>
                <w:i w:val="1"/>
                <w:iCs w:val="1"/>
                <w:color w:val="3A4967"/>
              </w:rPr>
              <w:t>(in thousands, except share data)</w:t>
            </w:r>
          </w:p>
        </w:tc>
        <w:tc>
          <w:tcPr>
            <w:tcW w:w="1940" w:type="dxa"/>
            <w:vAlign w:val="bottom"/>
            <w:gridSpan w:val="2"/>
          </w:tcPr>
          <w:p>
            <w:pPr>
              <w:jc w:val="right"/>
              <w:ind w:right="195"/>
              <w:spacing w:after="0"/>
              <w:rPr>
                <w:sz w:val="20"/>
                <w:szCs w:val="20"/>
                <w:color w:val="auto"/>
              </w:rPr>
            </w:pPr>
            <w:r>
              <w:rPr>
                <w:rFonts w:ascii="Arial" w:cs="Arial" w:eastAsia="Arial" w:hAnsi="Arial"/>
                <w:sz w:val="16"/>
                <w:szCs w:val="16"/>
                <w:b w:val="1"/>
                <w:bCs w:val="1"/>
                <w:color w:val="3A4967"/>
              </w:rPr>
              <w:t>December 28, 2024</w:t>
            </w:r>
          </w:p>
        </w:tc>
        <w:tc>
          <w:tcPr>
            <w:tcW w:w="1800" w:type="dxa"/>
            <w:vAlign w:val="bottom"/>
            <w:gridSpan w:val="2"/>
          </w:tcPr>
          <w:p>
            <w:pPr>
              <w:jc w:val="right"/>
              <w:ind w:right="15"/>
              <w:spacing w:after="0"/>
              <w:rPr>
                <w:sz w:val="20"/>
                <w:szCs w:val="20"/>
                <w:color w:val="auto"/>
              </w:rPr>
            </w:pPr>
            <w:r>
              <w:rPr>
                <w:rFonts w:ascii="Arial" w:cs="Arial" w:eastAsia="Arial" w:hAnsi="Arial"/>
                <w:sz w:val="16"/>
                <w:szCs w:val="16"/>
                <w:b w:val="1"/>
                <w:bCs w:val="1"/>
                <w:color w:val="3A4967"/>
              </w:rPr>
              <w:t>December 30, 2023</w:t>
            </w:r>
          </w:p>
        </w:tc>
      </w:tr>
      <w:tr>
        <w:trPr>
          <w:trHeight w:val="41"/>
        </w:trPr>
        <w:tc>
          <w:tcPr>
            <w:tcW w:w="64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60" w:type="dxa"/>
            <w:vAlign w:val="bottom"/>
            <w:tcBorders>
              <w:bottom w:val="single" w:sz="8" w:color="3A4967"/>
            </w:tcBorders>
          </w:tcPr>
          <w:p>
            <w:pPr>
              <w:spacing w:after="0"/>
              <w:rPr>
                <w:sz w:val="3"/>
                <w:szCs w:val="3"/>
                <w:color w:val="auto"/>
              </w:rPr>
            </w:pPr>
          </w:p>
        </w:tc>
      </w:tr>
      <w:tr>
        <w:trPr>
          <w:trHeight w:val="221"/>
        </w:trPr>
        <w:tc>
          <w:tcPr>
            <w:tcW w:w="6440" w:type="dxa"/>
            <w:vAlign w:val="bottom"/>
          </w:tcPr>
          <w:p>
            <w:pPr>
              <w:ind w:left="80"/>
              <w:spacing w:after="0"/>
              <w:rPr>
                <w:sz w:val="20"/>
                <w:szCs w:val="20"/>
                <w:color w:val="auto"/>
              </w:rPr>
            </w:pPr>
            <w:r>
              <w:rPr>
                <w:rFonts w:ascii="Arial" w:cs="Arial" w:eastAsia="Arial" w:hAnsi="Arial"/>
                <w:sz w:val="16"/>
                <w:szCs w:val="16"/>
                <w:b w:val="1"/>
                <w:bCs w:val="1"/>
                <w:color w:val="3A4967"/>
              </w:rPr>
              <w:t>Assets</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87"/>
        </w:trPr>
        <w:tc>
          <w:tcPr>
            <w:tcW w:w="6440" w:type="dxa"/>
            <w:vAlign w:val="bottom"/>
          </w:tcPr>
          <w:p>
            <w:pPr>
              <w:ind w:left="80"/>
              <w:spacing w:after="0"/>
              <w:rPr>
                <w:sz w:val="20"/>
                <w:szCs w:val="20"/>
                <w:color w:val="auto"/>
              </w:rPr>
            </w:pPr>
            <w:r>
              <w:rPr>
                <w:rFonts w:ascii="Arial" w:cs="Arial" w:eastAsia="Arial" w:hAnsi="Arial"/>
                <w:sz w:val="17"/>
                <w:szCs w:val="17"/>
                <w:color w:val="3A4967"/>
              </w:rPr>
              <w:t>Current Assets:</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Cash and cash equivalents</w:t>
            </w:r>
          </w:p>
        </w:tc>
        <w:tc>
          <w:tcPr>
            <w:tcW w:w="780" w:type="dxa"/>
            <w:vAlign w:val="bottom"/>
          </w:tcPr>
          <w:p>
            <w:pPr>
              <w:jc w:val="right"/>
              <w:ind w:right="56"/>
              <w:spacing w:after="0"/>
              <w:rPr>
                <w:sz w:val="20"/>
                <w:szCs w:val="20"/>
                <w:color w:val="auto"/>
              </w:rPr>
            </w:pPr>
            <w:r>
              <w:rPr>
                <w:rFonts w:ascii="Arial" w:cs="Arial" w:eastAsia="Arial" w:hAnsi="Arial"/>
                <w:sz w:val="17"/>
                <w:szCs w:val="17"/>
                <w:color w:val="3A4967"/>
              </w:rPr>
              <w:t>$</w:t>
            </w: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211,819</w:t>
            </w:r>
          </w:p>
        </w:tc>
        <w:tc>
          <w:tcPr>
            <w:tcW w:w="840" w:type="dxa"/>
            <w:vAlign w:val="bottom"/>
          </w:tcPr>
          <w:p>
            <w:pPr>
              <w:jc w:val="right"/>
              <w:ind w:right="16"/>
              <w:spacing w:after="0"/>
              <w:rPr>
                <w:sz w:val="20"/>
                <w:szCs w:val="20"/>
                <w:color w:val="auto"/>
              </w:rPr>
            </w:pPr>
            <w:r>
              <w:rPr>
                <w:rFonts w:ascii="Arial" w:cs="Arial" w:eastAsia="Arial" w:hAnsi="Arial"/>
                <w:sz w:val="17"/>
                <w:szCs w:val="17"/>
                <w:color w:val="3A4967"/>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298,491</w:t>
            </w: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Accounts receivable</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61,423</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66,997</w:t>
            </w: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Inventories</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117,159</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115,773</w:t>
            </w: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Prepaid expenses and other current assets</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20,209</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20,538</w:t>
            </w: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Income tax receivable</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6,681</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1,711</w:t>
            </w:r>
          </w:p>
        </w:tc>
      </w:tr>
      <w:tr>
        <w:trPr>
          <w:trHeight w:val="35"/>
        </w:trPr>
        <w:tc>
          <w:tcPr>
            <w:tcW w:w="64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60" w:type="dxa"/>
            <w:vAlign w:val="bottom"/>
            <w:tcBorders>
              <w:bottom w:val="single" w:sz="8" w:color="3A4967"/>
            </w:tcBorders>
          </w:tcPr>
          <w:p>
            <w:pPr>
              <w:spacing w:after="0"/>
              <w:rPr>
                <w:sz w:val="3"/>
                <w:szCs w:val="3"/>
                <w:color w:val="auto"/>
              </w:rPr>
            </w:pPr>
          </w:p>
        </w:tc>
      </w:tr>
      <w:tr>
        <w:trPr>
          <w:trHeight w:val="226"/>
        </w:trPr>
        <w:tc>
          <w:tcPr>
            <w:tcW w:w="6440" w:type="dxa"/>
            <w:vAlign w:val="bottom"/>
          </w:tcPr>
          <w:p>
            <w:pPr>
              <w:ind w:left="360"/>
              <w:spacing w:after="0"/>
              <w:rPr>
                <w:sz w:val="20"/>
                <w:szCs w:val="20"/>
                <w:color w:val="auto"/>
              </w:rPr>
            </w:pPr>
            <w:r>
              <w:rPr>
                <w:rFonts w:ascii="Arial" w:cs="Arial" w:eastAsia="Arial" w:hAnsi="Arial"/>
                <w:sz w:val="17"/>
                <w:szCs w:val="17"/>
                <w:color w:val="3A4967"/>
              </w:rPr>
              <w:t>Total current assets</w:t>
            </w:r>
          </w:p>
        </w:tc>
        <w:tc>
          <w:tcPr>
            <w:tcW w:w="780" w:type="dxa"/>
            <w:vAlign w:val="bottom"/>
          </w:tcPr>
          <w:p>
            <w:pPr>
              <w:spacing w:after="0"/>
              <w:rPr>
                <w:sz w:val="19"/>
                <w:szCs w:val="19"/>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417,291</w:t>
            </w:r>
          </w:p>
        </w:tc>
        <w:tc>
          <w:tcPr>
            <w:tcW w:w="84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503,510</w:t>
            </w:r>
          </w:p>
        </w:tc>
      </w:tr>
      <w:tr>
        <w:trPr>
          <w:trHeight w:val="281"/>
        </w:trPr>
        <w:tc>
          <w:tcPr>
            <w:tcW w:w="6440" w:type="dxa"/>
            <w:vAlign w:val="bottom"/>
          </w:tcPr>
          <w:p>
            <w:pPr>
              <w:ind w:left="80"/>
              <w:spacing w:after="0"/>
              <w:rPr>
                <w:sz w:val="20"/>
                <w:szCs w:val="20"/>
                <w:color w:val="auto"/>
              </w:rPr>
            </w:pPr>
            <w:r>
              <w:rPr>
                <w:rFonts w:ascii="Arial" w:cs="Arial" w:eastAsia="Arial" w:hAnsi="Arial"/>
                <w:sz w:val="17"/>
                <w:szCs w:val="17"/>
                <w:color w:val="3A4967"/>
              </w:rPr>
              <w:t>Property, plant, and equipment, net</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616,242</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642,509</w:t>
            </w:r>
          </w:p>
        </w:tc>
      </w:tr>
      <w:tr>
        <w:trPr>
          <w:trHeight w:val="281"/>
        </w:trPr>
        <w:tc>
          <w:tcPr>
            <w:tcW w:w="6440" w:type="dxa"/>
            <w:vAlign w:val="bottom"/>
          </w:tcPr>
          <w:p>
            <w:pPr>
              <w:ind w:left="80"/>
              <w:spacing w:after="0"/>
              <w:rPr>
                <w:sz w:val="20"/>
                <w:szCs w:val="20"/>
                <w:color w:val="auto"/>
              </w:rPr>
            </w:pPr>
            <w:r>
              <w:rPr>
                <w:rFonts w:ascii="Arial" w:cs="Arial" w:eastAsia="Arial" w:hAnsi="Arial"/>
                <w:sz w:val="17"/>
                <w:szCs w:val="17"/>
                <w:color w:val="3A4967"/>
              </w:rPr>
              <w:t>Operating right-of-use assets</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27,837</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35,559</w:t>
            </w:r>
          </w:p>
        </w:tc>
      </w:tr>
      <w:tr>
        <w:trPr>
          <w:trHeight w:val="281"/>
        </w:trPr>
        <w:tc>
          <w:tcPr>
            <w:tcW w:w="6440" w:type="dxa"/>
            <w:vAlign w:val="bottom"/>
          </w:tcPr>
          <w:p>
            <w:pPr>
              <w:ind w:left="80"/>
              <w:spacing w:after="0"/>
              <w:rPr>
                <w:sz w:val="20"/>
                <w:szCs w:val="20"/>
                <w:color w:val="auto"/>
              </w:rPr>
            </w:pPr>
            <w:r>
              <w:rPr>
                <w:rFonts w:ascii="Arial" w:cs="Arial" w:eastAsia="Arial" w:hAnsi="Arial"/>
                <w:sz w:val="17"/>
                <w:szCs w:val="17"/>
                <w:color w:val="3A4967"/>
              </w:rPr>
              <w:t>Goodwill</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112,529</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112,529</w:t>
            </w:r>
          </w:p>
        </w:tc>
      </w:tr>
      <w:tr>
        <w:trPr>
          <w:trHeight w:val="281"/>
        </w:trPr>
        <w:tc>
          <w:tcPr>
            <w:tcW w:w="6440" w:type="dxa"/>
            <w:vAlign w:val="bottom"/>
          </w:tcPr>
          <w:p>
            <w:pPr>
              <w:ind w:left="80"/>
              <w:spacing w:after="0"/>
              <w:rPr>
                <w:sz w:val="20"/>
                <w:szCs w:val="20"/>
                <w:color w:val="auto"/>
              </w:rPr>
            </w:pPr>
            <w:r>
              <w:rPr>
                <w:rFonts w:ascii="Arial" w:cs="Arial" w:eastAsia="Arial" w:hAnsi="Arial"/>
                <w:sz w:val="17"/>
                <w:szCs w:val="17"/>
                <w:color w:val="3A4967"/>
              </w:rPr>
              <w:t>Intangible assets</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16,446</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59,644</w:t>
            </w:r>
          </w:p>
        </w:tc>
      </w:tr>
      <w:tr>
        <w:trPr>
          <w:trHeight w:val="281"/>
        </w:trPr>
        <w:tc>
          <w:tcPr>
            <w:tcW w:w="6440" w:type="dxa"/>
            <w:vAlign w:val="bottom"/>
          </w:tcPr>
          <w:p>
            <w:pPr>
              <w:ind w:left="80"/>
              <w:spacing w:after="0"/>
              <w:rPr>
                <w:sz w:val="20"/>
                <w:szCs w:val="20"/>
                <w:color w:val="auto"/>
              </w:rPr>
            </w:pPr>
            <w:r>
              <w:rPr>
                <w:rFonts w:ascii="Arial" w:cs="Arial" w:eastAsia="Arial" w:hAnsi="Arial"/>
                <w:sz w:val="17"/>
                <w:szCs w:val="17"/>
                <w:color w:val="3A4967"/>
              </w:rPr>
              <w:t>Third-party production prepayments</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14,473</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33,581</w:t>
            </w:r>
          </w:p>
        </w:tc>
      </w:tr>
      <w:tr>
        <w:trPr>
          <w:trHeight w:val="281"/>
        </w:trPr>
        <w:tc>
          <w:tcPr>
            <w:tcW w:w="6440" w:type="dxa"/>
            <w:vAlign w:val="bottom"/>
          </w:tcPr>
          <w:p>
            <w:pPr>
              <w:ind w:left="80"/>
              <w:spacing w:after="0"/>
              <w:rPr>
                <w:sz w:val="20"/>
                <w:szCs w:val="20"/>
                <w:color w:val="auto"/>
              </w:rPr>
            </w:pPr>
            <w:r>
              <w:rPr>
                <w:rFonts w:ascii="Arial" w:cs="Arial" w:eastAsia="Arial" w:hAnsi="Arial"/>
                <w:sz w:val="17"/>
                <w:szCs w:val="17"/>
                <w:color w:val="3A4967"/>
              </w:rPr>
              <w:t>Note receivable</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16,738</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w:t>
            </w:r>
          </w:p>
        </w:tc>
      </w:tr>
      <w:tr>
        <w:trPr>
          <w:trHeight w:val="281"/>
        </w:trPr>
        <w:tc>
          <w:tcPr>
            <w:tcW w:w="6440" w:type="dxa"/>
            <w:vAlign w:val="bottom"/>
          </w:tcPr>
          <w:p>
            <w:pPr>
              <w:ind w:left="80"/>
              <w:spacing w:after="0"/>
              <w:rPr>
                <w:sz w:val="20"/>
                <w:szCs w:val="20"/>
                <w:color w:val="auto"/>
              </w:rPr>
            </w:pPr>
            <w:r>
              <w:rPr>
                <w:rFonts w:ascii="Arial" w:cs="Arial" w:eastAsia="Arial" w:hAnsi="Arial"/>
                <w:sz w:val="17"/>
                <w:szCs w:val="17"/>
                <w:color w:val="3A4967"/>
              </w:rPr>
              <w:t>Other assets</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28,462</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42,661</w:t>
            </w:r>
          </w:p>
        </w:tc>
      </w:tr>
      <w:tr>
        <w:trPr>
          <w:trHeight w:val="35"/>
        </w:trPr>
        <w:tc>
          <w:tcPr>
            <w:tcW w:w="64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60" w:type="dxa"/>
            <w:vAlign w:val="bottom"/>
            <w:tcBorders>
              <w:bottom w:val="single" w:sz="8" w:color="3A4967"/>
            </w:tcBorders>
          </w:tcPr>
          <w:p>
            <w:pPr>
              <w:spacing w:after="0"/>
              <w:rPr>
                <w:sz w:val="3"/>
                <w:szCs w:val="3"/>
                <w:color w:val="auto"/>
              </w:rPr>
            </w:pPr>
          </w:p>
        </w:tc>
      </w:tr>
      <w:tr>
        <w:trPr>
          <w:trHeight w:val="230"/>
        </w:trPr>
        <w:tc>
          <w:tcPr>
            <w:tcW w:w="6440" w:type="dxa"/>
            <w:vAlign w:val="bottom"/>
          </w:tcPr>
          <w:p>
            <w:pPr>
              <w:ind w:left="80"/>
              <w:spacing w:after="0"/>
              <w:rPr>
                <w:sz w:val="20"/>
                <w:szCs w:val="20"/>
                <w:color w:val="auto"/>
              </w:rPr>
            </w:pPr>
            <w:r>
              <w:rPr>
                <w:rFonts w:ascii="Arial" w:cs="Arial" w:eastAsia="Arial" w:hAnsi="Arial"/>
                <w:sz w:val="17"/>
                <w:szCs w:val="17"/>
                <w:b w:val="1"/>
                <w:bCs w:val="1"/>
                <w:color w:val="3A4967"/>
              </w:rPr>
              <w:t>TOTAL ASSETS</w:t>
            </w:r>
          </w:p>
        </w:tc>
        <w:tc>
          <w:tcPr>
            <w:tcW w:w="780" w:type="dxa"/>
            <w:vAlign w:val="bottom"/>
          </w:tcPr>
          <w:p>
            <w:pPr>
              <w:jc w:val="right"/>
              <w:ind w:right="56"/>
              <w:spacing w:after="0"/>
              <w:rPr>
                <w:sz w:val="20"/>
                <w:szCs w:val="20"/>
                <w:color w:val="auto"/>
              </w:rPr>
            </w:pPr>
            <w:r>
              <w:rPr>
                <w:rFonts w:ascii="Arial" w:cs="Arial" w:eastAsia="Arial" w:hAnsi="Arial"/>
                <w:sz w:val="17"/>
                <w:szCs w:val="17"/>
                <w:b w:val="1"/>
                <w:bCs w:val="1"/>
                <w:color w:val="3A4967"/>
              </w:rPr>
              <w:t>$</w:t>
            </w: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3A4967"/>
              </w:rPr>
              <w:t>1,250,018</w:t>
            </w:r>
          </w:p>
        </w:tc>
        <w:tc>
          <w:tcPr>
            <w:tcW w:w="840" w:type="dxa"/>
            <w:vAlign w:val="bottom"/>
          </w:tcPr>
          <w:p>
            <w:pPr>
              <w:jc w:val="right"/>
              <w:ind w:right="16"/>
              <w:spacing w:after="0"/>
              <w:rPr>
                <w:sz w:val="20"/>
                <w:szCs w:val="20"/>
                <w:color w:val="auto"/>
              </w:rPr>
            </w:pPr>
            <w:r>
              <w:rPr>
                <w:rFonts w:ascii="Arial" w:cs="Arial" w:eastAsia="Arial" w:hAnsi="Arial"/>
                <w:sz w:val="17"/>
                <w:szCs w:val="17"/>
                <w:b w:val="1"/>
                <w:bCs w:val="1"/>
                <w:color w:val="3A4967"/>
              </w:rPr>
              <w:t>$</w:t>
            </w: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3A4967"/>
              </w:rPr>
              <w:t>1,429,993</w:t>
            </w:r>
          </w:p>
        </w:tc>
      </w:tr>
      <w:tr>
        <w:trPr>
          <w:trHeight w:val="31"/>
        </w:trPr>
        <w:tc>
          <w:tcPr>
            <w:tcW w:w="6440" w:type="dxa"/>
            <w:vAlign w:val="bottom"/>
            <w:tcBorders>
              <w:bottom w:val="single" w:sz="8" w:color="3A4967"/>
            </w:tcBorders>
          </w:tcPr>
          <w:p>
            <w:pPr>
              <w:spacing w:after="0"/>
              <w:rPr>
                <w:sz w:val="2"/>
                <w:szCs w:val="2"/>
                <w:color w:val="auto"/>
              </w:rPr>
            </w:pPr>
          </w:p>
        </w:tc>
        <w:tc>
          <w:tcPr>
            <w:tcW w:w="780" w:type="dxa"/>
            <w:vAlign w:val="bottom"/>
            <w:tcBorders>
              <w:bottom w:val="single" w:sz="8" w:color="3A4967"/>
            </w:tcBorders>
          </w:tcPr>
          <w:p>
            <w:pPr>
              <w:spacing w:after="0"/>
              <w:rPr>
                <w:sz w:val="2"/>
                <w:szCs w:val="2"/>
                <w:color w:val="auto"/>
              </w:rPr>
            </w:pPr>
          </w:p>
        </w:tc>
        <w:tc>
          <w:tcPr>
            <w:tcW w:w="1160" w:type="dxa"/>
            <w:vAlign w:val="bottom"/>
            <w:tcBorders>
              <w:bottom w:val="single" w:sz="8" w:color="3A4967"/>
            </w:tcBorders>
          </w:tcPr>
          <w:p>
            <w:pPr>
              <w:spacing w:after="0"/>
              <w:rPr>
                <w:sz w:val="2"/>
                <w:szCs w:val="2"/>
                <w:color w:val="auto"/>
              </w:rPr>
            </w:pPr>
          </w:p>
        </w:tc>
        <w:tc>
          <w:tcPr>
            <w:tcW w:w="840" w:type="dxa"/>
            <w:vAlign w:val="bottom"/>
            <w:tcBorders>
              <w:bottom w:val="single" w:sz="8" w:color="3A4967"/>
            </w:tcBorders>
          </w:tcPr>
          <w:p>
            <w:pPr>
              <w:spacing w:after="0"/>
              <w:rPr>
                <w:sz w:val="2"/>
                <w:szCs w:val="2"/>
                <w:color w:val="auto"/>
              </w:rPr>
            </w:pPr>
          </w:p>
        </w:tc>
        <w:tc>
          <w:tcPr>
            <w:tcW w:w="960" w:type="dxa"/>
            <w:vAlign w:val="bottom"/>
            <w:tcBorders>
              <w:bottom w:val="single" w:sz="8" w:color="3A4967"/>
            </w:tcBorders>
          </w:tcPr>
          <w:p>
            <w:pPr>
              <w:spacing w:after="0"/>
              <w:rPr>
                <w:sz w:val="2"/>
                <w:szCs w:val="2"/>
                <w:color w:val="auto"/>
              </w:rPr>
            </w:pPr>
          </w:p>
        </w:tc>
      </w:tr>
      <w:tr>
        <w:trPr>
          <w:trHeight w:val="221"/>
        </w:trPr>
        <w:tc>
          <w:tcPr>
            <w:tcW w:w="6440" w:type="dxa"/>
            <w:vAlign w:val="bottom"/>
          </w:tcPr>
          <w:p>
            <w:pPr>
              <w:ind w:left="80"/>
              <w:spacing w:after="0"/>
              <w:rPr>
                <w:sz w:val="20"/>
                <w:szCs w:val="20"/>
                <w:color w:val="auto"/>
              </w:rPr>
            </w:pPr>
            <w:r>
              <w:rPr>
                <w:rFonts w:ascii="Arial" w:cs="Arial" w:eastAsia="Arial" w:hAnsi="Arial"/>
                <w:sz w:val="16"/>
                <w:szCs w:val="16"/>
                <w:b w:val="1"/>
                <w:bCs w:val="1"/>
                <w:color w:val="3A4967"/>
              </w:rPr>
              <w:t>Liabilities and Stockholders’ Equity</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87"/>
        </w:trPr>
        <w:tc>
          <w:tcPr>
            <w:tcW w:w="6440" w:type="dxa"/>
            <w:vAlign w:val="bottom"/>
          </w:tcPr>
          <w:p>
            <w:pPr>
              <w:ind w:left="80"/>
              <w:spacing w:after="0"/>
              <w:rPr>
                <w:sz w:val="20"/>
                <w:szCs w:val="20"/>
                <w:color w:val="auto"/>
              </w:rPr>
            </w:pPr>
            <w:r>
              <w:rPr>
                <w:rFonts w:ascii="Arial" w:cs="Arial" w:eastAsia="Arial" w:hAnsi="Arial"/>
                <w:sz w:val="17"/>
                <w:szCs w:val="17"/>
                <w:color w:val="3A4967"/>
              </w:rPr>
              <w:t>Current Liabilities:</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Accounts payable</w:t>
            </w:r>
          </w:p>
        </w:tc>
        <w:tc>
          <w:tcPr>
            <w:tcW w:w="780" w:type="dxa"/>
            <w:vAlign w:val="bottom"/>
          </w:tcPr>
          <w:p>
            <w:pPr>
              <w:jc w:val="right"/>
              <w:ind w:right="56"/>
              <w:spacing w:after="0"/>
              <w:rPr>
                <w:sz w:val="20"/>
                <w:szCs w:val="20"/>
                <w:color w:val="auto"/>
              </w:rPr>
            </w:pPr>
            <w:r>
              <w:rPr>
                <w:rFonts w:ascii="Arial" w:cs="Arial" w:eastAsia="Arial" w:hAnsi="Arial"/>
                <w:sz w:val="17"/>
                <w:szCs w:val="17"/>
                <w:color w:val="3A4967"/>
              </w:rPr>
              <w:t>$</w:t>
            </w: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87,276</w:t>
            </w:r>
          </w:p>
        </w:tc>
        <w:tc>
          <w:tcPr>
            <w:tcW w:w="840" w:type="dxa"/>
            <w:vAlign w:val="bottom"/>
          </w:tcPr>
          <w:p>
            <w:pPr>
              <w:jc w:val="right"/>
              <w:ind w:right="16"/>
              <w:spacing w:after="0"/>
              <w:rPr>
                <w:sz w:val="20"/>
                <w:szCs w:val="20"/>
                <w:color w:val="auto"/>
              </w:rPr>
            </w:pPr>
            <w:r>
              <w:rPr>
                <w:rFonts w:ascii="Arial" w:cs="Arial" w:eastAsia="Arial" w:hAnsi="Arial"/>
                <w:sz w:val="17"/>
                <w:szCs w:val="17"/>
                <w:color w:val="3A4967"/>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87,245</w:t>
            </w: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Accrued expenses and other current liabilities</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138,618</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126,930</w:t>
            </w: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Current operating lease liabilities</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5,735</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9,113</w:t>
            </w:r>
          </w:p>
        </w:tc>
      </w:tr>
      <w:tr>
        <w:trPr>
          <w:trHeight w:val="35"/>
        </w:trPr>
        <w:tc>
          <w:tcPr>
            <w:tcW w:w="64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60" w:type="dxa"/>
            <w:vAlign w:val="bottom"/>
            <w:tcBorders>
              <w:bottom w:val="single" w:sz="8" w:color="3A4967"/>
            </w:tcBorders>
          </w:tcPr>
          <w:p>
            <w:pPr>
              <w:spacing w:after="0"/>
              <w:rPr>
                <w:sz w:val="3"/>
                <w:szCs w:val="3"/>
                <w:color w:val="auto"/>
              </w:rPr>
            </w:pPr>
          </w:p>
        </w:tc>
      </w:tr>
      <w:tr>
        <w:trPr>
          <w:trHeight w:val="226"/>
        </w:trPr>
        <w:tc>
          <w:tcPr>
            <w:tcW w:w="6440" w:type="dxa"/>
            <w:vAlign w:val="bottom"/>
          </w:tcPr>
          <w:p>
            <w:pPr>
              <w:ind w:left="360"/>
              <w:spacing w:after="0"/>
              <w:rPr>
                <w:sz w:val="20"/>
                <w:szCs w:val="20"/>
                <w:color w:val="auto"/>
              </w:rPr>
            </w:pPr>
            <w:r>
              <w:rPr>
                <w:rFonts w:ascii="Arial" w:cs="Arial" w:eastAsia="Arial" w:hAnsi="Arial"/>
                <w:sz w:val="17"/>
                <w:szCs w:val="17"/>
                <w:color w:val="3A4967"/>
              </w:rPr>
              <w:t>Total current liabilities</w:t>
            </w:r>
          </w:p>
        </w:tc>
        <w:tc>
          <w:tcPr>
            <w:tcW w:w="780" w:type="dxa"/>
            <w:vAlign w:val="bottom"/>
          </w:tcPr>
          <w:p>
            <w:pPr>
              <w:spacing w:after="0"/>
              <w:rPr>
                <w:sz w:val="19"/>
                <w:szCs w:val="19"/>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231,629</w:t>
            </w:r>
          </w:p>
        </w:tc>
        <w:tc>
          <w:tcPr>
            <w:tcW w:w="84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223,288</w:t>
            </w: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Deferred income taxes, net</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65,803</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85,721</w:t>
            </w: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Non-current operating lease liabilities</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30,205</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36,161</w:t>
            </w: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Other liabilities</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6,194</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6,894</w:t>
            </w:r>
          </w:p>
        </w:tc>
      </w:tr>
      <w:tr>
        <w:trPr>
          <w:trHeight w:val="35"/>
        </w:trPr>
        <w:tc>
          <w:tcPr>
            <w:tcW w:w="64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60" w:type="dxa"/>
            <w:vAlign w:val="bottom"/>
            <w:tcBorders>
              <w:bottom w:val="single" w:sz="8" w:color="3A4967"/>
            </w:tcBorders>
          </w:tcPr>
          <w:p>
            <w:pPr>
              <w:spacing w:after="0"/>
              <w:rPr>
                <w:sz w:val="3"/>
                <w:szCs w:val="3"/>
                <w:color w:val="auto"/>
              </w:rPr>
            </w:pPr>
          </w:p>
        </w:tc>
      </w:tr>
      <w:tr>
        <w:trPr>
          <w:trHeight w:val="230"/>
        </w:trPr>
        <w:tc>
          <w:tcPr>
            <w:tcW w:w="6440" w:type="dxa"/>
            <w:vAlign w:val="bottom"/>
          </w:tcPr>
          <w:p>
            <w:pPr>
              <w:ind w:left="80"/>
              <w:spacing w:after="0"/>
              <w:rPr>
                <w:sz w:val="20"/>
                <w:szCs w:val="20"/>
                <w:color w:val="auto"/>
              </w:rPr>
            </w:pPr>
            <w:r>
              <w:rPr>
                <w:rFonts w:ascii="Arial" w:cs="Arial" w:eastAsia="Arial" w:hAnsi="Arial"/>
                <w:sz w:val="17"/>
                <w:szCs w:val="17"/>
                <w:b w:val="1"/>
                <w:bCs w:val="1"/>
                <w:color w:val="3A4967"/>
              </w:rPr>
              <w:t>TOTAL LIABILITIES</w:t>
            </w:r>
          </w:p>
        </w:tc>
        <w:tc>
          <w:tcPr>
            <w:tcW w:w="780" w:type="dxa"/>
            <w:vAlign w:val="bottom"/>
          </w:tcPr>
          <w:p>
            <w:pPr>
              <w:spacing w:after="0"/>
              <w:rPr>
                <w:sz w:val="20"/>
                <w:szCs w:val="20"/>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3A4967"/>
              </w:rPr>
              <w:t>333,831</w:t>
            </w:r>
          </w:p>
        </w:tc>
        <w:tc>
          <w:tcPr>
            <w:tcW w:w="84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b w:val="1"/>
                <w:bCs w:val="1"/>
                <w:color w:val="3A4967"/>
              </w:rPr>
              <w:t>352,064</w:t>
            </w:r>
          </w:p>
        </w:tc>
      </w:tr>
      <w:tr>
        <w:trPr>
          <w:trHeight w:val="31"/>
        </w:trPr>
        <w:tc>
          <w:tcPr>
            <w:tcW w:w="6440" w:type="dxa"/>
            <w:vAlign w:val="bottom"/>
            <w:tcBorders>
              <w:bottom w:val="single" w:sz="8" w:color="3A4967"/>
            </w:tcBorders>
          </w:tcPr>
          <w:p>
            <w:pPr>
              <w:spacing w:after="0"/>
              <w:rPr>
                <w:sz w:val="2"/>
                <w:szCs w:val="2"/>
                <w:color w:val="auto"/>
              </w:rPr>
            </w:pPr>
          </w:p>
        </w:tc>
        <w:tc>
          <w:tcPr>
            <w:tcW w:w="780" w:type="dxa"/>
            <w:vAlign w:val="bottom"/>
            <w:tcBorders>
              <w:bottom w:val="single" w:sz="8" w:color="3A4967"/>
            </w:tcBorders>
          </w:tcPr>
          <w:p>
            <w:pPr>
              <w:spacing w:after="0"/>
              <w:rPr>
                <w:sz w:val="2"/>
                <w:szCs w:val="2"/>
                <w:color w:val="auto"/>
              </w:rPr>
            </w:pPr>
          </w:p>
        </w:tc>
        <w:tc>
          <w:tcPr>
            <w:tcW w:w="1160" w:type="dxa"/>
            <w:vAlign w:val="bottom"/>
            <w:tcBorders>
              <w:bottom w:val="single" w:sz="8" w:color="3A4967"/>
            </w:tcBorders>
          </w:tcPr>
          <w:p>
            <w:pPr>
              <w:spacing w:after="0"/>
              <w:rPr>
                <w:sz w:val="2"/>
                <w:szCs w:val="2"/>
                <w:color w:val="auto"/>
              </w:rPr>
            </w:pPr>
          </w:p>
        </w:tc>
        <w:tc>
          <w:tcPr>
            <w:tcW w:w="840" w:type="dxa"/>
            <w:vAlign w:val="bottom"/>
            <w:tcBorders>
              <w:bottom w:val="single" w:sz="8" w:color="3A4967"/>
            </w:tcBorders>
          </w:tcPr>
          <w:p>
            <w:pPr>
              <w:spacing w:after="0"/>
              <w:rPr>
                <w:sz w:val="2"/>
                <w:szCs w:val="2"/>
                <w:color w:val="auto"/>
              </w:rPr>
            </w:pPr>
          </w:p>
        </w:tc>
        <w:tc>
          <w:tcPr>
            <w:tcW w:w="960" w:type="dxa"/>
            <w:vAlign w:val="bottom"/>
            <w:tcBorders>
              <w:bottom w:val="single" w:sz="8" w:color="3A4967"/>
            </w:tcBorders>
          </w:tcPr>
          <w:p>
            <w:pPr>
              <w:spacing w:after="0"/>
              <w:rPr>
                <w:sz w:val="2"/>
                <w:szCs w:val="2"/>
                <w:color w:val="auto"/>
              </w:rPr>
            </w:pPr>
          </w:p>
        </w:tc>
      </w:tr>
      <w:tr>
        <w:trPr>
          <w:trHeight w:val="226"/>
        </w:trPr>
        <w:tc>
          <w:tcPr>
            <w:tcW w:w="6440" w:type="dxa"/>
            <w:vAlign w:val="bottom"/>
          </w:tcPr>
          <w:p>
            <w:pPr>
              <w:ind w:left="80"/>
              <w:spacing w:after="0"/>
              <w:rPr>
                <w:sz w:val="20"/>
                <w:szCs w:val="20"/>
                <w:color w:val="auto"/>
              </w:rPr>
            </w:pPr>
            <w:r>
              <w:rPr>
                <w:rFonts w:ascii="Arial" w:cs="Arial" w:eastAsia="Arial" w:hAnsi="Arial"/>
                <w:sz w:val="17"/>
                <w:szCs w:val="17"/>
                <w:color w:val="3A4967"/>
              </w:rPr>
              <w:t>Commitments and Contingencies (See Note M)</w:t>
            </w: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81"/>
        </w:trPr>
        <w:tc>
          <w:tcPr>
            <w:tcW w:w="6440" w:type="dxa"/>
            <w:vAlign w:val="bottom"/>
          </w:tcPr>
          <w:p>
            <w:pPr>
              <w:ind w:left="80"/>
              <w:spacing w:after="0"/>
              <w:rPr>
                <w:sz w:val="20"/>
                <w:szCs w:val="20"/>
                <w:color w:val="auto"/>
              </w:rPr>
            </w:pPr>
            <w:r>
              <w:rPr>
                <w:rFonts w:ascii="Arial" w:cs="Arial" w:eastAsia="Arial" w:hAnsi="Arial"/>
                <w:sz w:val="17"/>
                <w:szCs w:val="17"/>
                <w:color w:val="3A4967"/>
              </w:rPr>
              <w:t>Stockholders’ Equity:</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7"/>
        </w:trPr>
        <w:tc>
          <w:tcPr>
            <w:tcW w:w="6440" w:type="dxa"/>
            <w:vAlign w:val="bottom"/>
          </w:tcPr>
          <w:p>
            <w:pPr>
              <w:ind w:left="220"/>
              <w:spacing w:after="0"/>
              <w:rPr>
                <w:sz w:val="20"/>
                <w:szCs w:val="20"/>
                <w:color w:val="auto"/>
              </w:rPr>
            </w:pPr>
            <w:r>
              <w:rPr>
                <w:rFonts w:ascii="Arial" w:cs="Arial" w:eastAsia="Arial" w:hAnsi="Arial"/>
                <w:sz w:val="17"/>
                <w:szCs w:val="17"/>
                <w:color w:val="3A4967"/>
              </w:rPr>
              <w:t>Class A Common Stock, $0.01 par value; 22,700,000 shares authorized;</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4"/>
        </w:trPr>
        <w:tc>
          <w:tcPr>
            <w:tcW w:w="6440" w:type="dxa"/>
            <w:vAlign w:val="bottom"/>
          </w:tcPr>
          <w:p>
            <w:pPr>
              <w:ind w:left="220"/>
              <w:spacing w:after="0"/>
              <w:rPr>
                <w:sz w:val="20"/>
                <w:szCs w:val="20"/>
                <w:color w:val="auto"/>
              </w:rPr>
            </w:pPr>
            <w:r>
              <w:rPr>
                <w:rFonts w:ascii="Arial" w:cs="Arial" w:eastAsia="Arial" w:hAnsi="Arial"/>
                <w:sz w:val="17"/>
                <w:szCs w:val="17"/>
                <w:color w:val="3A4967"/>
              </w:rPr>
              <w:t>9,263,198 and 10,033,303 issued and outstanding as of December 28, 2024 and</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8"/>
        </w:trPr>
        <w:tc>
          <w:tcPr>
            <w:tcW w:w="6440" w:type="dxa"/>
            <w:vAlign w:val="bottom"/>
          </w:tcPr>
          <w:p>
            <w:pPr>
              <w:ind w:left="220"/>
              <w:spacing w:after="0"/>
              <w:rPr>
                <w:sz w:val="20"/>
                <w:szCs w:val="20"/>
                <w:color w:val="auto"/>
              </w:rPr>
            </w:pPr>
            <w:r>
              <w:rPr>
                <w:rFonts w:ascii="Arial" w:cs="Arial" w:eastAsia="Arial" w:hAnsi="Arial"/>
                <w:sz w:val="17"/>
                <w:szCs w:val="17"/>
                <w:color w:val="3A4967"/>
              </w:rPr>
              <w:t>December 30, 2023, respectively</w:t>
            </w:r>
          </w:p>
        </w:tc>
        <w:tc>
          <w:tcPr>
            <w:tcW w:w="780" w:type="dxa"/>
            <w:vAlign w:val="bottom"/>
          </w:tcPr>
          <w:p>
            <w:pPr>
              <w:spacing w:after="0"/>
              <w:rPr>
                <w:sz w:val="18"/>
                <w:szCs w:val="18"/>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93</w:t>
            </w:r>
          </w:p>
        </w:tc>
        <w:tc>
          <w:tcPr>
            <w:tcW w:w="8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100</w:t>
            </w:r>
          </w:p>
        </w:tc>
      </w:tr>
      <w:tr>
        <w:trPr>
          <w:trHeight w:val="277"/>
        </w:trPr>
        <w:tc>
          <w:tcPr>
            <w:tcW w:w="6440" w:type="dxa"/>
            <w:vAlign w:val="bottom"/>
          </w:tcPr>
          <w:p>
            <w:pPr>
              <w:ind w:left="220"/>
              <w:spacing w:after="0"/>
              <w:rPr>
                <w:sz w:val="20"/>
                <w:szCs w:val="20"/>
                <w:color w:val="auto"/>
              </w:rPr>
            </w:pPr>
            <w:r>
              <w:rPr>
                <w:rFonts w:ascii="Arial" w:cs="Arial" w:eastAsia="Arial" w:hAnsi="Arial"/>
                <w:sz w:val="17"/>
                <w:szCs w:val="17"/>
                <w:color w:val="3A4967"/>
              </w:rPr>
              <w:t>Class B Common Stock, $0.01 par value; 4,200,000 shares authorized; 2,068,000</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8"/>
        </w:trPr>
        <w:tc>
          <w:tcPr>
            <w:tcW w:w="6440" w:type="dxa"/>
            <w:vAlign w:val="bottom"/>
          </w:tcPr>
          <w:p>
            <w:pPr>
              <w:ind w:left="220"/>
              <w:spacing w:after="0"/>
              <w:rPr>
                <w:sz w:val="20"/>
                <w:szCs w:val="20"/>
                <w:color w:val="auto"/>
              </w:rPr>
            </w:pPr>
            <w:r>
              <w:rPr>
                <w:rFonts w:ascii="Arial" w:cs="Arial" w:eastAsia="Arial" w:hAnsi="Arial"/>
                <w:sz w:val="17"/>
                <w:szCs w:val="17"/>
                <w:color w:val="3A4967"/>
              </w:rPr>
              <w:t>issued and outstanding at December 28, 2024 and December 30, 2023</w:t>
            </w:r>
          </w:p>
        </w:tc>
        <w:tc>
          <w:tcPr>
            <w:tcW w:w="780" w:type="dxa"/>
            <w:vAlign w:val="bottom"/>
          </w:tcPr>
          <w:p>
            <w:pPr>
              <w:spacing w:after="0"/>
              <w:rPr>
                <w:sz w:val="18"/>
                <w:szCs w:val="18"/>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21</w:t>
            </w:r>
          </w:p>
        </w:tc>
        <w:tc>
          <w:tcPr>
            <w:tcW w:w="8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21</w:t>
            </w: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Additional paid-in capital</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676,454</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656,297</w:t>
            </w: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Accumulated other comprehensive loss</w:t>
            </w:r>
          </w:p>
        </w:tc>
        <w:tc>
          <w:tcPr>
            <w:tcW w:w="780" w:type="dxa"/>
            <w:vAlign w:val="bottom"/>
          </w:tcPr>
          <w:p>
            <w:pPr>
              <w:spacing w:after="0"/>
              <w:rPr>
                <w:sz w:val="24"/>
                <w:szCs w:val="24"/>
                <w:color w:val="auto"/>
              </w:rPr>
            </w:pPr>
          </w:p>
        </w:tc>
        <w:tc>
          <w:tcPr>
            <w:tcW w:w="1160" w:type="dxa"/>
            <w:vAlign w:val="bottom"/>
          </w:tcPr>
          <w:p>
            <w:pPr>
              <w:jc w:val="right"/>
              <w:ind w:right="155"/>
              <w:spacing w:after="0"/>
              <w:rPr>
                <w:sz w:val="20"/>
                <w:szCs w:val="20"/>
                <w:color w:val="auto"/>
              </w:rPr>
            </w:pPr>
            <w:r>
              <w:rPr>
                <w:rFonts w:ascii="Arial" w:cs="Arial" w:eastAsia="Arial" w:hAnsi="Arial"/>
                <w:sz w:val="17"/>
                <w:szCs w:val="17"/>
                <w:color w:val="3A4967"/>
              </w:rPr>
              <w:t>(696)</w:t>
            </w:r>
          </w:p>
        </w:tc>
        <w:tc>
          <w:tcPr>
            <w:tcW w:w="8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3A4967"/>
              </w:rPr>
              <w:t>(57)</w:t>
            </w:r>
          </w:p>
        </w:tc>
      </w:tr>
      <w:tr>
        <w:trPr>
          <w:trHeight w:val="281"/>
        </w:trPr>
        <w:tc>
          <w:tcPr>
            <w:tcW w:w="6440" w:type="dxa"/>
            <w:vAlign w:val="bottom"/>
          </w:tcPr>
          <w:p>
            <w:pPr>
              <w:ind w:left="220"/>
              <w:spacing w:after="0"/>
              <w:rPr>
                <w:sz w:val="20"/>
                <w:szCs w:val="20"/>
                <w:color w:val="auto"/>
              </w:rPr>
            </w:pPr>
            <w:r>
              <w:rPr>
                <w:rFonts w:ascii="Arial" w:cs="Arial" w:eastAsia="Arial" w:hAnsi="Arial"/>
                <w:sz w:val="17"/>
                <w:szCs w:val="17"/>
                <w:color w:val="3A4967"/>
              </w:rPr>
              <w:t>Retained earnings</w:t>
            </w:r>
          </w:p>
        </w:tc>
        <w:tc>
          <w:tcPr>
            <w:tcW w:w="780" w:type="dxa"/>
            <w:vAlign w:val="bottom"/>
          </w:tcPr>
          <w:p>
            <w:pPr>
              <w:spacing w:after="0"/>
              <w:rPr>
                <w:sz w:val="24"/>
                <w:szCs w:val="24"/>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240,315</w:t>
            </w:r>
          </w:p>
        </w:tc>
        <w:tc>
          <w:tcPr>
            <w:tcW w:w="84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421,568</w:t>
            </w:r>
          </w:p>
        </w:tc>
      </w:tr>
      <w:tr>
        <w:trPr>
          <w:trHeight w:val="35"/>
        </w:trPr>
        <w:tc>
          <w:tcPr>
            <w:tcW w:w="64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60" w:type="dxa"/>
            <w:vAlign w:val="bottom"/>
            <w:tcBorders>
              <w:bottom w:val="single" w:sz="8" w:color="3A4967"/>
            </w:tcBorders>
          </w:tcPr>
          <w:p>
            <w:pPr>
              <w:spacing w:after="0"/>
              <w:rPr>
                <w:sz w:val="3"/>
                <w:szCs w:val="3"/>
                <w:color w:val="auto"/>
              </w:rPr>
            </w:pPr>
          </w:p>
        </w:tc>
      </w:tr>
      <w:tr>
        <w:trPr>
          <w:trHeight w:val="226"/>
        </w:trPr>
        <w:tc>
          <w:tcPr>
            <w:tcW w:w="6440" w:type="dxa"/>
            <w:vAlign w:val="bottom"/>
          </w:tcPr>
          <w:p>
            <w:pPr>
              <w:ind w:left="220"/>
              <w:spacing w:after="0"/>
              <w:rPr>
                <w:sz w:val="20"/>
                <w:szCs w:val="20"/>
                <w:color w:val="auto"/>
              </w:rPr>
            </w:pPr>
            <w:r>
              <w:rPr>
                <w:rFonts w:ascii="Arial" w:cs="Arial" w:eastAsia="Arial" w:hAnsi="Arial"/>
                <w:sz w:val="17"/>
                <w:szCs w:val="17"/>
                <w:color w:val="3A4967"/>
              </w:rPr>
              <w:t>Total stockholders' equity</w:t>
            </w:r>
          </w:p>
        </w:tc>
        <w:tc>
          <w:tcPr>
            <w:tcW w:w="780" w:type="dxa"/>
            <w:vAlign w:val="bottom"/>
          </w:tcPr>
          <w:p>
            <w:pPr>
              <w:spacing w:after="0"/>
              <w:rPr>
                <w:sz w:val="19"/>
                <w:szCs w:val="19"/>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color w:val="3A4967"/>
              </w:rPr>
              <w:t>916,187</w:t>
            </w:r>
          </w:p>
        </w:tc>
        <w:tc>
          <w:tcPr>
            <w:tcW w:w="84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3A4967"/>
              </w:rPr>
              <w:t>1,077,929</w:t>
            </w:r>
          </w:p>
        </w:tc>
      </w:tr>
      <w:tr>
        <w:trPr>
          <w:trHeight w:val="35"/>
        </w:trPr>
        <w:tc>
          <w:tcPr>
            <w:tcW w:w="644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60" w:type="dxa"/>
            <w:vAlign w:val="bottom"/>
            <w:tcBorders>
              <w:bottom w:val="single" w:sz="8" w:color="3A4967"/>
            </w:tcBorders>
          </w:tcPr>
          <w:p>
            <w:pPr>
              <w:spacing w:after="0"/>
              <w:rPr>
                <w:sz w:val="3"/>
                <w:szCs w:val="3"/>
                <w:color w:val="auto"/>
              </w:rPr>
            </w:pPr>
          </w:p>
        </w:tc>
      </w:tr>
      <w:tr>
        <w:trPr>
          <w:trHeight w:val="266"/>
        </w:trPr>
        <w:tc>
          <w:tcPr>
            <w:tcW w:w="644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TOTAL LIABILITIES AND STOCKHOLDERS' EQUITY</w:t>
            </w:r>
          </w:p>
        </w:tc>
        <w:tc>
          <w:tcPr>
            <w:tcW w:w="780" w:type="dxa"/>
            <w:vAlign w:val="bottom"/>
            <w:tcBorders>
              <w:bottom w:val="single" w:sz="8" w:color="3A4967"/>
            </w:tcBorders>
          </w:tcPr>
          <w:p>
            <w:pPr>
              <w:jc w:val="right"/>
              <w:ind w:right="56"/>
              <w:spacing w:after="0"/>
              <w:rPr>
                <w:sz w:val="20"/>
                <w:szCs w:val="20"/>
                <w:color w:val="auto"/>
              </w:rPr>
            </w:pPr>
            <w:r>
              <w:rPr>
                <w:rFonts w:ascii="Arial" w:cs="Arial" w:eastAsia="Arial" w:hAnsi="Arial"/>
                <w:sz w:val="17"/>
                <w:szCs w:val="17"/>
                <w:b w:val="1"/>
                <w:bCs w:val="1"/>
                <w:color w:val="3A4967"/>
              </w:rPr>
              <w:t>$</w:t>
            </w:r>
          </w:p>
        </w:tc>
        <w:tc>
          <w:tcPr>
            <w:tcW w:w="1160" w:type="dxa"/>
            <w:vAlign w:val="bottom"/>
            <w:tcBorders>
              <w:bottom w:val="single" w:sz="8" w:color="3A4967"/>
            </w:tcBorders>
          </w:tcPr>
          <w:p>
            <w:pPr>
              <w:jc w:val="right"/>
              <w:ind w:right="195"/>
              <w:spacing w:after="0"/>
              <w:rPr>
                <w:sz w:val="20"/>
                <w:szCs w:val="20"/>
                <w:color w:val="auto"/>
              </w:rPr>
            </w:pPr>
            <w:r>
              <w:rPr>
                <w:rFonts w:ascii="Arial" w:cs="Arial" w:eastAsia="Arial" w:hAnsi="Arial"/>
                <w:sz w:val="17"/>
                <w:szCs w:val="17"/>
                <w:b w:val="1"/>
                <w:bCs w:val="1"/>
                <w:color w:val="3A4967"/>
              </w:rPr>
              <w:t>1,250,018</w:t>
            </w:r>
          </w:p>
        </w:tc>
        <w:tc>
          <w:tcPr>
            <w:tcW w:w="84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b w:val="1"/>
                <w:bCs w:val="1"/>
                <w:color w:val="3A4967"/>
              </w:rPr>
              <w:t>$</w:t>
            </w:r>
          </w:p>
        </w:tc>
        <w:tc>
          <w:tcPr>
            <w:tcW w:w="960" w:type="dxa"/>
            <w:vAlign w:val="bottom"/>
            <w:tcBorders>
              <w:bottom w:val="single" w:sz="8" w:color="3A4967"/>
            </w:tcBorders>
          </w:tcPr>
          <w:p>
            <w:pPr>
              <w:jc w:val="right"/>
              <w:ind w:right="15"/>
              <w:spacing w:after="0"/>
              <w:rPr>
                <w:sz w:val="20"/>
                <w:szCs w:val="20"/>
                <w:color w:val="auto"/>
              </w:rPr>
            </w:pPr>
            <w:r>
              <w:rPr>
                <w:rFonts w:ascii="Arial" w:cs="Arial" w:eastAsia="Arial" w:hAnsi="Arial"/>
                <w:sz w:val="17"/>
                <w:szCs w:val="17"/>
                <w:b w:val="1"/>
                <w:bCs w:val="1"/>
                <w:color w:val="3A4967"/>
              </w:rPr>
              <w:t>1,429,993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-6661785</wp:posOffset>
            </wp:positionV>
            <wp:extent cx="6482080" cy="6657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482080" cy="665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231140</wp:posOffset>
            </wp:positionV>
            <wp:extent cx="2584450" cy="1917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36</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46" w:name="page47"/>
    <w:bookmarkEnd w:id="46"/>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5280"/>
        <w:spacing w:after="0" w:line="298" w:lineRule="auto"/>
        <w:rPr>
          <w:sz w:val="20"/>
          <w:szCs w:val="20"/>
          <w:color w:val="auto"/>
        </w:rPr>
      </w:pPr>
      <w:r>
        <w:rPr>
          <w:rFonts w:ascii="Arial" w:cs="Arial" w:eastAsia="Arial" w:hAnsi="Arial"/>
          <w:sz w:val="17"/>
          <w:szCs w:val="17"/>
          <w:b w:val="1"/>
          <w:bCs w:val="1"/>
          <w:color w:val="3A4967"/>
        </w:rPr>
        <w:t>THE BOSTON BEER COMPANY, INC. AND SUBSIDIARIES CONSOLIDATED STATEMENTS OF STOCKHOLDERS’ EQUITY</w:t>
      </w:r>
    </w:p>
    <w:p>
      <w:pPr>
        <w:spacing w:after="0"/>
        <w:rPr>
          <w:sz w:val="20"/>
          <w:szCs w:val="20"/>
          <w:color w:val="auto"/>
        </w:rPr>
      </w:pPr>
      <w:r>
        <w:rPr>
          <w:rFonts w:ascii="Arial" w:cs="Arial" w:eastAsia="Arial" w:hAnsi="Arial"/>
          <w:sz w:val="17"/>
          <w:szCs w:val="17"/>
          <w:b w:val="1"/>
          <w:bCs w:val="1"/>
          <w:color w:val="3A4967"/>
        </w:rPr>
        <w:t>For the Years Ended December 28, 2024, December 30, 2023, and December 31,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Arial" w:cs="Arial" w:eastAsia="Arial" w:hAnsi="Arial"/>
                <w:sz w:val="16"/>
                <w:szCs w:val="16"/>
                <w:b w:val="1"/>
                <w:bCs w:val="1"/>
                <w:color w:val="3A4967"/>
              </w:rPr>
              <w:t>Accumulated</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19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Arial" w:cs="Arial" w:eastAsia="Arial" w:hAnsi="Arial"/>
                <w:sz w:val="16"/>
                <w:szCs w:val="16"/>
                <w:b w:val="1"/>
                <w:bCs w:val="1"/>
                <w:color w:val="3A4967"/>
              </w:rPr>
              <w:t>Class A</w:t>
            </w:r>
          </w:p>
        </w:tc>
        <w:tc>
          <w:tcPr>
            <w:tcW w:w="220" w:type="dxa"/>
            <w:vAlign w:val="bottom"/>
          </w:tcPr>
          <w:p>
            <w:pPr>
              <w:spacing w:after="0"/>
              <w:rPr>
                <w:sz w:val="16"/>
                <w:szCs w:val="16"/>
                <w:color w:val="auto"/>
              </w:rPr>
            </w:pPr>
          </w:p>
        </w:tc>
        <w:tc>
          <w:tcPr>
            <w:tcW w:w="740" w:type="dxa"/>
            <w:vAlign w:val="bottom"/>
          </w:tcPr>
          <w:p>
            <w:pPr>
              <w:jc w:val="right"/>
              <w:ind w:right="36"/>
              <w:spacing w:after="0"/>
              <w:rPr>
                <w:sz w:val="20"/>
                <w:szCs w:val="20"/>
                <w:color w:val="auto"/>
              </w:rPr>
            </w:pPr>
            <w:r>
              <w:rPr>
                <w:rFonts w:ascii="Arial" w:cs="Arial" w:eastAsia="Arial" w:hAnsi="Arial"/>
                <w:sz w:val="16"/>
                <w:szCs w:val="16"/>
                <w:b w:val="1"/>
                <w:bCs w:val="1"/>
                <w:color w:val="3A4967"/>
              </w:rPr>
              <w:t>Class A</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3A4967"/>
              </w:rPr>
              <w:t>Class B</w:t>
            </w:r>
          </w:p>
        </w:tc>
        <w:tc>
          <w:tcPr>
            <w:tcW w:w="200" w:type="dxa"/>
            <w:vAlign w:val="bottom"/>
          </w:tcPr>
          <w:p>
            <w:pPr>
              <w:spacing w:after="0"/>
              <w:rPr>
                <w:sz w:val="16"/>
                <w:szCs w:val="16"/>
                <w:color w:val="auto"/>
              </w:rPr>
            </w:pPr>
          </w:p>
        </w:tc>
        <w:tc>
          <w:tcPr>
            <w:tcW w:w="820" w:type="dxa"/>
            <w:vAlign w:val="bottom"/>
          </w:tcPr>
          <w:p>
            <w:pPr>
              <w:jc w:val="right"/>
              <w:ind w:right="17"/>
              <w:spacing w:after="0"/>
              <w:rPr>
                <w:sz w:val="20"/>
                <w:szCs w:val="20"/>
                <w:color w:val="auto"/>
              </w:rPr>
            </w:pPr>
            <w:r>
              <w:rPr>
                <w:rFonts w:ascii="Arial" w:cs="Arial" w:eastAsia="Arial" w:hAnsi="Arial"/>
                <w:sz w:val="16"/>
                <w:szCs w:val="16"/>
                <w:b w:val="1"/>
                <w:bCs w:val="1"/>
                <w:color w:val="3A4967"/>
              </w:rPr>
              <w:t>Class B</w:t>
            </w:r>
          </w:p>
        </w:tc>
        <w:tc>
          <w:tcPr>
            <w:tcW w:w="980" w:type="dxa"/>
            <w:vAlign w:val="bottom"/>
          </w:tcPr>
          <w:p>
            <w:pPr>
              <w:jc w:val="right"/>
              <w:ind w:right="26"/>
              <w:spacing w:after="0"/>
              <w:rPr>
                <w:sz w:val="20"/>
                <w:szCs w:val="20"/>
                <w:color w:val="auto"/>
              </w:rPr>
            </w:pPr>
            <w:r>
              <w:rPr>
                <w:rFonts w:ascii="Arial" w:cs="Arial" w:eastAsia="Arial" w:hAnsi="Arial"/>
                <w:sz w:val="16"/>
                <w:szCs w:val="16"/>
                <w:b w:val="1"/>
                <w:bCs w:val="1"/>
                <w:color w:val="3A4967"/>
              </w:rPr>
              <w:t>Additional</w:t>
            </w:r>
          </w:p>
        </w:tc>
        <w:tc>
          <w:tcPr>
            <w:tcW w:w="26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Arial" w:cs="Arial" w:eastAsia="Arial" w:hAnsi="Arial"/>
                <w:sz w:val="16"/>
                <w:szCs w:val="16"/>
                <w:b w:val="1"/>
                <w:bCs w:val="1"/>
                <w:color w:val="3A4967"/>
              </w:rPr>
              <w:t>Other</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5"/>
              <w:spacing w:after="0"/>
              <w:rPr>
                <w:sz w:val="20"/>
                <w:szCs w:val="20"/>
                <w:color w:val="auto"/>
              </w:rPr>
            </w:pPr>
            <w:r>
              <w:rPr>
                <w:rFonts w:ascii="Arial" w:cs="Arial" w:eastAsia="Arial" w:hAnsi="Arial"/>
                <w:sz w:val="16"/>
                <w:szCs w:val="16"/>
                <w:b w:val="1"/>
                <w:bCs w:val="1"/>
                <w:color w:val="3A4967"/>
              </w:rPr>
              <w:t>Total</w:t>
            </w:r>
          </w:p>
        </w:tc>
      </w:tr>
      <w:tr>
        <w:trPr>
          <w:trHeight w:val="192"/>
        </w:trPr>
        <w:tc>
          <w:tcPr>
            <w:tcW w:w="194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Arial" w:cs="Arial" w:eastAsia="Arial" w:hAnsi="Arial"/>
                <w:sz w:val="16"/>
                <w:szCs w:val="16"/>
                <w:b w:val="1"/>
                <w:bCs w:val="1"/>
                <w:color w:val="3A4967"/>
              </w:rPr>
              <w:t>Common</w:t>
            </w:r>
          </w:p>
        </w:tc>
        <w:tc>
          <w:tcPr>
            <w:tcW w:w="960" w:type="dxa"/>
            <w:vAlign w:val="bottom"/>
            <w:gridSpan w:val="2"/>
          </w:tcPr>
          <w:p>
            <w:pPr>
              <w:jc w:val="right"/>
              <w:ind w:right="36"/>
              <w:spacing w:after="0"/>
              <w:rPr>
                <w:sz w:val="20"/>
                <w:szCs w:val="20"/>
                <w:color w:val="auto"/>
              </w:rPr>
            </w:pPr>
            <w:r>
              <w:rPr>
                <w:rFonts w:ascii="Arial" w:cs="Arial" w:eastAsia="Arial" w:hAnsi="Arial"/>
                <w:sz w:val="16"/>
                <w:szCs w:val="16"/>
                <w:b w:val="1"/>
                <w:bCs w:val="1"/>
                <w:color w:val="3A4967"/>
              </w:rPr>
              <w:t>Common</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3A4967"/>
              </w:rPr>
              <w:t>Common</w:t>
            </w:r>
          </w:p>
        </w:tc>
        <w:tc>
          <w:tcPr>
            <w:tcW w:w="200" w:type="dxa"/>
            <w:vAlign w:val="bottom"/>
          </w:tcPr>
          <w:p>
            <w:pPr>
              <w:spacing w:after="0"/>
              <w:rPr>
                <w:sz w:val="16"/>
                <w:szCs w:val="16"/>
                <w:color w:val="auto"/>
              </w:rPr>
            </w:pPr>
          </w:p>
        </w:tc>
        <w:tc>
          <w:tcPr>
            <w:tcW w:w="820" w:type="dxa"/>
            <w:vAlign w:val="bottom"/>
          </w:tcPr>
          <w:p>
            <w:pPr>
              <w:jc w:val="right"/>
              <w:ind w:right="17"/>
              <w:spacing w:after="0"/>
              <w:rPr>
                <w:sz w:val="20"/>
                <w:szCs w:val="20"/>
                <w:color w:val="auto"/>
              </w:rPr>
            </w:pPr>
            <w:r>
              <w:rPr>
                <w:rFonts w:ascii="Arial" w:cs="Arial" w:eastAsia="Arial" w:hAnsi="Arial"/>
                <w:sz w:val="16"/>
                <w:szCs w:val="16"/>
                <w:b w:val="1"/>
                <w:bCs w:val="1"/>
                <w:color w:val="3A4967"/>
              </w:rPr>
              <w:t>Common</w:t>
            </w:r>
          </w:p>
        </w:tc>
        <w:tc>
          <w:tcPr>
            <w:tcW w:w="3320" w:type="dxa"/>
            <w:vAlign w:val="bottom"/>
            <w:gridSpan w:val="4"/>
          </w:tcPr>
          <w:p>
            <w:pPr>
              <w:jc w:val="right"/>
              <w:ind w:right="16"/>
              <w:spacing w:after="0"/>
              <w:rPr>
                <w:sz w:val="20"/>
                <w:szCs w:val="20"/>
                <w:color w:val="auto"/>
              </w:rPr>
            </w:pPr>
            <w:r>
              <w:rPr>
                <w:rFonts w:ascii="Arial" w:cs="Arial" w:eastAsia="Arial" w:hAnsi="Arial"/>
                <w:sz w:val="16"/>
                <w:szCs w:val="16"/>
                <w:b w:val="1"/>
                <w:bCs w:val="1"/>
                <w:color w:val="3A4967"/>
              </w:rPr>
              <w:t>Paid-inComprehensiveRetained</w:t>
            </w:r>
          </w:p>
        </w:tc>
        <w:tc>
          <w:tcPr>
            <w:tcW w:w="1260" w:type="dxa"/>
            <w:vAlign w:val="bottom"/>
            <w:gridSpan w:val="2"/>
          </w:tcPr>
          <w:p>
            <w:pPr>
              <w:jc w:val="right"/>
              <w:ind w:right="35"/>
              <w:spacing w:after="0"/>
              <w:rPr>
                <w:sz w:val="20"/>
                <w:szCs w:val="20"/>
                <w:color w:val="auto"/>
              </w:rPr>
            </w:pPr>
            <w:r>
              <w:rPr>
                <w:rFonts w:ascii="Arial" w:cs="Arial" w:eastAsia="Arial" w:hAnsi="Arial"/>
                <w:sz w:val="16"/>
                <w:szCs w:val="16"/>
                <w:b w:val="1"/>
                <w:bCs w:val="1"/>
                <w:color w:val="3A4967"/>
              </w:rPr>
              <w:t>Stockholders’</w:t>
            </w:r>
          </w:p>
        </w:tc>
      </w:tr>
      <w:tr>
        <w:trPr>
          <w:trHeight w:val="198"/>
        </w:trPr>
        <w:tc>
          <w:tcPr>
            <w:tcW w:w="194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900" w:type="dxa"/>
            <w:vAlign w:val="bottom"/>
          </w:tcPr>
          <w:p>
            <w:pPr>
              <w:jc w:val="right"/>
              <w:ind w:right="16"/>
              <w:spacing w:after="0"/>
              <w:rPr>
                <w:sz w:val="20"/>
                <w:szCs w:val="20"/>
                <w:color w:val="auto"/>
              </w:rPr>
            </w:pPr>
            <w:r>
              <w:rPr>
                <w:rFonts w:ascii="Arial" w:cs="Arial" w:eastAsia="Arial" w:hAnsi="Arial"/>
                <w:sz w:val="16"/>
                <w:szCs w:val="16"/>
                <w:b w:val="1"/>
                <w:bCs w:val="1"/>
                <w:color w:val="3A4967"/>
              </w:rPr>
              <w:t>Shares</w:t>
            </w:r>
          </w:p>
        </w:tc>
        <w:tc>
          <w:tcPr>
            <w:tcW w:w="960" w:type="dxa"/>
            <w:vAlign w:val="bottom"/>
            <w:gridSpan w:val="2"/>
          </w:tcPr>
          <w:p>
            <w:pPr>
              <w:jc w:val="right"/>
              <w:ind w:right="36"/>
              <w:spacing w:after="0"/>
              <w:rPr>
                <w:sz w:val="20"/>
                <w:szCs w:val="20"/>
                <w:color w:val="auto"/>
              </w:rPr>
            </w:pPr>
            <w:r>
              <w:rPr>
                <w:rFonts w:ascii="Arial" w:cs="Arial" w:eastAsia="Arial" w:hAnsi="Arial"/>
                <w:sz w:val="16"/>
                <w:szCs w:val="16"/>
                <w:b w:val="1"/>
                <w:bCs w:val="1"/>
                <w:color w:val="3A4967"/>
              </w:rPr>
              <w:t>Stock, Par</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3A4967"/>
              </w:rPr>
              <w:t>Shares</w:t>
            </w:r>
          </w:p>
        </w:tc>
        <w:tc>
          <w:tcPr>
            <w:tcW w:w="1020" w:type="dxa"/>
            <w:vAlign w:val="bottom"/>
            <w:gridSpan w:val="2"/>
          </w:tcPr>
          <w:p>
            <w:pPr>
              <w:jc w:val="right"/>
              <w:ind w:right="17"/>
              <w:spacing w:after="0"/>
              <w:rPr>
                <w:sz w:val="20"/>
                <w:szCs w:val="20"/>
                <w:color w:val="auto"/>
              </w:rPr>
            </w:pPr>
            <w:r>
              <w:rPr>
                <w:rFonts w:ascii="Arial" w:cs="Arial" w:eastAsia="Arial" w:hAnsi="Arial"/>
                <w:sz w:val="16"/>
                <w:szCs w:val="16"/>
                <w:b w:val="1"/>
                <w:bCs w:val="1"/>
                <w:color w:val="3A4967"/>
              </w:rPr>
              <w:t>Stock, Par</w:t>
            </w:r>
          </w:p>
        </w:tc>
        <w:tc>
          <w:tcPr>
            <w:tcW w:w="980" w:type="dxa"/>
            <w:vAlign w:val="bottom"/>
          </w:tcPr>
          <w:p>
            <w:pPr>
              <w:jc w:val="right"/>
              <w:ind w:right="26"/>
              <w:spacing w:after="0"/>
              <w:rPr>
                <w:sz w:val="20"/>
                <w:szCs w:val="20"/>
                <w:color w:val="auto"/>
              </w:rPr>
            </w:pPr>
            <w:r>
              <w:rPr>
                <w:rFonts w:ascii="Arial" w:cs="Arial" w:eastAsia="Arial" w:hAnsi="Arial"/>
                <w:sz w:val="16"/>
                <w:szCs w:val="16"/>
                <w:b w:val="1"/>
                <w:bCs w:val="1"/>
                <w:color w:val="3A4967"/>
              </w:rPr>
              <w:t>Capital</w:t>
            </w:r>
          </w:p>
        </w:tc>
        <w:tc>
          <w:tcPr>
            <w:tcW w:w="260" w:type="dxa"/>
            <w:vAlign w:val="bottom"/>
          </w:tcPr>
          <w:p>
            <w:pPr>
              <w:spacing w:after="0"/>
              <w:rPr>
                <w:sz w:val="17"/>
                <w:szCs w:val="17"/>
                <w:color w:val="auto"/>
              </w:rPr>
            </w:pPr>
          </w:p>
        </w:tc>
        <w:tc>
          <w:tcPr>
            <w:tcW w:w="1180" w:type="dxa"/>
            <w:vAlign w:val="bottom"/>
          </w:tcPr>
          <w:p>
            <w:pPr>
              <w:jc w:val="right"/>
              <w:ind w:right="36"/>
              <w:spacing w:after="0"/>
              <w:rPr>
                <w:sz w:val="20"/>
                <w:szCs w:val="20"/>
                <w:color w:val="auto"/>
              </w:rPr>
            </w:pPr>
            <w:r>
              <w:rPr>
                <w:rFonts w:ascii="Arial" w:cs="Arial" w:eastAsia="Arial" w:hAnsi="Arial"/>
                <w:sz w:val="16"/>
                <w:szCs w:val="16"/>
                <w:b w:val="1"/>
                <w:bCs w:val="1"/>
                <w:color w:val="3A4967"/>
              </w:rPr>
              <w:t>Loss</w:t>
            </w:r>
          </w:p>
        </w:tc>
        <w:tc>
          <w:tcPr>
            <w:tcW w:w="900" w:type="dxa"/>
            <w:vAlign w:val="bottom"/>
          </w:tcPr>
          <w:p>
            <w:pPr>
              <w:jc w:val="right"/>
              <w:ind w:right="16"/>
              <w:spacing w:after="0"/>
              <w:rPr>
                <w:sz w:val="20"/>
                <w:szCs w:val="20"/>
                <w:color w:val="auto"/>
              </w:rPr>
            </w:pPr>
            <w:r>
              <w:rPr>
                <w:rFonts w:ascii="Arial" w:cs="Arial" w:eastAsia="Arial" w:hAnsi="Arial"/>
                <w:sz w:val="16"/>
                <w:szCs w:val="16"/>
                <w:b w:val="1"/>
                <w:bCs w:val="1"/>
                <w:color w:val="3A4967"/>
              </w:rPr>
              <w:t>Earnings</w:t>
            </w:r>
          </w:p>
        </w:tc>
        <w:tc>
          <w:tcPr>
            <w:tcW w:w="260" w:type="dxa"/>
            <w:vAlign w:val="bottom"/>
          </w:tcPr>
          <w:p>
            <w:pPr>
              <w:spacing w:after="0"/>
              <w:rPr>
                <w:sz w:val="17"/>
                <w:szCs w:val="17"/>
                <w:color w:val="auto"/>
              </w:rPr>
            </w:pPr>
          </w:p>
        </w:tc>
        <w:tc>
          <w:tcPr>
            <w:tcW w:w="1000" w:type="dxa"/>
            <w:vAlign w:val="bottom"/>
          </w:tcPr>
          <w:p>
            <w:pPr>
              <w:jc w:val="right"/>
              <w:ind w:right="35"/>
              <w:spacing w:after="0"/>
              <w:rPr>
                <w:sz w:val="20"/>
                <w:szCs w:val="20"/>
                <w:color w:val="auto"/>
              </w:rPr>
            </w:pPr>
            <w:r>
              <w:rPr>
                <w:rFonts w:ascii="Arial" w:cs="Arial" w:eastAsia="Arial" w:hAnsi="Arial"/>
                <w:sz w:val="16"/>
                <w:szCs w:val="16"/>
                <w:b w:val="1"/>
                <w:bCs w:val="1"/>
                <w:color w:val="3A4967"/>
              </w:rPr>
              <w:t>Equity</w:t>
            </w:r>
          </w:p>
        </w:tc>
      </w:tr>
      <w:tr>
        <w:trPr>
          <w:trHeight w:val="37"/>
        </w:trPr>
        <w:tc>
          <w:tcPr>
            <w:tcW w:w="194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22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200" w:type="dxa"/>
            <w:vAlign w:val="bottom"/>
            <w:tcBorders>
              <w:bottom w:val="single" w:sz="8" w:color="3A4967"/>
            </w:tcBorders>
          </w:tcPr>
          <w:p>
            <w:pPr>
              <w:spacing w:after="0"/>
              <w:rPr>
                <w:sz w:val="3"/>
                <w:szCs w:val="3"/>
                <w:color w:val="auto"/>
              </w:rPr>
            </w:pPr>
          </w:p>
        </w:tc>
        <w:tc>
          <w:tcPr>
            <w:tcW w:w="82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118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r>
      <w:tr>
        <w:trPr>
          <w:trHeight w:val="212"/>
        </w:trPr>
        <w:tc>
          <w:tcPr>
            <w:tcW w:w="1940" w:type="dxa"/>
            <w:vAlign w:val="bottom"/>
          </w:tcPr>
          <w:p>
            <w:pPr>
              <w:ind w:left="80"/>
              <w:spacing w:after="0"/>
              <w:rPr>
                <w:sz w:val="20"/>
                <w:szCs w:val="20"/>
                <w:color w:val="auto"/>
              </w:rPr>
            </w:pPr>
            <w:r>
              <w:rPr>
                <w:rFonts w:ascii="Arial" w:cs="Arial" w:eastAsia="Arial" w:hAnsi="Arial"/>
                <w:sz w:val="17"/>
                <w:szCs w:val="17"/>
                <w:color w:val="3A4967"/>
              </w:rPr>
              <w:t>Balance at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94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December 25, 2021</w:t>
            </w:r>
          </w:p>
        </w:tc>
        <w:tc>
          <w:tcPr>
            <w:tcW w:w="90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10,184</w:t>
            </w:r>
          </w:p>
        </w:tc>
        <w:tc>
          <w:tcPr>
            <w:tcW w:w="2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w:t>
            </w:r>
          </w:p>
        </w:tc>
        <w:tc>
          <w:tcPr>
            <w:tcW w:w="740" w:type="dxa"/>
            <w:vAlign w:val="bottom"/>
            <w:tcBorders>
              <w:bottom w:val="single" w:sz="8" w:color="3A4967"/>
            </w:tcBorders>
          </w:tcPr>
          <w:p>
            <w:pPr>
              <w:jc w:val="right"/>
              <w:ind w:right="36"/>
              <w:spacing w:after="0"/>
              <w:rPr>
                <w:sz w:val="20"/>
                <w:szCs w:val="20"/>
                <w:color w:val="auto"/>
              </w:rPr>
            </w:pPr>
            <w:r>
              <w:rPr>
                <w:rFonts w:ascii="Arial" w:cs="Arial" w:eastAsia="Arial" w:hAnsi="Arial"/>
                <w:sz w:val="17"/>
                <w:szCs w:val="17"/>
                <w:color w:val="3A4967"/>
              </w:rPr>
              <w:t>102</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2,068</w:t>
            </w:r>
          </w:p>
        </w:tc>
        <w:tc>
          <w:tcPr>
            <w:tcW w:w="20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w:t>
            </w:r>
          </w:p>
        </w:tc>
        <w:tc>
          <w:tcPr>
            <w:tcW w:w="820" w:type="dxa"/>
            <w:vAlign w:val="bottom"/>
            <w:tcBorders>
              <w:bottom w:val="single" w:sz="8" w:color="3A4967"/>
            </w:tcBorders>
          </w:tcPr>
          <w:p>
            <w:pPr>
              <w:jc w:val="right"/>
              <w:ind w:right="17"/>
              <w:spacing w:after="0"/>
              <w:rPr>
                <w:sz w:val="20"/>
                <w:szCs w:val="20"/>
                <w:color w:val="auto"/>
              </w:rPr>
            </w:pPr>
            <w:r>
              <w:rPr>
                <w:rFonts w:ascii="Arial" w:cs="Arial" w:eastAsia="Arial" w:hAnsi="Arial"/>
                <w:sz w:val="17"/>
                <w:szCs w:val="17"/>
                <w:color w:val="3A4967"/>
              </w:rPr>
              <w:t>21</w:t>
            </w:r>
          </w:p>
        </w:tc>
        <w:tc>
          <w:tcPr>
            <w:tcW w:w="980" w:type="dxa"/>
            <w:vAlign w:val="bottom"/>
            <w:tcBorders>
              <w:bottom w:val="single" w:sz="8" w:color="3A4967"/>
            </w:tcBorders>
          </w:tcPr>
          <w:p>
            <w:pPr>
              <w:jc w:val="right"/>
              <w:ind w:right="26"/>
              <w:spacing w:after="0"/>
              <w:rPr>
                <w:sz w:val="20"/>
                <w:szCs w:val="20"/>
                <w:color w:val="auto"/>
              </w:rPr>
            </w:pPr>
            <w:r>
              <w:rPr>
                <w:rFonts w:ascii="Arial" w:cs="Arial" w:eastAsia="Arial" w:hAnsi="Arial"/>
                <w:sz w:val="17"/>
                <w:szCs w:val="17"/>
                <w:color w:val="3A4967"/>
              </w:rPr>
              <w:t>$ 611,622</w:t>
            </w:r>
          </w:p>
        </w:tc>
        <w:tc>
          <w:tcPr>
            <w:tcW w:w="26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w:t>
            </w:r>
          </w:p>
        </w:tc>
        <w:tc>
          <w:tcPr>
            <w:tcW w:w="118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(194)</w:t>
            </w:r>
          </w:p>
        </w:tc>
        <w:tc>
          <w:tcPr>
            <w:tcW w:w="90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$ 371,858</w:t>
            </w:r>
          </w:p>
        </w:tc>
        <w:tc>
          <w:tcPr>
            <w:tcW w:w="260" w:type="dxa"/>
            <w:vAlign w:val="bottom"/>
            <w:tcBorders>
              <w:bottom w:val="single" w:sz="8" w:color="3A4967"/>
            </w:tcBorders>
          </w:tcPr>
          <w:p>
            <w:pPr>
              <w:jc w:val="right"/>
              <w:ind w:right="36"/>
              <w:spacing w:after="0"/>
              <w:rPr>
                <w:sz w:val="20"/>
                <w:szCs w:val="20"/>
                <w:color w:val="auto"/>
              </w:rPr>
            </w:pPr>
            <w:r>
              <w:rPr>
                <w:rFonts w:ascii="Arial" w:cs="Arial" w:eastAsia="Arial" w:hAnsi="Arial"/>
                <w:sz w:val="17"/>
                <w:szCs w:val="17"/>
                <w:color w:val="3A4967"/>
              </w:rPr>
              <w:t>$</w:t>
            </w:r>
          </w:p>
        </w:tc>
        <w:tc>
          <w:tcPr>
            <w:tcW w:w="1000" w:type="dxa"/>
            <w:vAlign w:val="bottom"/>
            <w:tcBorders>
              <w:bottom w:val="single" w:sz="8" w:color="3A4967"/>
            </w:tcBorders>
          </w:tcPr>
          <w:p>
            <w:pPr>
              <w:jc w:val="right"/>
              <w:ind w:right="35"/>
              <w:spacing w:after="0"/>
              <w:rPr>
                <w:sz w:val="20"/>
                <w:szCs w:val="20"/>
                <w:color w:val="auto"/>
              </w:rPr>
            </w:pPr>
            <w:r>
              <w:rPr>
                <w:rFonts w:ascii="Arial" w:cs="Arial" w:eastAsia="Arial" w:hAnsi="Arial"/>
                <w:sz w:val="17"/>
                <w:szCs w:val="17"/>
                <w:color w:val="3A4967"/>
              </w:rPr>
              <w:t>983,409</w:t>
            </w:r>
          </w:p>
        </w:tc>
      </w:tr>
      <w:tr>
        <w:trPr>
          <w:trHeight w:val="224"/>
        </w:trPr>
        <w:tc>
          <w:tcPr>
            <w:tcW w:w="1940" w:type="dxa"/>
            <w:vAlign w:val="bottom"/>
          </w:tcPr>
          <w:p>
            <w:pPr>
              <w:ind w:left="80"/>
              <w:spacing w:after="0"/>
              <w:rPr>
                <w:sz w:val="20"/>
                <w:szCs w:val="20"/>
                <w:color w:val="auto"/>
              </w:rPr>
            </w:pPr>
            <w:r>
              <w:rPr>
                <w:rFonts w:ascii="Arial" w:cs="Arial" w:eastAsia="Arial" w:hAnsi="Arial"/>
                <w:sz w:val="17"/>
                <w:szCs w:val="17"/>
                <w:color w:val="3A4967"/>
              </w:rPr>
              <w:t>Net income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3A4967"/>
              </w:rPr>
              <w:t>67,263</w:t>
            </w:r>
          </w:p>
        </w:tc>
        <w:tc>
          <w:tcPr>
            <w:tcW w:w="2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3A4967"/>
              </w:rPr>
              <w:t>67,263</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Stock options exercised</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4"/>
        </w:trPr>
        <w:tc>
          <w:tcPr>
            <w:tcW w:w="1940" w:type="dxa"/>
            <w:vAlign w:val="bottom"/>
          </w:tcPr>
          <w:p>
            <w:pPr>
              <w:ind w:left="80"/>
              <w:spacing w:after="0"/>
              <w:rPr>
                <w:sz w:val="20"/>
                <w:szCs w:val="20"/>
                <w:color w:val="auto"/>
              </w:rPr>
            </w:pPr>
            <w:r>
              <w:rPr>
                <w:rFonts w:ascii="Arial" w:cs="Arial" w:eastAsia="Arial" w:hAnsi="Arial"/>
                <w:sz w:val="17"/>
                <w:szCs w:val="17"/>
                <w:color w:val="3A4967"/>
              </w:rPr>
              <w:t>and restricted shares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1940" w:type="dxa"/>
            <w:vAlign w:val="bottom"/>
          </w:tcPr>
          <w:p>
            <w:pPr>
              <w:ind w:left="80"/>
              <w:spacing w:after="0"/>
              <w:rPr>
                <w:sz w:val="20"/>
                <w:szCs w:val="20"/>
                <w:color w:val="auto"/>
              </w:rPr>
            </w:pPr>
            <w:r>
              <w:rPr>
                <w:rFonts w:ascii="Arial" w:cs="Arial" w:eastAsia="Arial" w:hAnsi="Arial"/>
                <w:sz w:val="17"/>
                <w:szCs w:val="17"/>
                <w:color w:val="3A4967"/>
              </w:rPr>
              <w:t>activities</w:t>
            </w:r>
          </w:p>
        </w:tc>
        <w:tc>
          <w:tcPr>
            <w:tcW w:w="900" w:type="dxa"/>
            <w:vAlign w:val="bottom"/>
          </w:tcPr>
          <w:p>
            <w:pPr>
              <w:jc w:val="right"/>
              <w:ind w:right="16"/>
              <w:spacing w:after="0"/>
              <w:rPr>
                <w:sz w:val="20"/>
                <w:szCs w:val="20"/>
                <w:color w:val="auto"/>
              </w:rPr>
            </w:pPr>
            <w:r>
              <w:rPr>
                <w:rFonts w:ascii="Arial" w:cs="Arial" w:eastAsia="Arial" w:hAnsi="Arial"/>
                <w:sz w:val="17"/>
                <w:szCs w:val="17"/>
                <w:color w:val="3A4967"/>
              </w:rPr>
              <w:t>54</w:t>
            </w:r>
          </w:p>
        </w:tc>
        <w:tc>
          <w:tcPr>
            <w:tcW w:w="22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3A4967"/>
              </w:rPr>
              <w: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jc w:val="right"/>
              <w:ind w:right="26"/>
              <w:spacing w:after="0"/>
              <w:rPr>
                <w:sz w:val="20"/>
                <w:szCs w:val="20"/>
                <w:color w:val="auto"/>
              </w:rPr>
            </w:pPr>
            <w:r>
              <w:rPr>
                <w:rFonts w:ascii="Arial" w:cs="Arial" w:eastAsia="Arial" w:hAnsi="Arial"/>
                <w:sz w:val="17"/>
                <w:szCs w:val="17"/>
                <w:color w:val="3A4967"/>
              </w:rPr>
              <w:t>3,905</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3A4967"/>
              </w:rPr>
              <w:t>3,905</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Stock-based</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8"/>
        </w:trPr>
        <w:tc>
          <w:tcPr>
            <w:tcW w:w="1940" w:type="dxa"/>
            <w:vAlign w:val="bottom"/>
          </w:tcPr>
          <w:p>
            <w:pPr>
              <w:ind w:left="80"/>
              <w:spacing w:after="0"/>
              <w:rPr>
                <w:sz w:val="20"/>
                <w:szCs w:val="20"/>
                <w:color w:val="auto"/>
              </w:rPr>
            </w:pPr>
            <w:r>
              <w:rPr>
                <w:rFonts w:ascii="Arial" w:cs="Arial" w:eastAsia="Arial" w:hAnsi="Arial"/>
                <w:sz w:val="17"/>
                <w:szCs w:val="17"/>
                <w:color w:val="3A4967"/>
              </w:rPr>
              <w:t>compensation expense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jc w:val="right"/>
              <w:ind w:right="26"/>
              <w:spacing w:after="0"/>
              <w:rPr>
                <w:sz w:val="20"/>
                <w:szCs w:val="20"/>
                <w:color w:val="auto"/>
              </w:rPr>
            </w:pPr>
            <w:r>
              <w:rPr>
                <w:rFonts w:ascii="Arial" w:cs="Arial" w:eastAsia="Arial" w:hAnsi="Arial"/>
                <w:sz w:val="17"/>
                <w:szCs w:val="17"/>
                <w:color w:val="3A4967"/>
              </w:rPr>
              <w:t>13,988</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3A4967"/>
              </w:rPr>
              <w:t>13,988</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Defined benefit plans</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4"/>
        </w:trPr>
        <w:tc>
          <w:tcPr>
            <w:tcW w:w="1940" w:type="dxa"/>
            <w:vAlign w:val="bottom"/>
          </w:tcPr>
          <w:p>
            <w:pPr>
              <w:ind w:left="80"/>
              <w:spacing w:after="0"/>
              <w:rPr>
                <w:sz w:val="20"/>
                <w:szCs w:val="20"/>
                <w:color w:val="auto"/>
              </w:rPr>
            </w:pPr>
            <w:r>
              <w:rPr>
                <w:rFonts w:ascii="Arial" w:cs="Arial" w:eastAsia="Arial" w:hAnsi="Arial"/>
                <w:sz w:val="17"/>
                <w:szCs w:val="17"/>
                <w:color w:val="3A4967"/>
              </w:rPr>
              <w:t>liability adjustment,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1940" w:type="dxa"/>
            <w:vAlign w:val="bottom"/>
          </w:tcPr>
          <w:p>
            <w:pPr>
              <w:ind w:left="80"/>
              <w:spacing w:after="0"/>
              <w:rPr>
                <w:sz w:val="20"/>
                <w:szCs w:val="20"/>
                <w:color w:val="auto"/>
              </w:rPr>
            </w:pPr>
            <w:r>
              <w:rPr>
                <w:rFonts w:ascii="Arial" w:cs="Arial" w:eastAsia="Arial" w:hAnsi="Arial"/>
                <w:sz w:val="17"/>
                <w:szCs w:val="17"/>
                <w:color w:val="3A4967"/>
              </w:rPr>
              <w:t>net of tax of ($95)</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7"/>
                <w:szCs w:val="17"/>
                <w:color w:val="3A4967"/>
              </w:rPr>
              <w:t>253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3A4967"/>
              </w:rPr>
              <w:t>253</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Foreign currency</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194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translation adjustment</w:t>
            </w:r>
          </w:p>
        </w:tc>
        <w:tc>
          <w:tcPr>
            <w:tcW w:w="900" w:type="dxa"/>
            <w:vAlign w:val="bottom"/>
            <w:tcBorders>
              <w:bottom w:val="single" w:sz="8" w:color="3A4967"/>
            </w:tcBorders>
          </w:tcPr>
          <w:p>
            <w:pPr>
              <w:spacing w:after="0"/>
              <w:rPr>
                <w:sz w:val="18"/>
                <w:szCs w:val="18"/>
                <w:color w:val="auto"/>
              </w:rPr>
            </w:pPr>
          </w:p>
        </w:tc>
        <w:tc>
          <w:tcPr>
            <w:tcW w:w="220" w:type="dxa"/>
            <w:vAlign w:val="bottom"/>
            <w:tcBorders>
              <w:bottom w:val="single" w:sz="8" w:color="3A4967"/>
            </w:tcBorders>
          </w:tcPr>
          <w:p>
            <w:pPr>
              <w:spacing w:after="0"/>
              <w:rPr>
                <w:sz w:val="18"/>
                <w:szCs w:val="18"/>
                <w:color w:val="auto"/>
              </w:rPr>
            </w:pPr>
          </w:p>
        </w:tc>
        <w:tc>
          <w:tcPr>
            <w:tcW w:w="740" w:type="dxa"/>
            <w:vAlign w:val="bottom"/>
            <w:tcBorders>
              <w:bottom w:val="single" w:sz="8" w:color="3A4967"/>
            </w:tcBorders>
          </w:tcPr>
          <w:p>
            <w:pPr>
              <w:spacing w:after="0"/>
              <w:rPr>
                <w:sz w:val="18"/>
                <w:szCs w:val="18"/>
                <w:color w:val="auto"/>
              </w:rPr>
            </w:pPr>
          </w:p>
        </w:tc>
        <w:tc>
          <w:tcPr>
            <w:tcW w:w="840" w:type="dxa"/>
            <w:vAlign w:val="bottom"/>
            <w:tcBorders>
              <w:bottom w:val="single" w:sz="8" w:color="3A4967"/>
            </w:tcBorders>
          </w:tcPr>
          <w:p>
            <w:pPr>
              <w:spacing w:after="0"/>
              <w:rPr>
                <w:sz w:val="18"/>
                <w:szCs w:val="18"/>
                <w:color w:val="auto"/>
              </w:rPr>
            </w:pPr>
          </w:p>
        </w:tc>
        <w:tc>
          <w:tcPr>
            <w:tcW w:w="200" w:type="dxa"/>
            <w:vAlign w:val="bottom"/>
            <w:tcBorders>
              <w:bottom w:val="single" w:sz="8" w:color="3A4967"/>
            </w:tcBorders>
          </w:tcPr>
          <w:p>
            <w:pPr>
              <w:spacing w:after="0"/>
              <w:rPr>
                <w:sz w:val="18"/>
                <w:szCs w:val="18"/>
                <w:color w:val="auto"/>
              </w:rPr>
            </w:pPr>
          </w:p>
        </w:tc>
        <w:tc>
          <w:tcPr>
            <w:tcW w:w="820" w:type="dxa"/>
            <w:vAlign w:val="bottom"/>
            <w:tcBorders>
              <w:bottom w:val="single" w:sz="8" w:color="3A4967"/>
            </w:tcBorders>
          </w:tcPr>
          <w:p>
            <w:pPr>
              <w:spacing w:after="0"/>
              <w:rPr>
                <w:sz w:val="18"/>
                <w:szCs w:val="18"/>
                <w:color w:val="auto"/>
              </w:rPr>
            </w:pPr>
          </w:p>
        </w:tc>
        <w:tc>
          <w:tcPr>
            <w:tcW w:w="980" w:type="dxa"/>
            <w:vAlign w:val="bottom"/>
            <w:tcBorders>
              <w:bottom w:val="single" w:sz="8" w:color="3A4967"/>
            </w:tcBorders>
          </w:tcPr>
          <w:p>
            <w:pPr>
              <w:spacing w:after="0"/>
              <w:rPr>
                <w:sz w:val="18"/>
                <w:szCs w:val="18"/>
                <w:color w:val="auto"/>
              </w:rPr>
            </w:pPr>
          </w:p>
        </w:tc>
        <w:tc>
          <w:tcPr>
            <w:tcW w:w="260" w:type="dxa"/>
            <w:vAlign w:val="bottom"/>
            <w:tcBorders>
              <w:bottom w:val="single" w:sz="8" w:color="3A4967"/>
            </w:tcBorders>
          </w:tcPr>
          <w:p>
            <w:pPr>
              <w:spacing w:after="0"/>
              <w:rPr>
                <w:sz w:val="18"/>
                <w:szCs w:val="18"/>
                <w:color w:val="auto"/>
              </w:rPr>
            </w:pPr>
          </w:p>
        </w:tc>
        <w:tc>
          <w:tcPr>
            <w:tcW w:w="118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(269)</w:t>
            </w:r>
          </w:p>
        </w:tc>
        <w:tc>
          <w:tcPr>
            <w:tcW w:w="900" w:type="dxa"/>
            <w:vAlign w:val="bottom"/>
            <w:tcBorders>
              <w:bottom w:val="single" w:sz="8" w:color="3A4967"/>
            </w:tcBorders>
          </w:tcPr>
          <w:p>
            <w:pPr>
              <w:spacing w:after="0"/>
              <w:rPr>
                <w:sz w:val="18"/>
                <w:szCs w:val="18"/>
                <w:color w:val="auto"/>
              </w:rPr>
            </w:pPr>
          </w:p>
        </w:tc>
        <w:tc>
          <w:tcPr>
            <w:tcW w:w="260" w:type="dxa"/>
            <w:vAlign w:val="bottom"/>
            <w:tcBorders>
              <w:bottom w:val="single" w:sz="8" w:color="3A4967"/>
            </w:tcBorders>
          </w:tcPr>
          <w:p>
            <w:pPr>
              <w:spacing w:after="0"/>
              <w:rPr>
                <w:sz w:val="18"/>
                <w:szCs w:val="18"/>
                <w:color w:val="auto"/>
              </w:rPr>
            </w:pPr>
          </w:p>
        </w:tc>
        <w:tc>
          <w:tcPr>
            <w:tcW w:w="100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(269)</w:t>
            </w:r>
          </w:p>
        </w:tc>
      </w:tr>
      <w:tr>
        <w:trPr>
          <w:trHeight w:val="219"/>
        </w:trPr>
        <w:tc>
          <w:tcPr>
            <w:tcW w:w="1940" w:type="dxa"/>
            <w:vAlign w:val="bottom"/>
          </w:tcPr>
          <w:p>
            <w:pPr>
              <w:ind w:left="80"/>
              <w:spacing w:after="0"/>
              <w:rPr>
                <w:sz w:val="20"/>
                <w:szCs w:val="20"/>
                <w:color w:val="auto"/>
              </w:rPr>
            </w:pPr>
            <w:r>
              <w:rPr>
                <w:rFonts w:ascii="Arial" w:cs="Arial" w:eastAsia="Arial" w:hAnsi="Arial"/>
                <w:sz w:val="17"/>
                <w:szCs w:val="17"/>
                <w:color w:val="3A4967"/>
              </w:rPr>
              <w:t>Balance at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94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December 31, 2022</w:t>
            </w:r>
          </w:p>
        </w:tc>
        <w:tc>
          <w:tcPr>
            <w:tcW w:w="90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10,238</w:t>
            </w:r>
          </w:p>
        </w:tc>
        <w:tc>
          <w:tcPr>
            <w:tcW w:w="2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w:t>
            </w:r>
          </w:p>
        </w:tc>
        <w:tc>
          <w:tcPr>
            <w:tcW w:w="740" w:type="dxa"/>
            <w:vAlign w:val="bottom"/>
            <w:tcBorders>
              <w:bottom w:val="single" w:sz="8" w:color="3A4967"/>
            </w:tcBorders>
          </w:tcPr>
          <w:p>
            <w:pPr>
              <w:jc w:val="right"/>
              <w:ind w:right="36"/>
              <w:spacing w:after="0"/>
              <w:rPr>
                <w:sz w:val="20"/>
                <w:szCs w:val="20"/>
                <w:color w:val="auto"/>
              </w:rPr>
            </w:pPr>
            <w:r>
              <w:rPr>
                <w:rFonts w:ascii="Arial" w:cs="Arial" w:eastAsia="Arial" w:hAnsi="Arial"/>
                <w:sz w:val="17"/>
                <w:szCs w:val="17"/>
                <w:color w:val="3A4967"/>
              </w:rPr>
              <w:t>102</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2,068</w:t>
            </w:r>
          </w:p>
        </w:tc>
        <w:tc>
          <w:tcPr>
            <w:tcW w:w="20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w:t>
            </w:r>
          </w:p>
        </w:tc>
        <w:tc>
          <w:tcPr>
            <w:tcW w:w="820" w:type="dxa"/>
            <w:vAlign w:val="bottom"/>
            <w:tcBorders>
              <w:bottom w:val="single" w:sz="8" w:color="3A4967"/>
            </w:tcBorders>
          </w:tcPr>
          <w:p>
            <w:pPr>
              <w:jc w:val="right"/>
              <w:ind w:right="17"/>
              <w:spacing w:after="0"/>
              <w:rPr>
                <w:sz w:val="20"/>
                <w:szCs w:val="20"/>
                <w:color w:val="auto"/>
              </w:rPr>
            </w:pPr>
            <w:r>
              <w:rPr>
                <w:rFonts w:ascii="Arial" w:cs="Arial" w:eastAsia="Arial" w:hAnsi="Arial"/>
                <w:sz w:val="17"/>
                <w:szCs w:val="17"/>
                <w:color w:val="3A4967"/>
              </w:rPr>
              <w:t>21</w:t>
            </w:r>
          </w:p>
        </w:tc>
        <w:tc>
          <w:tcPr>
            <w:tcW w:w="980" w:type="dxa"/>
            <w:vAlign w:val="bottom"/>
            <w:tcBorders>
              <w:bottom w:val="single" w:sz="8" w:color="3A4967"/>
            </w:tcBorders>
          </w:tcPr>
          <w:p>
            <w:pPr>
              <w:jc w:val="right"/>
              <w:ind w:right="26"/>
              <w:spacing w:after="0"/>
              <w:rPr>
                <w:sz w:val="20"/>
                <w:szCs w:val="20"/>
                <w:color w:val="auto"/>
              </w:rPr>
            </w:pPr>
            <w:r>
              <w:rPr>
                <w:rFonts w:ascii="Arial" w:cs="Arial" w:eastAsia="Arial" w:hAnsi="Arial"/>
                <w:sz w:val="17"/>
                <w:szCs w:val="17"/>
                <w:color w:val="3A4967"/>
              </w:rPr>
              <w:t>$ 629,515</w:t>
            </w:r>
          </w:p>
        </w:tc>
        <w:tc>
          <w:tcPr>
            <w:tcW w:w="26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w:t>
            </w:r>
          </w:p>
        </w:tc>
        <w:tc>
          <w:tcPr>
            <w:tcW w:w="118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(210)</w:t>
            </w:r>
          </w:p>
        </w:tc>
        <w:tc>
          <w:tcPr>
            <w:tcW w:w="90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$ 439,121</w:t>
            </w:r>
          </w:p>
        </w:tc>
        <w:tc>
          <w:tcPr>
            <w:tcW w:w="260" w:type="dxa"/>
            <w:vAlign w:val="bottom"/>
            <w:tcBorders>
              <w:bottom w:val="single" w:sz="8" w:color="3A4967"/>
            </w:tcBorders>
          </w:tcPr>
          <w:p>
            <w:pPr>
              <w:jc w:val="right"/>
              <w:ind w:right="36"/>
              <w:spacing w:after="0"/>
              <w:rPr>
                <w:sz w:val="20"/>
                <w:szCs w:val="20"/>
                <w:color w:val="auto"/>
              </w:rPr>
            </w:pPr>
            <w:r>
              <w:rPr>
                <w:rFonts w:ascii="Arial" w:cs="Arial" w:eastAsia="Arial" w:hAnsi="Arial"/>
                <w:sz w:val="17"/>
                <w:szCs w:val="17"/>
                <w:color w:val="3A4967"/>
              </w:rPr>
              <w:t>$</w:t>
            </w:r>
          </w:p>
        </w:tc>
        <w:tc>
          <w:tcPr>
            <w:tcW w:w="1000" w:type="dxa"/>
            <w:vAlign w:val="bottom"/>
            <w:tcBorders>
              <w:bottom w:val="single" w:sz="8" w:color="3A4967"/>
            </w:tcBorders>
          </w:tcPr>
          <w:p>
            <w:pPr>
              <w:jc w:val="right"/>
              <w:ind w:right="35"/>
              <w:spacing w:after="0"/>
              <w:rPr>
                <w:sz w:val="20"/>
                <w:szCs w:val="20"/>
                <w:color w:val="auto"/>
              </w:rPr>
            </w:pPr>
            <w:r>
              <w:rPr>
                <w:rFonts w:ascii="Arial" w:cs="Arial" w:eastAsia="Arial" w:hAnsi="Arial"/>
                <w:sz w:val="17"/>
                <w:szCs w:val="17"/>
                <w:color w:val="3A4967"/>
              </w:rPr>
              <w:t>1,068,549</w:t>
            </w:r>
          </w:p>
        </w:tc>
      </w:tr>
      <w:tr>
        <w:trPr>
          <w:trHeight w:val="231"/>
        </w:trPr>
        <w:tc>
          <w:tcPr>
            <w:tcW w:w="194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Net income</w:t>
            </w:r>
          </w:p>
        </w:tc>
        <w:tc>
          <w:tcPr>
            <w:tcW w:w="900" w:type="dxa"/>
            <w:vAlign w:val="bottom"/>
            <w:tcBorders>
              <w:bottom w:val="single" w:sz="8" w:color="3A4967"/>
            </w:tcBorders>
          </w:tcPr>
          <w:p>
            <w:pPr>
              <w:spacing w:after="0"/>
              <w:rPr>
                <w:sz w:val="20"/>
                <w:szCs w:val="20"/>
                <w:color w:val="auto"/>
              </w:rPr>
            </w:pPr>
          </w:p>
        </w:tc>
        <w:tc>
          <w:tcPr>
            <w:tcW w:w="220" w:type="dxa"/>
            <w:vAlign w:val="bottom"/>
            <w:tcBorders>
              <w:bottom w:val="single" w:sz="8" w:color="3A4967"/>
            </w:tcBorders>
          </w:tcPr>
          <w:p>
            <w:pPr>
              <w:spacing w:after="0"/>
              <w:rPr>
                <w:sz w:val="20"/>
                <w:szCs w:val="20"/>
                <w:color w:val="auto"/>
              </w:rPr>
            </w:pPr>
          </w:p>
        </w:tc>
        <w:tc>
          <w:tcPr>
            <w:tcW w:w="740" w:type="dxa"/>
            <w:vAlign w:val="bottom"/>
            <w:tcBorders>
              <w:bottom w:val="single" w:sz="8" w:color="3A4967"/>
            </w:tcBorders>
          </w:tcPr>
          <w:p>
            <w:pPr>
              <w:spacing w:after="0"/>
              <w:rPr>
                <w:sz w:val="20"/>
                <w:szCs w:val="20"/>
                <w:color w:val="auto"/>
              </w:rPr>
            </w:pPr>
          </w:p>
        </w:tc>
        <w:tc>
          <w:tcPr>
            <w:tcW w:w="840" w:type="dxa"/>
            <w:vAlign w:val="bottom"/>
            <w:tcBorders>
              <w:bottom w:val="single" w:sz="8" w:color="3A4967"/>
            </w:tcBorders>
          </w:tcPr>
          <w:p>
            <w:pPr>
              <w:spacing w:after="0"/>
              <w:rPr>
                <w:sz w:val="20"/>
                <w:szCs w:val="20"/>
                <w:color w:val="auto"/>
              </w:rPr>
            </w:pPr>
          </w:p>
        </w:tc>
        <w:tc>
          <w:tcPr>
            <w:tcW w:w="200" w:type="dxa"/>
            <w:vAlign w:val="bottom"/>
            <w:tcBorders>
              <w:bottom w:val="single" w:sz="8" w:color="3A4967"/>
            </w:tcBorders>
          </w:tcPr>
          <w:p>
            <w:pPr>
              <w:spacing w:after="0"/>
              <w:rPr>
                <w:sz w:val="20"/>
                <w:szCs w:val="20"/>
                <w:color w:val="auto"/>
              </w:rPr>
            </w:pPr>
          </w:p>
        </w:tc>
        <w:tc>
          <w:tcPr>
            <w:tcW w:w="820" w:type="dxa"/>
            <w:vAlign w:val="bottom"/>
            <w:tcBorders>
              <w:bottom w:val="single" w:sz="8" w:color="3A4967"/>
            </w:tcBorders>
          </w:tcPr>
          <w:p>
            <w:pPr>
              <w:spacing w:after="0"/>
              <w:rPr>
                <w:sz w:val="20"/>
                <w:szCs w:val="20"/>
                <w:color w:val="auto"/>
              </w:rPr>
            </w:pPr>
          </w:p>
        </w:tc>
        <w:tc>
          <w:tcPr>
            <w:tcW w:w="980" w:type="dxa"/>
            <w:vAlign w:val="bottom"/>
            <w:tcBorders>
              <w:bottom w:val="single" w:sz="8" w:color="3A4967"/>
            </w:tcBorders>
          </w:tcPr>
          <w:p>
            <w:pPr>
              <w:spacing w:after="0"/>
              <w:rPr>
                <w:sz w:val="20"/>
                <w:szCs w:val="20"/>
                <w:color w:val="auto"/>
              </w:rPr>
            </w:pPr>
          </w:p>
        </w:tc>
        <w:tc>
          <w:tcPr>
            <w:tcW w:w="260" w:type="dxa"/>
            <w:vAlign w:val="bottom"/>
            <w:tcBorders>
              <w:bottom w:val="single" w:sz="8" w:color="3A4967"/>
            </w:tcBorders>
          </w:tcPr>
          <w:p>
            <w:pPr>
              <w:spacing w:after="0"/>
              <w:rPr>
                <w:sz w:val="20"/>
                <w:szCs w:val="20"/>
                <w:color w:val="auto"/>
              </w:rPr>
            </w:pPr>
          </w:p>
        </w:tc>
        <w:tc>
          <w:tcPr>
            <w:tcW w:w="1180" w:type="dxa"/>
            <w:vAlign w:val="bottom"/>
            <w:tcBorders>
              <w:bottom w:val="single" w:sz="8" w:color="3A4967"/>
            </w:tcBorders>
          </w:tcPr>
          <w:p>
            <w:pPr>
              <w:spacing w:after="0"/>
              <w:rPr>
                <w:sz w:val="20"/>
                <w:szCs w:val="20"/>
                <w:color w:val="auto"/>
              </w:rPr>
            </w:pPr>
          </w:p>
        </w:tc>
        <w:tc>
          <w:tcPr>
            <w:tcW w:w="90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76,250</w:t>
            </w:r>
          </w:p>
        </w:tc>
        <w:tc>
          <w:tcPr>
            <w:tcW w:w="260" w:type="dxa"/>
            <w:vAlign w:val="bottom"/>
            <w:tcBorders>
              <w:bottom w:val="single" w:sz="8" w:color="3A4967"/>
            </w:tcBorders>
          </w:tcPr>
          <w:p>
            <w:pPr>
              <w:spacing w:after="0"/>
              <w:rPr>
                <w:sz w:val="20"/>
                <w:szCs w:val="20"/>
                <w:color w:val="auto"/>
              </w:rPr>
            </w:pPr>
          </w:p>
        </w:tc>
        <w:tc>
          <w:tcPr>
            <w:tcW w:w="1000" w:type="dxa"/>
            <w:vAlign w:val="bottom"/>
            <w:tcBorders>
              <w:bottom w:val="single" w:sz="8" w:color="3A4967"/>
            </w:tcBorders>
          </w:tcPr>
          <w:p>
            <w:pPr>
              <w:jc w:val="right"/>
              <w:ind w:right="35"/>
              <w:spacing w:after="0"/>
              <w:rPr>
                <w:sz w:val="20"/>
                <w:szCs w:val="20"/>
                <w:color w:val="auto"/>
              </w:rPr>
            </w:pPr>
            <w:r>
              <w:rPr>
                <w:rFonts w:ascii="Arial" w:cs="Arial" w:eastAsia="Arial" w:hAnsi="Arial"/>
                <w:sz w:val="17"/>
                <w:szCs w:val="17"/>
                <w:color w:val="3A4967"/>
              </w:rPr>
              <w:t>76,250</w:t>
            </w:r>
          </w:p>
        </w:tc>
      </w:tr>
      <w:tr>
        <w:trPr>
          <w:trHeight w:val="219"/>
        </w:trPr>
        <w:tc>
          <w:tcPr>
            <w:tcW w:w="1940" w:type="dxa"/>
            <w:vAlign w:val="bottom"/>
          </w:tcPr>
          <w:p>
            <w:pPr>
              <w:ind w:left="80"/>
              <w:spacing w:after="0"/>
              <w:rPr>
                <w:sz w:val="20"/>
                <w:szCs w:val="20"/>
                <w:color w:val="auto"/>
              </w:rPr>
            </w:pPr>
            <w:r>
              <w:rPr>
                <w:rFonts w:ascii="Arial" w:cs="Arial" w:eastAsia="Arial" w:hAnsi="Arial"/>
                <w:sz w:val="17"/>
                <w:szCs w:val="17"/>
                <w:color w:val="3A4967"/>
              </w:rPr>
              <w:t>Repurchase and</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4"/>
        </w:trPr>
        <w:tc>
          <w:tcPr>
            <w:tcW w:w="1940" w:type="dxa"/>
            <w:vAlign w:val="bottom"/>
          </w:tcPr>
          <w:p>
            <w:pPr>
              <w:ind w:left="80"/>
              <w:spacing w:after="0"/>
              <w:rPr>
                <w:sz w:val="20"/>
                <w:szCs w:val="20"/>
                <w:color w:val="auto"/>
              </w:rPr>
            </w:pPr>
            <w:r>
              <w:rPr>
                <w:rFonts w:ascii="Arial" w:cs="Arial" w:eastAsia="Arial" w:hAnsi="Arial"/>
                <w:sz w:val="17"/>
                <w:szCs w:val="17"/>
                <w:color w:val="3A4967"/>
              </w:rPr>
              <w:t>retirement of Class A</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1940" w:type="dxa"/>
            <w:vAlign w:val="bottom"/>
          </w:tcPr>
          <w:p>
            <w:pPr>
              <w:ind w:left="80"/>
              <w:spacing w:after="0"/>
              <w:rPr>
                <w:sz w:val="20"/>
                <w:szCs w:val="20"/>
                <w:color w:val="auto"/>
              </w:rPr>
            </w:pPr>
            <w:r>
              <w:rPr>
                <w:rFonts w:ascii="Arial" w:cs="Arial" w:eastAsia="Arial" w:hAnsi="Arial"/>
                <w:sz w:val="17"/>
                <w:szCs w:val="17"/>
                <w:color w:val="3A4967"/>
              </w:rPr>
              <w:t>Common Stock</w:t>
            </w:r>
          </w:p>
        </w:tc>
        <w:tc>
          <w:tcPr>
            <w:tcW w:w="900" w:type="dxa"/>
            <w:vAlign w:val="bottom"/>
          </w:tcPr>
          <w:p>
            <w:pPr>
              <w:jc w:val="right"/>
              <w:spacing w:after="0"/>
              <w:rPr>
                <w:sz w:val="20"/>
                <w:szCs w:val="20"/>
                <w:color w:val="auto"/>
              </w:rPr>
            </w:pPr>
            <w:r>
              <w:rPr>
                <w:rFonts w:ascii="Arial" w:cs="Arial" w:eastAsia="Arial" w:hAnsi="Arial"/>
                <w:sz w:val="17"/>
                <w:szCs w:val="17"/>
                <w:color w:val="3A4967"/>
              </w:rPr>
              <w:t>(276)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(2)</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3A4967"/>
              </w:rPr>
              <w:t>(93,803)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3A4967"/>
              </w:rPr>
              <w:t>(93,805)</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Stock options exercised</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4"/>
        </w:trPr>
        <w:tc>
          <w:tcPr>
            <w:tcW w:w="1940" w:type="dxa"/>
            <w:vAlign w:val="bottom"/>
          </w:tcPr>
          <w:p>
            <w:pPr>
              <w:ind w:left="80"/>
              <w:spacing w:after="0"/>
              <w:rPr>
                <w:sz w:val="20"/>
                <w:szCs w:val="20"/>
                <w:color w:val="auto"/>
              </w:rPr>
            </w:pPr>
            <w:r>
              <w:rPr>
                <w:rFonts w:ascii="Arial" w:cs="Arial" w:eastAsia="Arial" w:hAnsi="Arial"/>
                <w:sz w:val="17"/>
                <w:szCs w:val="17"/>
                <w:color w:val="3A4967"/>
              </w:rPr>
              <w:t>and restricted shares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1940" w:type="dxa"/>
            <w:vAlign w:val="bottom"/>
          </w:tcPr>
          <w:p>
            <w:pPr>
              <w:ind w:left="80"/>
              <w:spacing w:after="0"/>
              <w:rPr>
                <w:sz w:val="20"/>
                <w:szCs w:val="20"/>
                <w:color w:val="auto"/>
              </w:rPr>
            </w:pPr>
            <w:r>
              <w:rPr>
                <w:rFonts w:ascii="Arial" w:cs="Arial" w:eastAsia="Arial" w:hAnsi="Arial"/>
                <w:sz w:val="17"/>
                <w:szCs w:val="17"/>
                <w:color w:val="3A4967"/>
              </w:rPr>
              <w:t>activities</w:t>
            </w:r>
          </w:p>
        </w:tc>
        <w:tc>
          <w:tcPr>
            <w:tcW w:w="900" w:type="dxa"/>
            <w:vAlign w:val="bottom"/>
          </w:tcPr>
          <w:p>
            <w:pPr>
              <w:jc w:val="right"/>
              <w:ind w:right="16"/>
              <w:spacing w:after="0"/>
              <w:rPr>
                <w:sz w:val="20"/>
                <w:szCs w:val="20"/>
                <w:color w:val="auto"/>
              </w:rPr>
            </w:pPr>
            <w:r>
              <w:rPr>
                <w:rFonts w:ascii="Arial" w:cs="Arial" w:eastAsia="Arial" w:hAnsi="Arial"/>
                <w:sz w:val="17"/>
                <w:szCs w:val="17"/>
                <w:color w:val="3A4967"/>
              </w:rPr>
              <w:t>71</w:t>
            </w:r>
          </w:p>
        </w:tc>
        <w:tc>
          <w:tcPr>
            <w:tcW w:w="22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3A4967"/>
              </w:rPr>
              <w: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jc w:val="right"/>
              <w:ind w:right="26"/>
              <w:spacing w:after="0"/>
              <w:rPr>
                <w:sz w:val="20"/>
                <w:szCs w:val="20"/>
                <w:color w:val="auto"/>
              </w:rPr>
            </w:pPr>
            <w:r>
              <w:rPr>
                <w:rFonts w:ascii="Arial" w:cs="Arial" w:eastAsia="Arial" w:hAnsi="Arial"/>
                <w:sz w:val="17"/>
                <w:szCs w:val="17"/>
                <w:color w:val="3A4967"/>
              </w:rPr>
              <w:t>9,811</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3A4967"/>
              </w:rPr>
              <w:t>9,811</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Stock-based</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8"/>
        </w:trPr>
        <w:tc>
          <w:tcPr>
            <w:tcW w:w="1940" w:type="dxa"/>
            <w:vAlign w:val="bottom"/>
          </w:tcPr>
          <w:p>
            <w:pPr>
              <w:ind w:left="80"/>
              <w:spacing w:after="0"/>
              <w:rPr>
                <w:sz w:val="20"/>
                <w:szCs w:val="20"/>
                <w:color w:val="auto"/>
              </w:rPr>
            </w:pPr>
            <w:r>
              <w:rPr>
                <w:rFonts w:ascii="Arial" w:cs="Arial" w:eastAsia="Arial" w:hAnsi="Arial"/>
                <w:sz w:val="17"/>
                <w:szCs w:val="17"/>
                <w:color w:val="3A4967"/>
              </w:rPr>
              <w:t>compensation expense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jc w:val="right"/>
              <w:ind w:right="26"/>
              <w:spacing w:after="0"/>
              <w:rPr>
                <w:sz w:val="20"/>
                <w:szCs w:val="20"/>
                <w:color w:val="auto"/>
              </w:rPr>
            </w:pPr>
            <w:r>
              <w:rPr>
                <w:rFonts w:ascii="Arial" w:cs="Arial" w:eastAsia="Arial" w:hAnsi="Arial"/>
                <w:sz w:val="17"/>
                <w:szCs w:val="17"/>
                <w:color w:val="3A4967"/>
              </w:rPr>
              <w:t>16,971</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3A4967"/>
              </w:rPr>
              <w:t>16,971</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Defined benefit plans</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4"/>
        </w:trPr>
        <w:tc>
          <w:tcPr>
            <w:tcW w:w="1940" w:type="dxa"/>
            <w:vAlign w:val="bottom"/>
          </w:tcPr>
          <w:p>
            <w:pPr>
              <w:ind w:left="80"/>
              <w:spacing w:after="0"/>
              <w:rPr>
                <w:sz w:val="20"/>
                <w:szCs w:val="20"/>
                <w:color w:val="auto"/>
              </w:rPr>
            </w:pPr>
            <w:r>
              <w:rPr>
                <w:rFonts w:ascii="Arial" w:cs="Arial" w:eastAsia="Arial" w:hAnsi="Arial"/>
                <w:sz w:val="17"/>
                <w:szCs w:val="17"/>
                <w:color w:val="3A4967"/>
              </w:rPr>
              <w:t>liability adjustment,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1940" w:type="dxa"/>
            <w:vAlign w:val="bottom"/>
          </w:tcPr>
          <w:p>
            <w:pPr>
              <w:ind w:left="80"/>
              <w:spacing w:after="0"/>
              <w:rPr>
                <w:sz w:val="20"/>
                <w:szCs w:val="20"/>
                <w:color w:val="auto"/>
              </w:rPr>
            </w:pPr>
            <w:r>
              <w:rPr>
                <w:rFonts w:ascii="Arial" w:cs="Arial" w:eastAsia="Arial" w:hAnsi="Arial"/>
                <w:sz w:val="17"/>
                <w:szCs w:val="17"/>
                <w:color w:val="3A4967"/>
              </w:rPr>
              <w:t>net of tax of $1</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3A4967"/>
              </w:rPr>
              <w:t>(13)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3A4967"/>
              </w:rPr>
              <w:t>(13)</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Foreign currency</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194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translation adjustment</w:t>
            </w:r>
          </w:p>
        </w:tc>
        <w:tc>
          <w:tcPr>
            <w:tcW w:w="900" w:type="dxa"/>
            <w:vAlign w:val="bottom"/>
            <w:tcBorders>
              <w:bottom w:val="single" w:sz="8" w:color="3A4967"/>
            </w:tcBorders>
          </w:tcPr>
          <w:p>
            <w:pPr>
              <w:spacing w:after="0"/>
              <w:rPr>
                <w:sz w:val="18"/>
                <w:szCs w:val="18"/>
                <w:color w:val="auto"/>
              </w:rPr>
            </w:pPr>
          </w:p>
        </w:tc>
        <w:tc>
          <w:tcPr>
            <w:tcW w:w="220" w:type="dxa"/>
            <w:vAlign w:val="bottom"/>
            <w:tcBorders>
              <w:bottom w:val="single" w:sz="8" w:color="3A4967"/>
            </w:tcBorders>
          </w:tcPr>
          <w:p>
            <w:pPr>
              <w:spacing w:after="0"/>
              <w:rPr>
                <w:sz w:val="18"/>
                <w:szCs w:val="18"/>
                <w:color w:val="auto"/>
              </w:rPr>
            </w:pPr>
          </w:p>
        </w:tc>
        <w:tc>
          <w:tcPr>
            <w:tcW w:w="740" w:type="dxa"/>
            <w:vAlign w:val="bottom"/>
            <w:tcBorders>
              <w:bottom w:val="single" w:sz="8" w:color="3A4967"/>
            </w:tcBorders>
          </w:tcPr>
          <w:p>
            <w:pPr>
              <w:spacing w:after="0"/>
              <w:rPr>
                <w:sz w:val="18"/>
                <w:szCs w:val="18"/>
                <w:color w:val="auto"/>
              </w:rPr>
            </w:pPr>
          </w:p>
        </w:tc>
        <w:tc>
          <w:tcPr>
            <w:tcW w:w="840" w:type="dxa"/>
            <w:vAlign w:val="bottom"/>
            <w:tcBorders>
              <w:bottom w:val="single" w:sz="8" w:color="3A4967"/>
            </w:tcBorders>
          </w:tcPr>
          <w:p>
            <w:pPr>
              <w:spacing w:after="0"/>
              <w:rPr>
                <w:sz w:val="18"/>
                <w:szCs w:val="18"/>
                <w:color w:val="auto"/>
              </w:rPr>
            </w:pPr>
          </w:p>
        </w:tc>
        <w:tc>
          <w:tcPr>
            <w:tcW w:w="200" w:type="dxa"/>
            <w:vAlign w:val="bottom"/>
            <w:tcBorders>
              <w:bottom w:val="single" w:sz="8" w:color="3A4967"/>
            </w:tcBorders>
          </w:tcPr>
          <w:p>
            <w:pPr>
              <w:spacing w:after="0"/>
              <w:rPr>
                <w:sz w:val="18"/>
                <w:szCs w:val="18"/>
                <w:color w:val="auto"/>
              </w:rPr>
            </w:pPr>
          </w:p>
        </w:tc>
        <w:tc>
          <w:tcPr>
            <w:tcW w:w="820" w:type="dxa"/>
            <w:vAlign w:val="bottom"/>
            <w:tcBorders>
              <w:bottom w:val="single" w:sz="8" w:color="3A4967"/>
            </w:tcBorders>
          </w:tcPr>
          <w:p>
            <w:pPr>
              <w:spacing w:after="0"/>
              <w:rPr>
                <w:sz w:val="18"/>
                <w:szCs w:val="18"/>
                <w:color w:val="auto"/>
              </w:rPr>
            </w:pPr>
          </w:p>
        </w:tc>
        <w:tc>
          <w:tcPr>
            <w:tcW w:w="980" w:type="dxa"/>
            <w:vAlign w:val="bottom"/>
            <w:tcBorders>
              <w:bottom w:val="single" w:sz="8" w:color="3A4967"/>
            </w:tcBorders>
          </w:tcPr>
          <w:p>
            <w:pPr>
              <w:spacing w:after="0"/>
              <w:rPr>
                <w:sz w:val="18"/>
                <w:szCs w:val="18"/>
                <w:color w:val="auto"/>
              </w:rPr>
            </w:pPr>
          </w:p>
        </w:tc>
        <w:tc>
          <w:tcPr>
            <w:tcW w:w="260" w:type="dxa"/>
            <w:vAlign w:val="bottom"/>
            <w:tcBorders>
              <w:bottom w:val="single" w:sz="8" w:color="3A4967"/>
            </w:tcBorders>
          </w:tcPr>
          <w:p>
            <w:pPr>
              <w:spacing w:after="0"/>
              <w:rPr>
                <w:sz w:val="18"/>
                <w:szCs w:val="18"/>
                <w:color w:val="auto"/>
              </w:rPr>
            </w:pPr>
          </w:p>
        </w:tc>
        <w:tc>
          <w:tcPr>
            <w:tcW w:w="1180" w:type="dxa"/>
            <w:vAlign w:val="bottom"/>
            <w:tcBorders>
              <w:bottom w:val="single" w:sz="8" w:color="3A4967"/>
            </w:tcBorders>
          </w:tcPr>
          <w:p>
            <w:pPr>
              <w:jc w:val="right"/>
              <w:ind w:right="36"/>
              <w:spacing w:after="0"/>
              <w:rPr>
                <w:sz w:val="20"/>
                <w:szCs w:val="20"/>
                <w:color w:val="auto"/>
              </w:rPr>
            </w:pPr>
            <w:r>
              <w:rPr>
                <w:rFonts w:ascii="Arial" w:cs="Arial" w:eastAsia="Arial" w:hAnsi="Arial"/>
                <w:sz w:val="17"/>
                <w:szCs w:val="17"/>
                <w:color w:val="3A4967"/>
              </w:rPr>
              <w:t>166</w:t>
            </w:r>
          </w:p>
        </w:tc>
        <w:tc>
          <w:tcPr>
            <w:tcW w:w="900" w:type="dxa"/>
            <w:vAlign w:val="bottom"/>
            <w:tcBorders>
              <w:bottom w:val="single" w:sz="8" w:color="3A4967"/>
            </w:tcBorders>
          </w:tcPr>
          <w:p>
            <w:pPr>
              <w:spacing w:after="0"/>
              <w:rPr>
                <w:sz w:val="18"/>
                <w:szCs w:val="18"/>
                <w:color w:val="auto"/>
              </w:rPr>
            </w:pPr>
          </w:p>
        </w:tc>
        <w:tc>
          <w:tcPr>
            <w:tcW w:w="260" w:type="dxa"/>
            <w:vAlign w:val="bottom"/>
            <w:tcBorders>
              <w:bottom w:val="single" w:sz="8" w:color="3A4967"/>
            </w:tcBorders>
          </w:tcPr>
          <w:p>
            <w:pPr>
              <w:spacing w:after="0"/>
              <w:rPr>
                <w:sz w:val="18"/>
                <w:szCs w:val="18"/>
                <w:color w:val="auto"/>
              </w:rPr>
            </w:pPr>
          </w:p>
        </w:tc>
        <w:tc>
          <w:tcPr>
            <w:tcW w:w="1000" w:type="dxa"/>
            <w:vAlign w:val="bottom"/>
            <w:tcBorders>
              <w:bottom w:val="single" w:sz="8" w:color="3A4967"/>
            </w:tcBorders>
          </w:tcPr>
          <w:p>
            <w:pPr>
              <w:jc w:val="right"/>
              <w:ind w:right="35"/>
              <w:spacing w:after="0"/>
              <w:rPr>
                <w:sz w:val="20"/>
                <w:szCs w:val="20"/>
                <w:color w:val="auto"/>
              </w:rPr>
            </w:pPr>
            <w:r>
              <w:rPr>
                <w:rFonts w:ascii="Arial" w:cs="Arial" w:eastAsia="Arial" w:hAnsi="Arial"/>
                <w:sz w:val="17"/>
                <w:szCs w:val="17"/>
                <w:color w:val="3A4967"/>
              </w:rPr>
              <w:t>166</w:t>
            </w:r>
          </w:p>
        </w:tc>
      </w:tr>
      <w:tr>
        <w:trPr>
          <w:trHeight w:val="219"/>
        </w:trPr>
        <w:tc>
          <w:tcPr>
            <w:tcW w:w="1940" w:type="dxa"/>
            <w:vAlign w:val="bottom"/>
          </w:tcPr>
          <w:p>
            <w:pPr>
              <w:ind w:left="80"/>
              <w:spacing w:after="0"/>
              <w:rPr>
                <w:sz w:val="20"/>
                <w:szCs w:val="20"/>
                <w:color w:val="auto"/>
              </w:rPr>
            </w:pPr>
            <w:r>
              <w:rPr>
                <w:rFonts w:ascii="Arial" w:cs="Arial" w:eastAsia="Arial" w:hAnsi="Arial"/>
                <w:sz w:val="17"/>
                <w:szCs w:val="17"/>
                <w:color w:val="3A4967"/>
              </w:rPr>
              <w:t>Balance at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194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December 30, 2023</w:t>
            </w:r>
          </w:p>
        </w:tc>
        <w:tc>
          <w:tcPr>
            <w:tcW w:w="90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10,033</w:t>
            </w:r>
          </w:p>
        </w:tc>
        <w:tc>
          <w:tcPr>
            <w:tcW w:w="22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w:t>
            </w:r>
          </w:p>
        </w:tc>
        <w:tc>
          <w:tcPr>
            <w:tcW w:w="740" w:type="dxa"/>
            <w:vAlign w:val="bottom"/>
            <w:tcBorders>
              <w:bottom w:val="single" w:sz="8" w:color="3A4967"/>
            </w:tcBorders>
          </w:tcPr>
          <w:p>
            <w:pPr>
              <w:jc w:val="right"/>
              <w:ind w:right="36"/>
              <w:spacing w:after="0"/>
              <w:rPr>
                <w:sz w:val="20"/>
                <w:szCs w:val="20"/>
                <w:color w:val="auto"/>
              </w:rPr>
            </w:pPr>
            <w:r>
              <w:rPr>
                <w:rFonts w:ascii="Arial" w:cs="Arial" w:eastAsia="Arial" w:hAnsi="Arial"/>
                <w:sz w:val="17"/>
                <w:szCs w:val="17"/>
                <w:color w:val="3A4967"/>
              </w:rPr>
              <w:t>100</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2,068</w:t>
            </w:r>
          </w:p>
        </w:tc>
        <w:tc>
          <w:tcPr>
            <w:tcW w:w="20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w:t>
            </w:r>
          </w:p>
        </w:tc>
        <w:tc>
          <w:tcPr>
            <w:tcW w:w="820" w:type="dxa"/>
            <w:vAlign w:val="bottom"/>
            <w:tcBorders>
              <w:bottom w:val="single" w:sz="8" w:color="3A4967"/>
            </w:tcBorders>
          </w:tcPr>
          <w:p>
            <w:pPr>
              <w:jc w:val="right"/>
              <w:ind w:right="17"/>
              <w:spacing w:after="0"/>
              <w:rPr>
                <w:sz w:val="20"/>
                <w:szCs w:val="20"/>
                <w:color w:val="auto"/>
              </w:rPr>
            </w:pPr>
            <w:r>
              <w:rPr>
                <w:rFonts w:ascii="Arial" w:cs="Arial" w:eastAsia="Arial" w:hAnsi="Arial"/>
                <w:sz w:val="17"/>
                <w:szCs w:val="17"/>
                <w:color w:val="3A4967"/>
              </w:rPr>
              <w:t>21</w:t>
            </w:r>
          </w:p>
        </w:tc>
        <w:tc>
          <w:tcPr>
            <w:tcW w:w="980" w:type="dxa"/>
            <w:vAlign w:val="bottom"/>
            <w:tcBorders>
              <w:bottom w:val="single" w:sz="8" w:color="3A4967"/>
            </w:tcBorders>
          </w:tcPr>
          <w:p>
            <w:pPr>
              <w:jc w:val="right"/>
              <w:ind w:right="26"/>
              <w:spacing w:after="0"/>
              <w:rPr>
                <w:sz w:val="20"/>
                <w:szCs w:val="20"/>
                <w:color w:val="auto"/>
              </w:rPr>
            </w:pPr>
            <w:r>
              <w:rPr>
                <w:rFonts w:ascii="Arial" w:cs="Arial" w:eastAsia="Arial" w:hAnsi="Arial"/>
                <w:sz w:val="17"/>
                <w:szCs w:val="17"/>
                <w:color w:val="3A4967"/>
              </w:rPr>
              <w:t>$ 656,297</w:t>
            </w:r>
          </w:p>
        </w:tc>
        <w:tc>
          <w:tcPr>
            <w:tcW w:w="26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w:t>
            </w:r>
          </w:p>
        </w:tc>
        <w:tc>
          <w:tcPr>
            <w:tcW w:w="118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(57)</w:t>
            </w:r>
          </w:p>
        </w:tc>
        <w:tc>
          <w:tcPr>
            <w:tcW w:w="90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color w:val="3A4967"/>
              </w:rPr>
              <w:t>$ 421,568</w:t>
            </w:r>
          </w:p>
        </w:tc>
        <w:tc>
          <w:tcPr>
            <w:tcW w:w="260" w:type="dxa"/>
            <w:vAlign w:val="bottom"/>
            <w:tcBorders>
              <w:bottom w:val="single" w:sz="8" w:color="3A4967"/>
            </w:tcBorders>
          </w:tcPr>
          <w:p>
            <w:pPr>
              <w:jc w:val="right"/>
              <w:ind w:right="36"/>
              <w:spacing w:after="0"/>
              <w:rPr>
                <w:sz w:val="20"/>
                <w:szCs w:val="20"/>
                <w:color w:val="auto"/>
              </w:rPr>
            </w:pPr>
            <w:r>
              <w:rPr>
                <w:rFonts w:ascii="Arial" w:cs="Arial" w:eastAsia="Arial" w:hAnsi="Arial"/>
                <w:sz w:val="17"/>
                <w:szCs w:val="17"/>
                <w:color w:val="3A4967"/>
              </w:rPr>
              <w:t>$</w:t>
            </w:r>
          </w:p>
        </w:tc>
        <w:tc>
          <w:tcPr>
            <w:tcW w:w="1000" w:type="dxa"/>
            <w:vAlign w:val="bottom"/>
            <w:tcBorders>
              <w:bottom w:val="single" w:sz="8" w:color="3A4967"/>
            </w:tcBorders>
          </w:tcPr>
          <w:p>
            <w:pPr>
              <w:jc w:val="right"/>
              <w:ind w:right="35"/>
              <w:spacing w:after="0"/>
              <w:rPr>
                <w:sz w:val="20"/>
                <w:szCs w:val="20"/>
                <w:color w:val="auto"/>
              </w:rPr>
            </w:pPr>
            <w:r>
              <w:rPr>
                <w:rFonts w:ascii="Arial" w:cs="Arial" w:eastAsia="Arial" w:hAnsi="Arial"/>
                <w:sz w:val="17"/>
                <w:szCs w:val="17"/>
                <w:color w:val="3A4967"/>
              </w:rPr>
              <w:t>1,077,929</w:t>
            </w:r>
          </w:p>
        </w:tc>
      </w:tr>
      <w:tr>
        <w:trPr>
          <w:trHeight w:val="224"/>
        </w:trPr>
        <w:tc>
          <w:tcPr>
            <w:tcW w:w="1940" w:type="dxa"/>
            <w:vAlign w:val="bottom"/>
          </w:tcPr>
          <w:p>
            <w:pPr>
              <w:ind w:left="80"/>
              <w:spacing w:after="0"/>
              <w:rPr>
                <w:sz w:val="20"/>
                <w:szCs w:val="20"/>
                <w:color w:val="auto"/>
              </w:rPr>
            </w:pPr>
            <w:r>
              <w:rPr>
                <w:rFonts w:ascii="Arial" w:cs="Arial" w:eastAsia="Arial" w:hAnsi="Arial"/>
                <w:sz w:val="17"/>
                <w:szCs w:val="17"/>
                <w:color w:val="3A4967"/>
              </w:rPr>
              <w:t>Net income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3A4967"/>
              </w:rPr>
              <w:t>59,695</w:t>
            </w:r>
          </w:p>
        </w:tc>
        <w:tc>
          <w:tcPr>
            <w:tcW w:w="2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3A4967"/>
              </w:rPr>
              <w:t>59,695</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Repurchase and</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4"/>
        </w:trPr>
        <w:tc>
          <w:tcPr>
            <w:tcW w:w="1940" w:type="dxa"/>
            <w:vAlign w:val="bottom"/>
          </w:tcPr>
          <w:p>
            <w:pPr>
              <w:ind w:left="80"/>
              <w:spacing w:after="0"/>
              <w:rPr>
                <w:sz w:val="20"/>
                <w:szCs w:val="20"/>
                <w:color w:val="auto"/>
              </w:rPr>
            </w:pPr>
            <w:r>
              <w:rPr>
                <w:rFonts w:ascii="Arial" w:cs="Arial" w:eastAsia="Arial" w:hAnsi="Arial"/>
                <w:sz w:val="17"/>
                <w:szCs w:val="17"/>
                <w:color w:val="3A4967"/>
              </w:rPr>
              <w:t>retirement of Class A</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1940" w:type="dxa"/>
            <w:vAlign w:val="bottom"/>
          </w:tcPr>
          <w:p>
            <w:pPr>
              <w:ind w:left="80"/>
              <w:spacing w:after="0"/>
              <w:rPr>
                <w:sz w:val="20"/>
                <w:szCs w:val="20"/>
                <w:color w:val="auto"/>
              </w:rPr>
            </w:pPr>
            <w:r>
              <w:rPr>
                <w:rFonts w:ascii="Arial" w:cs="Arial" w:eastAsia="Arial" w:hAnsi="Arial"/>
                <w:sz w:val="17"/>
                <w:szCs w:val="17"/>
                <w:color w:val="3A4967"/>
              </w:rPr>
              <w:t>Common Stock</w:t>
            </w:r>
          </w:p>
        </w:tc>
        <w:tc>
          <w:tcPr>
            <w:tcW w:w="900" w:type="dxa"/>
            <w:vAlign w:val="bottom"/>
          </w:tcPr>
          <w:p>
            <w:pPr>
              <w:jc w:val="right"/>
              <w:spacing w:after="0"/>
              <w:rPr>
                <w:sz w:val="20"/>
                <w:szCs w:val="20"/>
                <w:color w:val="auto"/>
              </w:rPr>
            </w:pPr>
            <w:r>
              <w:rPr>
                <w:rFonts w:ascii="Arial" w:cs="Arial" w:eastAsia="Arial" w:hAnsi="Arial"/>
                <w:sz w:val="17"/>
                <w:szCs w:val="17"/>
                <w:color w:val="3A4967"/>
              </w:rPr>
              <w:t>(803)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(7)</w:t>
            </w:r>
          </w:p>
        </w:tc>
        <w:tc>
          <w:tcPr>
            <w:tcW w:w="840" w:type="dxa"/>
            <w:vAlign w:val="bottom"/>
          </w:tcPr>
          <w:p>
            <w:pPr>
              <w:jc w:val="right"/>
              <w:spacing w:after="0"/>
              <w:rPr>
                <w:sz w:val="20"/>
                <w:szCs w:val="20"/>
                <w:color w:val="auto"/>
              </w:rPr>
            </w:pPr>
            <w:r>
              <w:rPr>
                <w:rFonts w:ascii="Arial" w:cs="Arial" w:eastAsia="Arial" w:hAnsi="Arial"/>
                <w:sz w:val="17"/>
                <w:szCs w:val="17"/>
                <w:color w:val="3A4967"/>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3A4967"/>
              </w:rPr>
              <w:t>(240,948)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3A4967"/>
              </w:rPr>
              <w:t>(240,955)</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Stock options exercised</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4"/>
        </w:trPr>
        <w:tc>
          <w:tcPr>
            <w:tcW w:w="1940" w:type="dxa"/>
            <w:vAlign w:val="bottom"/>
          </w:tcPr>
          <w:p>
            <w:pPr>
              <w:ind w:left="80"/>
              <w:spacing w:after="0"/>
              <w:rPr>
                <w:sz w:val="20"/>
                <w:szCs w:val="20"/>
                <w:color w:val="auto"/>
              </w:rPr>
            </w:pPr>
            <w:r>
              <w:rPr>
                <w:rFonts w:ascii="Arial" w:cs="Arial" w:eastAsia="Arial" w:hAnsi="Arial"/>
                <w:sz w:val="17"/>
                <w:szCs w:val="17"/>
                <w:color w:val="3A4967"/>
              </w:rPr>
              <w:t>and restricted shares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1940" w:type="dxa"/>
            <w:vAlign w:val="bottom"/>
          </w:tcPr>
          <w:p>
            <w:pPr>
              <w:ind w:left="80"/>
              <w:spacing w:after="0"/>
              <w:rPr>
                <w:sz w:val="20"/>
                <w:szCs w:val="20"/>
                <w:color w:val="auto"/>
              </w:rPr>
            </w:pPr>
            <w:r>
              <w:rPr>
                <w:rFonts w:ascii="Arial" w:cs="Arial" w:eastAsia="Arial" w:hAnsi="Arial"/>
                <w:sz w:val="17"/>
                <w:szCs w:val="17"/>
                <w:color w:val="3A4967"/>
              </w:rPr>
              <w:t>activities</w:t>
            </w:r>
          </w:p>
        </w:tc>
        <w:tc>
          <w:tcPr>
            <w:tcW w:w="900" w:type="dxa"/>
            <w:vAlign w:val="bottom"/>
          </w:tcPr>
          <w:p>
            <w:pPr>
              <w:jc w:val="right"/>
              <w:ind w:right="16"/>
              <w:spacing w:after="0"/>
              <w:rPr>
                <w:sz w:val="20"/>
                <w:szCs w:val="20"/>
                <w:color w:val="auto"/>
              </w:rPr>
            </w:pPr>
            <w:r>
              <w:rPr>
                <w:rFonts w:ascii="Arial" w:cs="Arial" w:eastAsia="Arial" w:hAnsi="Arial"/>
                <w:sz w:val="17"/>
                <w:szCs w:val="17"/>
                <w:color w:val="3A4967"/>
              </w:rPr>
              <w:t>33</w:t>
            </w:r>
          </w:p>
        </w:tc>
        <w:tc>
          <w:tcPr>
            <w:tcW w:w="22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3A4967"/>
              </w:rPr>
              <w:t>0</w:t>
            </w:r>
          </w:p>
        </w:tc>
        <w:tc>
          <w:tcPr>
            <w:tcW w:w="840" w:type="dxa"/>
            <w:vAlign w:val="bottom"/>
          </w:tcPr>
          <w:p>
            <w:pPr>
              <w:jc w:val="right"/>
              <w:spacing w:after="0"/>
              <w:rPr>
                <w:sz w:val="20"/>
                <w:szCs w:val="20"/>
                <w:color w:val="auto"/>
              </w:rPr>
            </w:pPr>
            <w:r>
              <w:rPr>
                <w:rFonts w:ascii="Arial" w:cs="Arial" w:eastAsia="Arial" w:hAnsi="Arial"/>
                <w:sz w:val="17"/>
                <w:szCs w:val="17"/>
                <w:color w:val="3A4967"/>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jc w:val="right"/>
              <w:ind w:right="26"/>
              <w:spacing w:after="0"/>
              <w:rPr>
                <w:sz w:val="20"/>
                <w:szCs w:val="20"/>
                <w:color w:val="auto"/>
              </w:rPr>
            </w:pPr>
            <w:r>
              <w:rPr>
                <w:rFonts w:ascii="Arial" w:cs="Arial" w:eastAsia="Arial" w:hAnsi="Arial"/>
                <w:sz w:val="17"/>
                <w:szCs w:val="17"/>
                <w:color w:val="3A4967"/>
              </w:rPr>
              <w:t>1,203</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3A4967"/>
              </w:rPr>
              <w:t>1,203</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Stock-based</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8"/>
        </w:trPr>
        <w:tc>
          <w:tcPr>
            <w:tcW w:w="1940" w:type="dxa"/>
            <w:vAlign w:val="bottom"/>
          </w:tcPr>
          <w:p>
            <w:pPr>
              <w:ind w:left="80"/>
              <w:spacing w:after="0"/>
              <w:rPr>
                <w:sz w:val="20"/>
                <w:szCs w:val="20"/>
                <w:color w:val="auto"/>
              </w:rPr>
            </w:pPr>
            <w:r>
              <w:rPr>
                <w:rFonts w:ascii="Arial" w:cs="Arial" w:eastAsia="Arial" w:hAnsi="Arial"/>
                <w:sz w:val="17"/>
                <w:szCs w:val="17"/>
                <w:color w:val="3A4967"/>
              </w:rPr>
              <w:t>compensation expense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jc w:val="right"/>
              <w:ind w:right="26"/>
              <w:spacing w:after="0"/>
              <w:rPr>
                <w:sz w:val="20"/>
                <w:szCs w:val="20"/>
                <w:color w:val="auto"/>
              </w:rPr>
            </w:pPr>
            <w:r>
              <w:rPr>
                <w:rFonts w:ascii="Arial" w:cs="Arial" w:eastAsia="Arial" w:hAnsi="Arial"/>
                <w:sz w:val="17"/>
                <w:szCs w:val="17"/>
                <w:color w:val="3A4967"/>
              </w:rPr>
              <w:t>18,954</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3A4967"/>
              </w:rPr>
              <w:t>18,954</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Defined benefit plans</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4"/>
        </w:trPr>
        <w:tc>
          <w:tcPr>
            <w:tcW w:w="1940" w:type="dxa"/>
            <w:vAlign w:val="bottom"/>
          </w:tcPr>
          <w:p>
            <w:pPr>
              <w:ind w:left="80"/>
              <w:spacing w:after="0"/>
              <w:rPr>
                <w:sz w:val="20"/>
                <w:szCs w:val="20"/>
                <w:color w:val="auto"/>
              </w:rPr>
            </w:pPr>
            <w:r>
              <w:rPr>
                <w:rFonts w:ascii="Arial" w:cs="Arial" w:eastAsia="Arial" w:hAnsi="Arial"/>
                <w:sz w:val="17"/>
                <w:szCs w:val="17"/>
                <w:color w:val="3A4967"/>
              </w:rPr>
              <w:t>liability adjustment,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1940" w:type="dxa"/>
            <w:vAlign w:val="bottom"/>
          </w:tcPr>
          <w:p>
            <w:pPr>
              <w:ind w:left="80"/>
              <w:spacing w:after="0"/>
              <w:rPr>
                <w:sz w:val="20"/>
                <w:szCs w:val="20"/>
                <w:color w:val="auto"/>
              </w:rPr>
            </w:pPr>
            <w:r>
              <w:rPr>
                <w:rFonts w:ascii="Arial" w:cs="Arial" w:eastAsia="Arial" w:hAnsi="Arial"/>
                <w:sz w:val="17"/>
                <w:szCs w:val="17"/>
                <w:color w:val="3A4967"/>
              </w:rPr>
              <w:t>net of tax of $1</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Arial" w:cs="Arial" w:eastAsia="Arial" w:hAnsi="Arial"/>
                <w:sz w:val="17"/>
                <w:szCs w:val="17"/>
                <w:color w:val="3A4967"/>
              </w:rPr>
              <w:t>76</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3A4967"/>
              </w:rPr>
              <w:t>76</w:t>
            </w:r>
          </w:p>
        </w:tc>
      </w:tr>
      <w:tr>
        <w:trPr>
          <w:trHeight w:val="247"/>
        </w:trPr>
        <w:tc>
          <w:tcPr>
            <w:tcW w:w="1940" w:type="dxa"/>
            <w:vAlign w:val="bottom"/>
          </w:tcPr>
          <w:p>
            <w:pPr>
              <w:ind w:left="80"/>
              <w:spacing w:after="0"/>
              <w:rPr>
                <w:sz w:val="20"/>
                <w:szCs w:val="20"/>
                <w:color w:val="auto"/>
              </w:rPr>
            </w:pPr>
            <w:r>
              <w:rPr>
                <w:rFonts w:ascii="Arial" w:cs="Arial" w:eastAsia="Arial" w:hAnsi="Arial"/>
                <w:sz w:val="17"/>
                <w:szCs w:val="17"/>
                <w:color w:val="3A4967"/>
              </w:rPr>
              <w:t>Foreign currency</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194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translation adjustment</w:t>
            </w:r>
          </w:p>
        </w:tc>
        <w:tc>
          <w:tcPr>
            <w:tcW w:w="900" w:type="dxa"/>
            <w:vAlign w:val="bottom"/>
            <w:tcBorders>
              <w:bottom w:val="single" w:sz="8" w:color="3A4967"/>
            </w:tcBorders>
          </w:tcPr>
          <w:p>
            <w:pPr>
              <w:spacing w:after="0"/>
              <w:rPr>
                <w:sz w:val="18"/>
                <w:szCs w:val="18"/>
                <w:color w:val="auto"/>
              </w:rPr>
            </w:pPr>
          </w:p>
        </w:tc>
        <w:tc>
          <w:tcPr>
            <w:tcW w:w="220" w:type="dxa"/>
            <w:vAlign w:val="bottom"/>
            <w:tcBorders>
              <w:bottom w:val="single" w:sz="8" w:color="3A4967"/>
            </w:tcBorders>
          </w:tcPr>
          <w:p>
            <w:pPr>
              <w:spacing w:after="0"/>
              <w:rPr>
                <w:sz w:val="18"/>
                <w:szCs w:val="18"/>
                <w:color w:val="auto"/>
              </w:rPr>
            </w:pPr>
          </w:p>
        </w:tc>
        <w:tc>
          <w:tcPr>
            <w:tcW w:w="740" w:type="dxa"/>
            <w:vAlign w:val="bottom"/>
            <w:tcBorders>
              <w:bottom w:val="single" w:sz="8" w:color="3A4967"/>
            </w:tcBorders>
          </w:tcPr>
          <w:p>
            <w:pPr>
              <w:spacing w:after="0"/>
              <w:rPr>
                <w:sz w:val="18"/>
                <w:szCs w:val="18"/>
                <w:color w:val="auto"/>
              </w:rPr>
            </w:pPr>
          </w:p>
        </w:tc>
        <w:tc>
          <w:tcPr>
            <w:tcW w:w="840" w:type="dxa"/>
            <w:vAlign w:val="bottom"/>
            <w:tcBorders>
              <w:bottom w:val="single" w:sz="8" w:color="3A4967"/>
            </w:tcBorders>
          </w:tcPr>
          <w:p>
            <w:pPr>
              <w:spacing w:after="0"/>
              <w:rPr>
                <w:sz w:val="18"/>
                <w:szCs w:val="18"/>
                <w:color w:val="auto"/>
              </w:rPr>
            </w:pPr>
          </w:p>
        </w:tc>
        <w:tc>
          <w:tcPr>
            <w:tcW w:w="200" w:type="dxa"/>
            <w:vAlign w:val="bottom"/>
            <w:tcBorders>
              <w:bottom w:val="single" w:sz="8" w:color="3A4967"/>
            </w:tcBorders>
          </w:tcPr>
          <w:p>
            <w:pPr>
              <w:spacing w:after="0"/>
              <w:rPr>
                <w:sz w:val="18"/>
                <w:szCs w:val="18"/>
                <w:color w:val="auto"/>
              </w:rPr>
            </w:pPr>
          </w:p>
        </w:tc>
        <w:tc>
          <w:tcPr>
            <w:tcW w:w="820" w:type="dxa"/>
            <w:vAlign w:val="bottom"/>
            <w:tcBorders>
              <w:bottom w:val="single" w:sz="8" w:color="3A4967"/>
            </w:tcBorders>
          </w:tcPr>
          <w:p>
            <w:pPr>
              <w:spacing w:after="0"/>
              <w:rPr>
                <w:sz w:val="18"/>
                <w:szCs w:val="18"/>
                <w:color w:val="auto"/>
              </w:rPr>
            </w:pPr>
          </w:p>
        </w:tc>
        <w:tc>
          <w:tcPr>
            <w:tcW w:w="980" w:type="dxa"/>
            <w:vAlign w:val="bottom"/>
            <w:tcBorders>
              <w:bottom w:val="single" w:sz="8" w:color="3A4967"/>
            </w:tcBorders>
          </w:tcPr>
          <w:p>
            <w:pPr>
              <w:spacing w:after="0"/>
              <w:rPr>
                <w:sz w:val="18"/>
                <w:szCs w:val="18"/>
                <w:color w:val="auto"/>
              </w:rPr>
            </w:pPr>
          </w:p>
        </w:tc>
        <w:tc>
          <w:tcPr>
            <w:tcW w:w="260" w:type="dxa"/>
            <w:vAlign w:val="bottom"/>
            <w:tcBorders>
              <w:bottom w:val="single" w:sz="8" w:color="3A4967"/>
            </w:tcBorders>
          </w:tcPr>
          <w:p>
            <w:pPr>
              <w:spacing w:after="0"/>
              <w:rPr>
                <w:sz w:val="18"/>
                <w:szCs w:val="18"/>
                <w:color w:val="auto"/>
              </w:rPr>
            </w:pPr>
          </w:p>
        </w:tc>
        <w:tc>
          <w:tcPr>
            <w:tcW w:w="118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(715)</w:t>
            </w:r>
          </w:p>
        </w:tc>
        <w:tc>
          <w:tcPr>
            <w:tcW w:w="900" w:type="dxa"/>
            <w:vAlign w:val="bottom"/>
            <w:tcBorders>
              <w:bottom w:val="single" w:sz="8" w:color="3A4967"/>
            </w:tcBorders>
          </w:tcPr>
          <w:p>
            <w:pPr>
              <w:spacing w:after="0"/>
              <w:rPr>
                <w:sz w:val="18"/>
                <w:szCs w:val="18"/>
                <w:color w:val="auto"/>
              </w:rPr>
            </w:pPr>
          </w:p>
        </w:tc>
        <w:tc>
          <w:tcPr>
            <w:tcW w:w="260" w:type="dxa"/>
            <w:vAlign w:val="bottom"/>
            <w:tcBorders>
              <w:bottom w:val="single" w:sz="8" w:color="3A4967"/>
            </w:tcBorders>
          </w:tcPr>
          <w:p>
            <w:pPr>
              <w:spacing w:after="0"/>
              <w:rPr>
                <w:sz w:val="18"/>
                <w:szCs w:val="18"/>
                <w:color w:val="auto"/>
              </w:rPr>
            </w:pPr>
          </w:p>
        </w:tc>
        <w:tc>
          <w:tcPr>
            <w:tcW w:w="1000" w:type="dxa"/>
            <w:vAlign w:val="bottom"/>
            <w:tcBorders>
              <w:bottom w:val="single" w:sz="8" w:color="3A4967"/>
            </w:tcBorders>
          </w:tcPr>
          <w:p>
            <w:pPr>
              <w:jc w:val="right"/>
              <w:spacing w:after="0"/>
              <w:rPr>
                <w:sz w:val="20"/>
                <w:szCs w:val="20"/>
                <w:color w:val="auto"/>
              </w:rPr>
            </w:pPr>
            <w:r>
              <w:rPr>
                <w:rFonts w:ascii="Arial" w:cs="Arial" w:eastAsia="Arial" w:hAnsi="Arial"/>
                <w:sz w:val="17"/>
                <w:szCs w:val="17"/>
                <w:color w:val="3A4967"/>
              </w:rPr>
              <w:t>(715)</w:t>
            </w:r>
          </w:p>
        </w:tc>
      </w:tr>
      <w:tr>
        <w:trPr>
          <w:trHeight w:val="218"/>
        </w:trPr>
        <w:tc>
          <w:tcPr>
            <w:tcW w:w="1940" w:type="dxa"/>
            <w:vAlign w:val="bottom"/>
          </w:tcPr>
          <w:p>
            <w:pPr>
              <w:ind w:left="80"/>
              <w:spacing w:after="0"/>
              <w:rPr>
                <w:sz w:val="20"/>
                <w:szCs w:val="20"/>
                <w:color w:val="auto"/>
              </w:rPr>
            </w:pPr>
            <w:r>
              <w:rPr>
                <w:rFonts w:ascii="Arial" w:cs="Arial" w:eastAsia="Arial" w:hAnsi="Arial"/>
                <w:sz w:val="17"/>
                <w:szCs w:val="17"/>
                <w:b w:val="1"/>
                <w:bCs w:val="1"/>
                <w:color w:val="3A4967"/>
              </w:rPr>
              <w:t>Balance at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194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December 28, 2024</w:t>
            </w:r>
          </w:p>
        </w:tc>
        <w:tc>
          <w:tcPr>
            <w:tcW w:w="90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b w:val="1"/>
                <w:bCs w:val="1"/>
                <w:color w:val="3A4967"/>
              </w:rPr>
              <w:t>9,263</w:t>
            </w:r>
          </w:p>
        </w:tc>
        <w:tc>
          <w:tcPr>
            <w:tcW w:w="22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740" w:type="dxa"/>
            <w:vAlign w:val="bottom"/>
            <w:tcBorders>
              <w:bottom w:val="single" w:sz="8" w:color="3A4967"/>
            </w:tcBorders>
          </w:tcPr>
          <w:p>
            <w:pPr>
              <w:jc w:val="right"/>
              <w:ind w:right="36"/>
              <w:spacing w:after="0"/>
              <w:rPr>
                <w:sz w:val="20"/>
                <w:szCs w:val="20"/>
                <w:color w:val="auto"/>
              </w:rPr>
            </w:pPr>
            <w:r>
              <w:rPr>
                <w:rFonts w:ascii="Arial" w:cs="Arial" w:eastAsia="Arial" w:hAnsi="Arial"/>
                <w:sz w:val="17"/>
                <w:szCs w:val="17"/>
                <w:b w:val="1"/>
                <w:bCs w:val="1"/>
                <w:color w:val="3A4967"/>
              </w:rPr>
              <w:t>93</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2,068</w:t>
            </w:r>
          </w:p>
        </w:tc>
        <w:tc>
          <w:tcPr>
            <w:tcW w:w="20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820" w:type="dxa"/>
            <w:vAlign w:val="bottom"/>
            <w:tcBorders>
              <w:bottom w:val="single" w:sz="8" w:color="3A4967"/>
            </w:tcBorders>
          </w:tcPr>
          <w:p>
            <w:pPr>
              <w:jc w:val="right"/>
              <w:ind w:right="17"/>
              <w:spacing w:after="0"/>
              <w:rPr>
                <w:sz w:val="20"/>
                <w:szCs w:val="20"/>
                <w:color w:val="auto"/>
              </w:rPr>
            </w:pPr>
            <w:r>
              <w:rPr>
                <w:rFonts w:ascii="Arial" w:cs="Arial" w:eastAsia="Arial" w:hAnsi="Arial"/>
                <w:sz w:val="17"/>
                <w:szCs w:val="17"/>
                <w:b w:val="1"/>
                <w:bCs w:val="1"/>
                <w:color w:val="3A4967"/>
              </w:rPr>
              <w:t>21</w:t>
            </w:r>
          </w:p>
        </w:tc>
        <w:tc>
          <w:tcPr>
            <w:tcW w:w="980" w:type="dxa"/>
            <w:vAlign w:val="bottom"/>
            <w:tcBorders>
              <w:bottom w:val="single" w:sz="8" w:color="3A4967"/>
            </w:tcBorders>
          </w:tcPr>
          <w:p>
            <w:pPr>
              <w:jc w:val="right"/>
              <w:ind w:right="26"/>
              <w:spacing w:after="0"/>
              <w:rPr>
                <w:sz w:val="20"/>
                <w:szCs w:val="20"/>
                <w:color w:val="auto"/>
              </w:rPr>
            </w:pPr>
            <w:r>
              <w:rPr>
                <w:rFonts w:ascii="Arial" w:cs="Arial" w:eastAsia="Arial" w:hAnsi="Arial"/>
                <w:sz w:val="17"/>
                <w:szCs w:val="17"/>
                <w:b w:val="1"/>
                <w:bCs w:val="1"/>
                <w:color w:val="3A4967"/>
              </w:rPr>
              <w:t>$ 676,454</w:t>
            </w:r>
          </w:p>
        </w:tc>
        <w:tc>
          <w:tcPr>
            <w:tcW w:w="26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11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(696)</w:t>
            </w:r>
          </w:p>
        </w:tc>
        <w:tc>
          <w:tcPr>
            <w:tcW w:w="90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b w:val="1"/>
                <w:bCs w:val="1"/>
                <w:color w:val="3A4967"/>
              </w:rPr>
              <w:t>$ 240,315</w:t>
            </w:r>
          </w:p>
        </w:tc>
        <w:tc>
          <w:tcPr>
            <w:tcW w:w="260" w:type="dxa"/>
            <w:vAlign w:val="bottom"/>
            <w:tcBorders>
              <w:bottom w:val="single" w:sz="8" w:color="3A4967"/>
            </w:tcBorders>
          </w:tcPr>
          <w:p>
            <w:pPr>
              <w:jc w:val="right"/>
              <w:ind w:right="36"/>
              <w:spacing w:after="0"/>
              <w:rPr>
                <w:sz w:val="20"/>
                <w:szCs w:val="20"/>
                <w:color w:val="auto"/>
              </w:rPr>
            </w:pPr>
            <w:r>
              <w:rPr>
                <w:rFonts w:ascii="Arial" w:cs="Arial" w:eastAsia="Arial" w:hAnsi="Arial"/>
                <w:sz w:val="17"/>
                <w:szCs w:val="17"/>
                <w:b w:val="1"/>
                <w:bCs w:val="1"/>
                <w:color w:val="3A4967"/>
              </w:rPr>
              <w:t>$</w:t>
            </w:r>
          </w:p>
        </w:tc>
        <w:tc>
          <w:tcPr>
            <w:tcW w:w="1000" w:type="dxa"/>
            <w:vAlign w:val="bottom"/>
            <w:tcBorders>
              <w:bottom w:val="single" w:sz="8" w:color="3A4967"/>
            </w:tcBorders>
          </w:tcPr>
          <w:p>
            <w:pPr>
              <w:jc w:val="right"/>
              <w:ind w:right="35"/>
              <w:spacing w:after="0"/>
              <w:rPr>
                <w:sz w:val="20"/>
                <w:szCs w:val="20"/>
                <w:color w:val="auto"/>
              </w:rPr>
            </w:pPr>
            <w:r>
              <w:rPr>
                <w:rFonts w:ascii="Arial" w:cs="Arial" w:eastAsia="Arial" w:hAnsi="Arial"/>
                <w:sz w:val="17"/>
                <w:szCs w:val="17"/>
                <w:b w:val="1"/>
                <w:bCs w:val="1"/>
                <w:color w:val="3A4967"/>
              </w:rPr>
              <w:t>916,187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-6730365</wp:posOffset>
            </wp:positionV>
            <wp:extent cx="6520815" cy="2169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520815" cy="216916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3A4967"/>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232410</wp:posOffset>
            </wp:positionV>
            <wp:extent cx="2584450" cy="1917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47" w:name="page48"/>
    <w:bookmarkEnd w:id="47"/>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3A4967"/>
        </w:rPr>
        <w:t>THE BOSTON BEER COMPANY, INC. AND SUBSIDIARIES</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3A4967"/>
        </w:rPr>
        <w:t>CONSOLIDATED STATEMENTS OF CASH FLOWS</w:t>
      </w:r>
    </w:p>
    <w:p>
      <w:pPr>
        <w:spacing w:after="0" w:line="143" w:lineRule="exact"/>
        <w:rPr>
          <w:sz w:val="20"/>
          <w:szCs w:val="20"/>
          <w:color w:val="auto"/>
        </w:rPr>
      </w:pPr>
    </w:p>
    <w:tbl>
      <w:tblPr>
        <w:tblLayout w:type="fixed"/>
        <w:tblInd w:w="400" w:type="dxa"/>
        <w:tblCellMar>
          <w:top w:w="0" w:type="dxa"/>
          <w:left w:w="0" w:type="dxa"/>
          <w:bottom w:w="0" w:type="dxa"/>
          <w:right w:w="0" w:type="dxa"/>
        </w:tblCellMar>
      </w:tblPr>
      <w:tr>
        <w:trPr>
          <w:trHeight w:val="198"/>
        </w:trPr>
        <w:tc>
          <w:tcPr>
            <w:tcW w:w="4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0" w:type="dxa"/>
            <w:vAlign w:val="bottom"/>
            <w:gridSpan w:val="2"/>
          </w:tcPr>
          <w:p>
            <w:pPr>
              <w:jc w:val="right"/>
              <w:ind w:right="495"/>
              <w:spacing w:after="0"/>
              <w:rPr>
                <w:sz w:val="20"/>
                <w:szCs w:val="20"/>
                <w:color w:val="auto"/>
              </w:rPr>
            </w:pPr>
            <w:r>
              <w:rPr>
                <w:rFonts w:ascii="Arial" w:cs="Arial" w:eastAsia="Arial" w:hAnsi="Arial"/>
                <w:sz w:val="16"/>
                <w:szCs w:val="16"/>
                <w:b w:val="1"/>
                <w:bCs w:val="1"/>
                <w:color w:val="3A4967"/>
              </w:rPr>
              <w:t>Year Ended</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860" w:type="dxa"/>
            <w:vAlign w:val="bottom"/>
          </w:tcPr>
          <w:p>
            <w:pPr>
              <w:spacing w:after="0"/>
              <w:rPr>
                <w:sz w:val="3"/>
                <w:szCs w:val="3"/>
                <w:color w:val="auto"/>
              </w:rPr>
            </w:pPr>
          </w:p>
        </w:tc>
        <w:tc>
          <w:tcPr>
            <w:tcW w:w="1820" w:type="dxa"/>
            <w:vAlign w:val="bottom"/>
            <w:tcBorders>
              <w:bottom w:val="single" w:sz="8" w:color="3A4967"/>
            </w:tcBorders>
            <w:gridSpan w:val="2"/>
          </w:tcPr>
          <w:p>
            <w:pPr>
              <w:spacing w:after="0"/>
              <w:rPr>
                <w:sz w:val="3"/>
                <w:szCs w:val="3"/>
                <w:color w:val="auto"/>
              </w:rPr>
            </w:pPr>
          </w:p>
        </w:tc>
        <w:tc>
          <w:tcPr>
            <w:tcW w:w="1800" w:type="dxa"/>
            <w:vAlign w:val="bottom"/>
            <w:tcBorders>
              <w:bottom w:val="single" w:sz="8" w:color="3A4967"/>
            </w:tcBorders>
            <w:gridSpan w:val="2"/>
          </w:tcPr>
          <w:p>
            <w:pPr>
              <w:spacing w:after="0"/>
              <w:rPr>
                <w:sz w:val="3"/>
                <w:szCs w:val="3"/>
                <w:color w:val="auto"/>
              </w:rPr>
            </w:pPr>
          </w:p>
        </w:tc>
        <w:tc>
          <w:tcPr>
            <w:tcW w:w="1680" w:type="dxa"/>
            <w:vAlign w:val="bottom"/>
            <w:tcBorders>
              <w:bottom w:val="single" w:sz="8" w:color="3A4967"/>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1820" w:type="dxa"/>
            <w:vAlign w:val="bottom"/>
            <w:gridSpan w:val="2"/>
          </w:tcPr>
          <w:p>
            <w:pPr>
              <w:jc w:val="right"/>
              <w:ind w:right="55"/>
              <w:spacing w:after="0"/>
              <w:rPr>
                <w:sz w:val="20"/>
                <w:szCs w:val="20"/>
                <w:color w:val="auto"/>
              </w:rPr>
            </w:pPr>
            <w:r>
              <w:rPr>
                <w:rFonts w:ascii="Arial" w:cs="Arial" w:eastAsia="Arial" w:hAnsi="Arial"/>
                <w:sz w:val="17"/>
                <w:szCs w:val="17"/>
                <w:b w:val="1"/>
                <w:bCs w:val="1"/>
                <w:color w:val="3A4967"/>
              </w:rPr>
              <w:t>December 28, 2024</w:t>
            </w:r>
          </w:p>
        </w:tc>
        <w:tc>
          <w:tcPr>
            <w:tcW w:w="1800" w:type="dxa"/>
            <w:vAlign w:val="bottom"/>
            <w:gridSpan w:val="2"/>
          </w:tcPr>
          <w:p>
            <w:pPr>
              <w:jc w:val="right"/>
              <w:ind w:right="95"/>
              <w:spacing w:after="0"/>
              <w:rPr>
                <w:sz w:val="20"/>
                <w:szCs w:val="20"/>
                <w:color w:val="auto"/>
              </w:rPr>
            </w:pPr>
            <w:r>
              <w:rPr>
                <w:rFonts w:ascii="Arial" w:cs="Arial" w:eastAsia="Arial" w:hAnsi="Arial"/>
                <w:sz w:val="17"/>
                <w:szCs w:val="17"/>
                <w:b w:val="1"/>
                <w:bCs w:val="1"/>
                <w:color w:val="3A4967"/>
              </w:rPr>
              <w:t>December 30, 2023</w:t>
            </w:r>
          </w:p>
        </w:tc>
        <w:tc>
          <w:tcPr>
            <w:tcW w:w="1680" w:type="dxa"/>
            <w:vAlign w:val="bottom"/>
            <w:gridSpan w:val="2"/>
          </w:tcPr>
          <w:p>
            <w:pPr>
              <w:jc w:val="right"/>
              <w:ind w:right="15"/>
              <w:spacing w:after="0"/>
              <w:rPr>
                <w:sz w:val="20"/>
                <w:szCs w:val="20"/>
                <w:color w:val="auto"/>
              </w:rPr>
            </w:pPr>
            <w:r>
              <w:rPr>
                <w:rFonts w:ascii="Arial" w:cs="Arial" w:eastAsia="Arial" w:hAnsi="Arial"/>
                <w:sz w:val="16"/>
                <w:szCs w:val="16"/>
                <w:b w:val="1"/>
                <w:bCs w:val="1"/>
                <w:color w:val="3A4967"/>
              </w:rPr>
              <w:t>December 31, 2022</w:t>
            </w:r>
          </w:p>
        </w:tc>
        <w:tc>
          <w:tcPr>
            <w:tcW w:w="0" w:type="dxa"/>
            <w:vAlign w:val="bottom"/>
          </w:tcPr>
          <w:p>
            <w:pPr>
              <w:spacing w:after="0"/>
              <w:rPr>
                <w:sz w:val="1"/>
                <w:szCs w:val="1"/>
                <w:color w:val="auto"/>
              </w:rPr>
            </w:pPr>
          </w:p>
        </w:tc>
      </w:tr>
      <w:tr>
        <w:trPr>
          <w:trHeight w:val="33"/>
        </w:trPr>
        <w:tc>
          <w:tcPr>
            <w:tcW w:w="4860" w:type="dxa"/>
            <w:vAlign w:val="bottom"/>
            <w:tcBorders>
              <w:bottom w:val="single" w:sz="8" w:color="3A4967"/>
            </w:tcBorders>
          </w:tcPr>
          <w:p>
            <w:pPr>
              <w:spacing w:after="0"/>
              <w:rPr>
                <w:sz w:val="2"/>
                <w:szCs w:val="2"/>
                <w:color w:val="auto"/>
              </w:rPr>
            </w:pPr>
          </w:p>
        </w:tc>
        <w:tc>
          <w:tcPr>
            <w:tcW w:w="840" w:type="dxa"/>
            <w:vAlign w:val="bottom"/>
            <w:tcBorders>
              <w:bottom w:val="single" w:sz="8" w:color="3A4967"/>
            </w:tcBorders>
          </w:tcPr>
          <w:p>
            <w:pPr>
              <w:spacing w:after="0"/>
              <w:rPr>
                <w:sz w:val="2"/>
                <w:szCs w:val="2"/>
                <w:color w:val="auto"/>
              </w:rPr>
            </w:pPr>
          </w:p>
        </w:tc>
        <w:tc>
          <w:tcPr>
            <w:tcW w:w="980" w:type="dxa"/>
            <w:vAlign w:val="bottom"/>
            <w:tcBorders>
              <w:bottom w:val="single" w:sz="8" w:color="3A4967"/>
            </w:tcBorders>
          </w:tcPr>
          <w:p>
            <w:pPr>
              <w:spacing w:after="0"/>
              <w:rPr>
                <w:sz w:val="2"/>
                <w:szCs w:val="2"/>
                <w:color w:val="auto"/>
              </w:rPr>
            </w:pPr>
          </w:p>
        </w:tc>
        <w:tc>
          <w:tcPr>
            <w:tcW w:w="900" w:type="dxa"/>
            <w:vAlign w:val="bottom"/>
            <w:tcBorders>
              <w:bottom w:val="single" w:sz="8" w:color="3A4967"/>
            </w:tcBorders>
          </w:tcPr>
          <w:p>
            <w:pPr>
              <w:spacing w:after="0"/>
              <w:rPr>
                <w:sz w:val="2"/>
                <w:szCs w:val="2"/>
                <w:color w:val="auto"/>
              </w:rPr>
            </w:pPr>
          </w:p>
        </w:tc>
        <w:tc>
          <w:tcPr>
            <w:tcW w:w="900" w:type="dxa"/>
            <w:vAlign w:val="bottom"/>
            <w:tcBorders>
              <w:bottom w:val="single" w:sz="8" w:color="3A4967"/>
            </w:tcBorders>
          </w:tcPr>
          <w:p>
            <w:pPr>
              <w:spacing w:after="0"/>
              <w:rPr>
                <w:sz w:val="2"/>
                <w:szCs w:val="2"/>
                <w:color w:val="auto"/>
              </w:rPr>
            </w:pPr>
          </w:p>
        </w:tc>
        <w:tc>
          <w:tcPr>
            <w:tcW w:w="800" w:type="dxa"/>
            <w:vAlign w:val="bottom"/>
            <w:tcBorders>
              <w:bottom w:val="single" w:sz="8" w:color="3A4967"/>
            </w:tcBorders>
          </w:tcPr>
          <w:p>
            <w:pPr>
              <w:spacing w:after="0"/>
              <w:rPr>
                <w:sz w:val="2"/>
                <w:szCs w:val="2"/>
                <w:color w:val="auto"/>
              </w:rPr>
            </w:pPr>
          </w:p>
        </w:tc>
        <w:tc>
          <w:tcPr>
            <w:tcW w:w="880" w:type="dxa"/>
            <w:vAlign w:val="bottom"/>
            <w:tcBorders>
              <w:bottom w:val="single" w:sz="8" w:color="3A4967"/>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80"/>
              <w:spacing w:after="0"/>
              <w:rPr>
                <w:sz w:val="20"/>
                <w:szCs w:val="20"/>
                <w:color w:val="auto"/>
              </w:rPr>
            </w:pPr>
            <w:r>
              <w:rPr>
                <w:rFonts w:ascii="Arial" w:cs="Arial" w:eastAsia="Arial" w:hAnsi="Arial"/>
                <w:sz w:val="17"/>
                <w:szCs w:val="17"/>
                <w:b w:val="1"/>
                <w:bCs w:val="1"/>
                <w:color w:val="3A4967"/>
              </w:rPr>
              <w:t>Cash flows provided by operating activities:</w:t>
            </w: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860" w:type="dxa"/>
            <w:vAlign w:val="bottom"/>
          </w:tcPr>
          <w:p>
            <w:pPr>
              <w:ind w:left="220"/>
              <w:spacing w:after="0"/>
              <w:rPr>
                <w:sz w:val="20"/>
                <w:szCs w:val="20"/>
                <w:color w:val="auto"/>
              </w:rPr>
            </w:pPr>
            <w:r>
              <w:rPr>
                <w:rFonts w:ascii="Arial" w:cs="Arial" w:eastAsia="Arial" w:hAnsi="Arial"/>
                <w:sz w:val="17"/>
                <w:szCs w:val="17"/>
                <w:color w:val="3A4967"/>
              </w:rPr>
              <w:t>Net income</w:t>
            </w:r>
          </w:p>
        </w:tc>
        <w:tc>
          <w:tcPr>
            <w:tcW w:w="840" w:type="dxa"/>
            <w:vAlign w:val="bottom"/>
          </w:tcPr>
          <w:p>
            <w:pPr>
              <w:jc w:val="right"/>
              <w:ind w:right="95"/>
              <w:spacing w:after="0"/>
              <w:rPr>
                <w:sz w:val="20"/>
                <w:szCs w:val="20"/>
                <w:color w:val="auto"/>
              </w:rPr>
            </w:pPr>
            <w:r>
              <w:rPr>
                <w:rFonts w:ascii="Arial" w:cs="Arial" w:eastAsia="Arial" w:hAnsi="Arial"/>
                <w:sz w:val="17"/>
                <w:szCs w:val="17"/>
                <w:color w:val="3A4967"/>
              </w:rPr>
              <w:t>$</w:t>
            </w: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59,695</w:t>
            </w:r>
          </w:p>
        </w:tc>
        <w:tc>
          <w:tcPr>
            <w:tcW w:w="900" w:type="dxa"/>
            <w:vAlign w:val="bottom"/>
          </w:tcPr>
          <w:p>
            <w:pPr>
              <w:jc w:val="right"/>
              <w:ind w:right="36"/>
              <w:spacing w:after="0"/>
              <w:rPr>
                <w:sz w:val="20"/>
                <w:szCs w:val="20"/>
                <w:color w:val="auto"/>
              </w:rPr>
            </w:pPr>
            <w:r>
              <w:rPr>
                <w:rFonts w:ascii="Arial" w:cs="Arial" w:eastAsia="Arial" w:hAnsi="Arial"/>
                <w:sz w:val="17"/>
                <w:szCs w:val="17"/>
                <w:color w:val="3A4967"/>
              </w:rPr>
              <w:t>$</w:t>
            </w: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76,250</w:t>
            </w:r>
          </w:p>
        </w:tc>
        <w:tc>
          <w:tcPr>
            <w:tcW w:w="800" w:type="dxa"/>
            <w:vAlign w:val="bottom"/>
          </w:tcPr>
          <w:p>
            <w:pPr>
              <w:jc w:val="right"/>
              <w:ind w:right="97"/>
              <w:spacing w:after="0"/>
              <w:rPr>
                <w:sz w:val="20"/>
                <w:szCs w:val="20"/>
                <w:color w:val="auto"/>
              </w:rPr>
            </w:pPr>
            <w:r>
              <w:rPr>
                <w:rFonts w:ascii="Arial" w:cs="Arial" w:eastAsia="Arial" w:hAnsi="Arial"/>
                <w:sz w:val="17"/>
                <w:szCs w:val="17"/>
                <w:color w:val="3A4967"/>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67,263</w:t>
            </w:r>
          </w:p>
        </w:tc>
        <w:tc>
          <w:tcPr>
            <w:tcW w:w="0" w:type="dxa"/>
            <w:vAlign w:val="bottom"/>
          </w:tcPr>
          <w:p>
            <w:pPr>
              <w:spacing w:after="0"/>
              <w:rPr>
                <w:sz w:val="1"/>
                <w:szCs w:val="1"/>
                <w:color w:val="auto"/>
              </w:rPr>
            </w:pPr>
          </w:p>
        </w:tc>
      </w:tr>
      <w:tr>
        <w:trPr>
          <w:trHeight w:val="277"/>
        </w:trPr>
        <w:tc>
          <w:tcPr>
            <w:tcW w:w="4860" w:type="dxa"/>
            <w:vAlign w:val="bottom"/>
          </w:tcPr>
          <w:p>
            <w:pPr>
              <w:ind w:left="220"/>
              <w:spacing w:after="0"/>
              <w:rPr>
                <w:sz w:val="20"/>
                <w:szCs w:val="20"/>
                <w:color w:val="auto"/>
              </w:rPr>
            </w:pPr>
            <w:r>
              <w:rPr>
                <w:rFonts w:ascii="Arial" w:cs="Arial" w:eastAsia="Arial" w:hAnsi="Arial"/>
                <w:sz w:val="17"/>
                <w:szCs w:val="17"/>
                <w:color w:val="3A4967"/>
              </w:rPr>
              <w:t>Adjustments to reconcile net income to net cash provided by</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860" w:type="dxa"/>
            <w:vAlign w:val="bottom"/>
          </w:tcPr>
          <w:p>
            <w:pPr>
              <w:ind w:left="220"/>
              <w:spacing w:after="0"/>
              <w:rPr>
                <w:sz w:val="20"/>
                <w:szCs w:val="20"/>
                <w:color w:val="auto"/>
              </w:rPr>
            </w:pPr>
            <w:r>
              <w:rPr>
                <w:rFonts w:ascii="Arial" w:cs="Arial" w:eastAsia="Arial" w:hAnsi="Arial"/>
                <w:sz w:val="17"/>
                <w:szCs w:val="17"/>
                <w:color w:val="3A4967"/>
              </w:rPr>
              <w:t>operating activities:</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Depreciation and amortization</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93,992</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88,141</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81,356</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Impairment of intangible assets</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42,584</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16,426</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27,100</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Impairment of brewery assets</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7,184</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5,396</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2,782</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Change in right-of-use assets</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7,722</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7,678</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7,972</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Stock-based compensation expense</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18,954</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16,971</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13,988</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Deferred income taxes</w:t>
            </w:r>
          </w:p>
        </w:tc>
        <w:tc>
          <w:tcPr>
            <w:tcW w:w="84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3A4967"/>
              </w:rPr>
              <w:t>(19,918)</w:t>
            </w:r>
          </w:p>
        </w:tc>
        <w:tc>
          <w:tcPr>
            <w:tcW w:w="90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3A4967"/>
              </w:rPr>
              <w:t>(10,871)</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9,097</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Other non-cash (income) expense</w:t>
            </w:r>
          </w:p>
        </w:tc>
        <w:tc>
          <w:tcPr>
            <w:tcW w:w="84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3A4967"/>
              </w:rPr>
              <w:t>(237)</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224</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89</w:t>
            </w:r>
          </w:p>
        </w:tc>
        <w:tc>
          <w:tcPr>
            <w:tcW w:w="0" w:type="dxa"/>
            <w:vAlign w:val="bottom"/>
          </w:tcPr>
          <w:p>
            <w:pPr>
              <w:spacing w:after="0"/>
              <w:rPr>
                <w:sz w:val="1"/>
                <w:szCs w:val="1"/>
                <w:color w:val="auto"/>
              </w:rPr>
            </w:pPr>
          </w:p>
        </w:tc>
      </w:tr>
      <w:tr>
        <w:trPr>
          <w:trHeight w:val="281"/>
        </w:trPr>
        <w:tc>
          <w:tcPr>
            <w:tcW w:w="4860" w:type="dxa"/>
            <w:vAlign w:val="bottom"/>
          </w:tcPr>
          <w:p>
            <w:pPr>
              <w:ind w:left="220"/>
              <w:spacing w:after="0"/>
              <w:rPr>
                <w:sz w:val="20"/>
                <w:szCs w:val="20"/>
                <w:color w:val="auto"/>
              </w:rPr>
            </w:pPr>
            <w:r>
              <w:rPr>
                <w:rFonts w:ascii="Arial" w:cs="Arial" w:eastAsia="Arial" w:hAnsi="Arial"/>
                <w:sz w:val="17"/>
                <w:szCs w:val="17"/>
                <w:color w:val="3A4967"/>
              </w:rPr>
              <w:t>Changes in operating assets and liabilities:</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Accounts receivable</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5,548</w:t>
            </w:r>
          </w:p>
        </w:tc>
        <w:tc>
          <w:tcPr>
            <w:tcW w:w="90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3A4967"/>
              </w:rPr>
              <w:t>(10,340)</w:t>
            </w:r>
          </w:p>
        </w:tc>
        <w:tc>
          <w:tcPr>
            <w:tcW w:w="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(2,042)</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Inventories</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6,907</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31,500</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131</w:t>
            </w:r>
          </w:p>
        </w:tc>
        <w:tc>
          <w:tcPr>
            <w:tcW w:w="0" w:type="dxa"/>
            <w:vAlign w:val="bottom"/>
          </w:tcPr>
          <w:p>
            <w:pPr>
              <w:spacing w:after="0"/>
              <w:rPr>
                <w:sz w:val="1"/>
                <w:szCs w:val="1"/>
                <w:color w:val="auto"/>
              </w:rPr>
            </w:pPr>
          </w:p>
        </w:tc>
      </w:tr>
      <w:tr>
        <w:trPr>
          <w:trHeight w:val="277"/>
        </w:trPr>
        <w:tc>
          <w:tcPr>
            <w:tcW w:w="4860" w:type="dxa"/>
            <w:vAlign w:val="bottom"/>
          </w:tcPr>
          <w:p>
            <w:pPr>
              <w:ind w:left="360"/>
              <w:spacing w:after="0"/>
              <w:rPr>
                <w:sz w:val="20"/>
                <w:szCs w:val="20"/>
                <w:color w:val="auto"/>
              </w:rPr>
            </w:pPr>
            <w:r>
              <w:rPr>
                <w:rFonts w:ascii="Arial" w:cs="Arial" w:eastAsia="Arial" w:hAnsi="Arial"/>
                <w:sz w:val="17"/>
                <w:szCs w:val="17"/>
                <w:color w:val="3A4967"/>
                <w:w w:val="99"/>
              </w:rPr>
              <w:t>Prepaid expenses, income tax receivable, and other current</w:t>
            </w:r>
          </w:p>
        </w:tc>
        <w:tc>
          <w:tcPr>
            <w:tcW w:w="840" w:type="dxa"/>
            <w:vAlign w:val="bottom"/>
          </w:tcPr>
          <w:p>
            <w:pPr>
              <w:spacing w:after="0"/>
              <w:rPr>
                <w:sz w:val="24"/>
                <w:szCs w:val="24"/>
                <w:color w:val="auto"/>
              </w:rPr>
            </w:pPr>
          </w:p>
        </w:tc>
        <w:tc>
          <w:tcPr>
            <w:tcW w:w="980" w:type="dxa"/>
            <w:vAlign w:val="bottom"/>
            <w:vMerge w:val="restart"/>
          </w:tcPr>
          <w:p>
            <w:pPr>
              <w:jc w:val="right"/>
              <w:ind w:right="15"/>
              <w:spacing w:after="0"/>
              <w:rPr>
                <w:sz w:val="20"/>
                <w:szCs w:val="20"/>
                <w:color w:val="auto"/>
              </w:rPr>
            </w:pPr>
            <w:r>
              <w:rPr>
                <w:rFonts w:ascii="Arial" w:cs="Arial" w:eastAsia="Arial" w:hAnsi="Arial"/>
                <w:sz w:val="17"/>
                <w:szCs w:val="17"/>
                <w:color w:val="3A4967"/>
              </w:rPr>
              <w:t>(4,660)</w:t>
            </w:r>
          </w:p>
        </w:tc>
        <w:tc>
          <w:tcPr>
            <w:tcW w:w="900" w:type="dxa"/>
            <w:vAlign w:val="bottom"/>
          </w:tcPr>
          <w:p>
            <w:pPr>
              <w:spacing w:after="0"/>
              <w:rPr>
                <w:sz w:val="24"/>
                <w:szCs w:val="24"/>
                <w:color w:val="auto"/>
              </w:rPr>
            </w:pPr>
          </w:p>
        </w:tc>
        <w:tc>
          <w:tcPr>
            <w:tcW w:w="900" w:type="dxa"/>
            <w:vAlign w:val="bottom"/>
            <w:vMerge w:val="restart"/>
          </w:tcPr>
          <w:p>
            <w:pPr>
              <w:jc w:val="right"/>
              <w:ind w:right="95"/>
              <w:spacing w:after="0"/>
              <w:rPr>
                <w:sz w:val="20"/>
                <w:szCs w:val="20"/>
                <w:color w:val="auto"/>
              </w:rPr>
            </w:pPr>
            <w:r>
              <w:rPr>
                <w:rFonts w:ascii="Arial" w:cs="Arial" w:eastAsia="Arial" w:hAnsi="Arial"/>
                <w:sz w:val="17"/>
                <w:szCs w:val="17"/>
                <w:color w:val="3A4967"/>
              </w:rPr>
              <w:t>13,979</w:t>
            </w:r>
          </w:p>
        </w:tc>
        <w:tc>
          <w:tcPr>
            <w:tcW w:w="800" w:type="dxa"/>
            <w:vAlign w:val="bottom"/>
          </w:tcPr>
          <w:p>
            <w:pPr>
              <w:spacing w:after="0"/>
              <w:rPr>
                <w:sz w:val="24"/>
                <w:szCs w:val="24"/>
                <w:color w:val="auto"/>
              </w:rPr>
            </w:pPr>
          </w:p>
        </w:tc>
        <w:tc>
          <w:tcPr>
            <w:tcW w:w="880" w:type="dxa"/>
            <w:vAlign w:val="bottom"/>
            <w:vMerge w:val="restart"/>
          </w:tcPr>
          <w:p>
            <w:pPr>
              <w:jc w:val="right"/>
              <w:ind w:right="15"/>
              <w:spacing w:after="0"/>
              <w:rPr>
                <w:sz w:val="20"/>
                <w:szCs w:val="20"/>
                <w:color w:val="auto"/>
              </w:rPr>
            </w:pPr>
            <w:r>
              <w:rPr>
                <w:rFonts w:ascii="Arial" w:cs="Arial" w:eastAsia="Arial" w:hAnsi="Arial"/>
                <w:sz w:val="17"/>
                <w:szCs w:val="17"/>
                <w:color w:val="3A4967"/>
              </w:rPr>
              <w:t>38,652</w:t>
            </w:r>
          </w:p>
        </w:tc>
        <w:tc>
          <w:tcPr>
            <w:tcW w:w="0" w:type="dxa"/>
            <w:vAlign w:val="bottom"/>
          </w:tcPr>
          <w:p>
            <w:pPr>
              <w:spacing w:after="0"/>
              <w:rPr>
                <w:sz w:val="1"/>
                <w:szCs w:val="1"/>
                <w:color w:val="auto"/>
              </w:rPr>
            </w:pPr>
          </w:p>
        </w:tc>
      </w:tr>
      <w:tr>
        <w:trPr>
          <w:trHeight w:val="106"/>
        </w:trPr>
        <w:tc>
          <w:tcPr>
            <w:tcW w:w="4860" w:type="dxa"/>
            <w:vAlign w:val="bottom"/>
            <w:vMerge w:val="restart"/>
          </w:tcPr>
          <w:p>
            <w:pPr>
              <w:ind w:left="360"/>
              <w:spacing w:after="0"/>
              <w:rPr>
                <w:sz w:val="20"/>
                <w:szCs w:val="20"/>
                <w:color w:val="auto"/>
              </w:rPr>
            </w:pPr>
            <w:r>
              <w:rPr>
                <w:rFonts w:ascii="Arial" w:cs="Arial" w:eastAsia="Arial" w:hAnsi="Arial"/>
                <w:sz w:val="17"/>
                <w:szCs w:val="17"/>
                <w:color w:val="3A4967"/>
              </w:rPr>
              <w:t>assets</w:t>
            </w:r>
          </w:p>
        </w:tc>
        <w:tc>
          <w:tcPr>
            <w:tcW w:w="8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Third-party production prepayments</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19,108</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27,758</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26,955</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Other assets</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6,156</w:t>
            </w:r>
          </w:p>
        </w:tc>
        <w:tc>
          <w:tcPr>
            <w:tcW w:w="90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3A4967"/>
              </w:rPr>
              <w:t>(5,849)</w:t>
            </w:r>
          </w:p>
        </w:tc>
        <w:tc>
          <w:tcPr>
            <w:tcW w:w="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(14,031)</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Accounts payable</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2,602</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2,763</w:t>
            </w:r>
          </w:p>
        </w:tc>
        <w:tc>
          <w:tcPr>
            <w:tcW w:w="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(2,219)</w:t>
            </w:r>
          </w:p>
        </w:tc>
        <w:tc>
          <w:tcPr>
            <w:tcW w:w="0" w:type="dxa"/>
            <w:vAlign w:val="bottom"/>
          </w:tcPr>
          <w:p>
            <w:pPr>
              <w:spacing w:after="0"/>
              <w:rPr>
                <w:sz w:val="1"/>
                <w:szCs w:val="1"/>
                <w:color w:val="auto"/>
              </w:rPr>
            </w:pPr>
          </w:p>
        </w:tc>
      </w:tr>
      <w:tr>
        <w:trPr>
          <w:trHeight w:val="277"/>
        </w:trPr>
        <w:tc>
          <w:tcPr>
            <w:tcW w:w="4860" w:type="dxa"/>
            <w:vAlign w:val="bottom"/>
          </w:tcPr>
          <w:p>
            <w:pPr>
              <w:ind w:left="360"/>
              <w:spacing w:after="0"/>
              <w:rPr>
                <w:sz w:val="20"/>
                <w:szCs w:val="20"/>
                <w:color w:val="auto"/>
              </w:rPr>
            </w:pPr>
            <w:r>
              <w:rPr>
                <w:rFonts w:ascii="Arial" w:cs="Arial" w:eastAsia="Arial" w:hAnsi="Arial"/>
                <w:sz w:val="17"/>
                <w:szCs w:val="17"/>
                <w:color w:val="3A4967"/>
              </w:rPr>
              <w:t>Accrued expenses, other current liabilities, and other</w:t>
            </w:r>
          </w:p>
        </w:tc>
        <w:tc>
          <w:tcPr>
            <w:tcW w:w="840" w:type="dxa"/>
            <w:vAlign w:val="bottom"/>
          </w:tcPr>
          <w:p>
            <w:pPr>
              <w:spacing w:after="0"/>
              <w:rPr>
                <w:sz w:val="24"/>
                <w:szCs w:val="24"/>
                <w:color w:val="auto"/>
              </w:rPr>
            </w:pPr>
          </w:p>
        </w:tc>
        <w:tc>
          <w:tcPr>
            <w:tcW w:w="980" w:type="dxa"/>
            <w:vAlign w:val="bottom"/>
            <w:vMerge w:val="restart"/>
          </w:tcPr>
          <w:p>
            <w:pPr>
              <w:jc w:val="right"/>
              <w:ind w:right="55"/>
              <w:spacing w:after="0"/>
              <w:rPr>
                <w:sz w:val="20"/>
                <w:szCs w:val="20"/>
                <w:color w:val="auto"/>
              </w:rPr>
            </w:pPr>
            <w:r>
              <w:rPr>
                <w:rFonts w:ascii="Arial" w:cs="Arial" w:eastAsia="Arial" w:hAnsi="Arial"/>
                <w:sz w:val="17"/>
                <w:szCs w:val="17"/>
                <w:color w:val="3A4967"/>
              </w:rPr>
              <w:t>12,320</w:t>
            </w:r>
          </w:p>
        </w:tc>
        <w:tc>
          <w:tcPr>
            <w:tcW w:w="900" w:type="dxa"/>
            <w:vAlign w:val="bottom"/>
          </w:tcPr>
          <w:p>
            <w:pPr>
              <w:spacing w:after="0"/>
              <w:rPr>
                <w:sz w:val="24"/>
                <w:szCs w:val="24"/>
                <w:color w:val="auto"/>
              </w:rPr>
            </w:pPr>
          </w:p>
        </w:tc>
        <w:tc>
          <w:tcPr>
            <w:tcW w:w="900" w:type="dxa"/>
            <w:vAlign w:val="bottom"/>
            <w:vMerge w:val="restart"/>
          </w:tcPr>
          <w:p>
            <w:pPr>
              <w:jc w:val="right"/>
              <w:ind w:right="95"/>
              <w:spacing w:after="0"/>
              <w:rPr>
                <w:sz w:val="20"/>
                <w:szCs w:val="20"/>
                <w:color w:val="auto"/>
              </w:rPr>
            </w:pPr>
            <w:r>
              <w:rPr>
                <w:rFonts w:ascii="Arial" w:cs="Arial" w:eastAsia="Arial" w:hAnsi="Arial"/>
                <w:sz w:val="17"/>
                <w:szCs w:val="17"/>
                <w:color w:val="3A4967"/>
              </w:rPr>
              <w:t>13,884</w:t>
            </w:r>
          </w:p>
        </w:tc>
        <w:tc>
          <w:tcPr>
            <w:tcW w:w="8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3A4967"/>
              </w:rPr>
              <w:t>(50,632)</w:t>
            </w:r>
          </w:p>
        </w:tc>
        <w:tc>
          <w:tcPr>
            <w:tcW w:w="0" w:type="dxa"/>
            <w:vAlign w:val="bottom"/>
          </w:tcPr>
          <w:p>
            <w:pPr>
              <w:spacing w:after="0"/>
              <w:rPr>
                <w:sz w:val="1"/>
                <w:szCs w:val="1"/>
                <w:color w:val="auto"/>
              </w:rPr>
            </w:pPr>
          </w:p>
        </w:tc>
      </w:tr>
      <w:tr>
        <w:trPr>
          <w:trHeight w:val="106"/>
        </w:trPr>
        <w:tc>
          <w:tcPr>
            <w:tcW w:w="4860" w:type="dxa"/>
            <w:vAlign w:val="bottom"/>
            <w:vMerge w:val="restart"/>
          </w:tcPr>
          <w:p>
            <w:pPr>
              <w:ind w:left="360"/>
              <w:spacing w:after="0"/>
              <w:rPr>
                <w:sz w:val="20"/>
                <w:szCs w:val="20"/>
                <w:color w:val="auto"/>
              </w:rPr>
            </w:pPr>
            <w:r>
              <w:rPr>
                <w:rFonts w:ascii="Arial" w:cs="Arial" w:eastAsia="Arial" w:hAnsi="Arial"/>
                <w:sz w:val="17"/>
                <w:szCs w:val="17"/>
                <w:color w:val="3A4967"/>
              </w:rPr>
              <w:t>liabilities</w:t>
            </w:r>
          </w:p>
        </w:tc>
        <w:tc>
          <w:tcPr>
            <w:tcW w:w="8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Operating lease liabilities</w:t>
            </w:r>
          </w:p>
        </w:tc>
        <w:tc>
          <w:tcPr>
            <w:tcW w:w="84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3A4967"/>
              </w:rPr>
              <w:t>(9,065)</w:t>
            </w:r>
          </w:p>
        </w:tc>
        <w:tc>
          <w:tcPr>
            <w:tcW w:w="90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3A4967"/>
              </w:rPr>
              <w:t>(8,759)</w:t>
            </w:r>
          </w:p>
        </w:tc>
        <w:tc>
          <w:tcPr>
            <w:tcW w:w="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(6,516)</w:t>
            </w:r>
          </w:p>
        </w:tc>
        <w:tc>
          <w:tcPr>
            <w:tcW w:w="0" w:type="dxa"/>
            <w:vAlign w:val="bottom"/>
          </w:tcPr>
          <w:p>
            <w:pPr>
              <w:spacing w:after="0"/>
              <w:rPr>
                <w:sz w:val="1"/>
                <w:szCs w:val="1"/>
                <w:color w:val="auto"/>
              </w:rPr>
            </w:pPr>
          </w:p>
        </w:tc>
      </w:tr>
      <w:tr>
        <w:trPr>
          <w:trHeight w:val="35"/>
        </w:trPr>
        <w:tc>
          <w:tcPr>
            <w:tcW w:w="48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80"/>
              <w:spacing w:after="0"/>
              <w:rPr>
                <w:sz w:val="20"/>
                <w:szCs w:val="20"/>
                <w:color w:val="auto"/>
              </w:rPr>
            </w:pPr>
            <w:r>
              <w:rPr>
                <w:rFonts w:ascii="Arial" w:cs="Arial" w:eastAsia="Arial" w:hAnsi="Arial"/>
                <w:sz w:val="16"/>
                <w:szCs w:val="16"/>
                <w:color w:val="3A4967"/>
              </w:rPr>
              <w:t>Net cash provided by operating activities</w:t>
            </w:r>
          </w:p>
        </w:tc>
        <w:tc>
          <w:tcPr>
            <w:tcW w:w="84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248,892</w:t>
            </w:r>
          </w:p>
        </w:tc>
        <w:tc>
          <w:tcPr>
            <w:tcW w:w="9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265,151</w:t>
            </w:r>
          </w:p>
        </w:tc>
        <w:tc>
          <w:tcPr>
            <w:tcW w:w="80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199,945</w:t>
            </w:r>
          </w:p>
        </w:tc>
        <w:tc>
          <w:tcPr>
            <w:tcW w:w="0" w:type="dxa"/>
            <w:vAlign w:val="bottom"/>
          </w:tcPr>
          <w:p>
            <w:pPr>
              <w:spacing w:after="0"/>
              <w:rPr>
                <w:sz w:val="1"/>
                <w:szCs w:val="1"/>
                <w:color w:val="auto"/>
              </w:rPr>
            </w:pPr>
          </w:p>
        </w:tc>
      </w:tr>
      <w:tr>
        <w:trPr>
          <w:trHeight w:val="31"/>
        </w:trPr>
        <w:tc>
          <w:tcPr>
            <w:tcW w:w="4860" w:type="dxa"/>
            <w:vAlign w:val="bottom"/>
            <w:tcBorders>
              <w:bottom w:val="single" w:sz="8" w:color="3A4967"/>
            </w:tcBorders>
          </w:tcPr>
          <w:p>
            <w:pPr>
              <w:spacing w:after="0"/>
              <w:rPr>
                <w:sz w:val="2"/>
                <w:szCs w:val="2"/>
                <w:color w:val="auto"/>
              </w:rPr>
            </w:pPr>
          </w:p>
        </w:tc>
        <w:tc>
          <w:tcPr>
            <w:tcW w:w="840" w:type="dxa"/>
            <w:vAlign w:val="bottom"/>
            <w:tcBorders>
              <w:bottom w:val="single" w:sz="8" w:color="3A4967"/>
            </w:tcBorders>
          </w:tcPr>
          <w:p>
            <w:pPr>
              <w:spacing w:after="0"/>
              <w:rPr>
                <w:sz w:val="2"/>
                <w:szCs w:val="2"/>
                <w:color w:val="auto"/>
              </w:rPr>
            </w:pPr>
          </w:p>
        </w:tc>
        <w:tc>
          <w:tcPr>
            <w:tcW w:w="980" w:type="dxa"/>
            <w:vAlign w:val="bottom"/>
            <w:tcBorders>
              <w:bottom w:val="single" w:sz="8" w:color="3A4967"/>
            </w:tcBorders>
          </w:tcPr>
          <w:p>
            <w:pPr>
              <w:spacing w:after="0"/>
              <w:rPr>
                <w:sz w:val="2"/>
                <w:szCs w:val="2"/>
                <w:color w:val="auto"/>
              </w:rPr>
            </w:pPr>
          </w:p>
        </w:tc>
        <w:tc>
          <w:tcPr>
            <w:tcW w:w="900" w:type="dxa"/>
            <w:vAlign w:val="bottom"/>
            <w:tcBorders>
              <w:bottom w:val="single" w:sz="8" w:color="3A4967"/>
            </w:tcBorders>
          </w:tcPr>
          <w:p>
            <w:pPr>
              <w:spacing w:after="0"/>
              <w:rPr>
                <w:sz w:val="2"/>
                <w:szCs w:val="2"/>
                <w:color w:val="auto"/>
              </w:rPr>
            </w:pPr>
          </w:p>
        </w:tc>
        <w:tc>
          <w:tcPr>
            <w:tcW w:w="900" w:type="dxa"/>
            <w:vAlign w:val="bottom"/>
            <w:tcBorders>
              <w:bottom w:val="single" w:sz="8" w:color="3A4967"/>
            </w:tcBorders>
          </w:tcPr>
          <w:p>
            <w:pPr>
              <w:spacing w:after="0"/>
              <w:rPr>
                <w:sz w:val="2"/>
                <w:szCs w:val="2"/>
                <w:color w:val="auto"/>
              </w:rPr>
            </w:pPr>
          </w:p>
        </w:tc>
        <w:tc>
          <w:tcPr>
            <w:tcW w:w="800" w:type="dxa"/>
            <w:vAlign w:val="bottom"/>
            <w:tcBorders>
              <w:bottom w:val="single" w:sz="8" w:color="3A4967"/>
            </w:tcBorders>
          </w:tcPr>
          <w:p>
            <w:pPr>
              <w:spacing w:after="0"/>
              <w:rPr>
                <w:sz w:val="2"/>
                <w:szCs w:val="2"/>
                <w:color w:val="auto"/>
              </w:rPr>
            </w:pPr>
          </w:p>
        </w:tc>
        <w:tc>
          <w:tcPr>
            <w:tcW w:w="880" w:type="dxa"/>
            <w:vAlign w:val="bottom"/>
            <w:tcBorders>
              <w:bottom w:val="single" w:sz="8" w:color="3A4967"/>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80"/>
              <w:spacing w:after="0"/>
              <w:rPr>
                <w:sz w:val="20"/>
                <w:szCs w:val="20"/>
                <w:color w:val="auto"/>
              </w:rPr>
            </w:pPr>
            <w:r>
              <w:rPr>
                <w:rFonts w:ascii="Arial" w:cs="Arial" w:eastAsia="Arial" w:hAnsi="Arial"/>
                <w:sz w:val="17"/>
                <w:szCs w:val="17"/>
                <w:b w:val="1"/>
                <w:bCs w:val="1"/>
                <w:color w:val="3A4967"/>
              </w:rPr>
              <w:t>Cash flows used in investing activities:</w:t>
            </w: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860" w:type="dxa"/>
            <w:vAlign w:val="bottom"/>
          </w:tcPr>
          <w:p>
            <w:pPr>
              <w:ind w:left="360"/>
              <w:spacing w:after="0"/>
              <w:rPr>
                <w:sz w:val="20"/>
                <w:szCs w:val="20"/>
                <w:color w:val="auto"/>
              </w:rPr>
            </w:pPr>
            <w:r>
              <w:rPr>
                <w:rFonts w:ascii="Arial" w:cs="Arial" w:eastAsia="Arial" w:hAnsi="Arial"/>
                <w:sz w:val="17"/>
                <w:szCs w:val="17"/>
                <w:color w:val="3A4967"/>
              </w:rPr>
              <w:t>Purchases of property, plant, and equipment</w:t>
            </w:r>
          </w:p>
        </w:tc>
        <w:tc>
          <w:tcPr>
            <w:tcW w:w="84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3A4967"/>
              </w:rPr>
              <w:t>(76,277)</w:t>
            </w:r>
          </w:p>
        </w:tc>
        <w:tc>
          <w:tcPr>
            <w:tcW w:w="90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3A4967"/>
              </w:rPr>
              <w:t>(64,087)</w:t>
            </w:r>
          </w:p>
        </w:tc>
        <w:tc>
          <w:tcPr>
            <w:tcW w:w="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(90,582)</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Proceeds from sale of property, plant, and equipment</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23</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1,709</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2,076</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Cash paid for note receivable</w:t>
            </w:r>
          </w:p>
        </w:tc>
        <w:tc>
          <w:tcPr>
            <w:tcW w:w="84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3A4967"/>
              </w:rPr>
              <w:t>(20,000)</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w:t>
            </w:r>
          </w:p>
        </w:tc>
        <w:tc>
          <w:tcPr>
            <w:tcW w:w="0" w:type="dxa"/>
            <w:vAlign w:val="bottom"/>
          </w:tcPr>
          <w:p>
            <w:pPr>
              <w:spacing w:after="0"/>
              <w:rPr>
                <w:sz w:val="1"/>
                <w:szCs w:val="1"/>
                <w:color w:val="auto"/>
              </w:rPr>
            </w:pPr>
          </w:p>
        </w:tc>
      </w:tr>
      <w:tr>
        <w:trPr>
          <w:trHeight w:val="35"/>
        </w:trPr>
        <w:tc>
          <w:tcPr>
            <w:tcW w:w="48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4860" w:type="dxa"/>
            <w:vAlign w:val="bottom"/>
          </w:tcPr>
          <w:p>
            <w:pPr>
              <w:ind w:left="80"/>
              <w:spacing w:after="0"/>
              <w:rPr>
                <w:sz w:val="20"/>
                <w:szCs w:val="20"/>
                <w:color w:val="auto"/>
              </w:rPr>
            </w:pPr>
            <w:r>
              <w:rPr>
                <w:rFonts w:ascii="Arial" w:cs="Arial" w:eastAsia="Arial" w:hAnsi="Arial"/>
                <w:sz w:val="17"/>
                <w:szCs w:val="17"/>
                <w:color w:val="3A4967"/>
              </w:rPr>
              <w:t>Net cash used in investing activities</w:t>
            </w:r>
          </w:p>
        </w:tc>
        <w:tc>
          <w:tcPr>
            <w:tcW w:w="84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3A4967"/>
              </w:rPr>
              <w:t>(96,254)</w:t>
            </w:r>
          </w:p>
        </w:tc>
        <w:tc>
          <w:tcPr>
            <w:tcW w:w="90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3A4967"/>
              </w:rPr>
              <w:t>(62,378)</w:t>
            </w:r>
          </w:p>
        </w:tc>
        <w:tc>
          <w:tcPr>
            <w:tcW w:w="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(88,506)</w:t>
            </w:r>
          </w:p>
        </w:tc>
        <w:tc>
          <w:tcPr>
            <w:tcW w:w="0" w:type="dxa"/>
            <w:vAlign w:val="bottom"/>
          </w:tcPr>
          <w:p>
            <w:pPr>
              <w:spacing w:after="0"/>
              <w:rPr>
                <w:sz w:val="1"/>
                <w:szCs w:val="1"/>
                <w:color w:val="auto"/>
              </w:rPr>
            </w:pPr>
          </w:p>
        </w:tc>
      </w:tr>
      <w:tr>
        <w:trPr>
          <w:trHeight w:val="35"/>
        </w:trPr>
        <w:tc>
          <w:tcPr>
            <w:tcW w:w="48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80"/>
              <w:spacing w:after="0"/>
              <w:rPr>
                <w:sz w:val="20"/>
                <w:szCs w:val="20"/>
                <w:color w:val="auto"/>
              </w:rPr>
            </w:pPr>
            <w:r>
              <w:rPr>
                <w:rFonts w:ascii="Arial" w:cs="Arial" w:eastAsia="Arial" w:hAnsi="Arial"/>
                <w:sz w:val="17"/>
                <w:szCs w:val="17"/>
                <w:b w:val="1"/>
                <w:bCs w:val="1"/>
                <w:color w:val="3A4967"/>
              </w:rPr>
              <w:t>Cash flows (used in) provided by financing activities:</w:t>
            </w: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860" w:type="dxa"/>
            <w:vAlign w:val="bottom"/>
          </w:tcPr>
          <w:p>
            <w:pPr>
              <w:ind w:left="220"/>
              <w:spacing w:after="0"/>
              <w:rPr>
                <w:sz w:val="20"/>
                <w:szCs w:val="20"/>
                <w:color w:val="auto"/>
              </w:rPr>
            </w:pPr>
            <w:r>
              <w:rPr>
                <w:rFonts w:ascii="Arial" w:cs="Arial" w:eastAsia="Arial" w:hAnsi="Arial"/>
                <w:sz w:val="17"/>
                <w:szCs w:val="17"/>
                <w:color w:val="3A4967"/>
              </w:rPr>
              <w:t>Repurchases and retirement of Class A common stock</w:t>
            </w:r>
          </w:p>
        </w:tc>
        <w:tc>
          <w:tcPr>
            <w:tcW w:w="84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3A4967"/>
              </w:rPr>
              <w:t>(238,614)</w:t>
            </w:r>
          </w:p>
        </w:tc>
        <w:tc>
          <w:tcPr>
            <w:tcW w:w="90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3A4967"/>
              </w:rPr>
              <w:t>(92,877)</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w:t>
            </w:r>
          </w:p>
        </w:tc>
        <w:tc>
          <w:tcPr>
            <w:tcW w:w="0" w:type="dxa"/>
            <w:vAlign w:val="bottom"/>
          </w:tcPr>
          <w:p>
            <w:pPr>
              <w:spacing w:after="0"/>
              <w:rPr>
                <w:sz w:val="1"/>
                <w:szCs w:val="1"/>
                <w:color w:val="auto"/>
              </w:rPr>
            </w:pPr>
          </w:p>
        </w:tc>
      </w:tr>
      <w:tr>
        <w:trPr>
          <w:trHeight w:val="277"/>
        </w:trPr>
        <w:tc>
          <w:tcPr>
            <w:tcW w:w="4860" w:type="dxa"/>
            <w:vAlign w:val="bottom"/>
          </w:tcPr>
          <w:p>
            <w:pPr>
              <w:ind w:left="220"/>
              <w:spacing w:after="0"/>
              <w:rPr>
                <w:sz w:val="20"/>
                <w:szCs w:val="20"/>
                <w:color w:val="auto"/>
              </w:rPr>
            </w:pPr>
            <w:r>
              <w:rPr>
                <w:rFonts w:ascii="Arial" w:cs="Arial" w:eastAsia="Arial" w:hAnsi="Arial"/>
                <w:sz w:val="17"/>
                <w:szCs w:val="17"/>
                <w:color w:val="3A4967"/>
              </w:rPr>
              <w:t>Proceeds from exercise of stock options and sale of</w:t>
            </w:r>
          </w:p>
        </w:tc>
        <w:tc>
          <w:tcPr>
            <w:tcW w:w="840" w:type="dxa"/>
            <w:vAlign w:val="bottom"/>
          </w:tcPr>
          <w:p>
            <w:pPr>
              <w:spacing w:after="0"/>
              <w:rPr>
                <w:sz w:val="24"/>
                <w:szCs w:val="24"/>
                <w:color w:val="auto"/>
              </w:rPr>
            </w:pPr>
          </w:p>
        </w:tc>
        <w:tc>
          <w:tcPr>
            <w:tcW w:w="980" w:type="dxa"/>
            <w:vAlign w:val="bottom"/>
            <w:vMerge w:val="restart"/>
          </w:tcPr>
          <w:p>
            <w:pPr>
              <w:jc w:val="right"/>
              <w:ind w:right="55"/>
              <w:spacing w:after="0"/>
              <w:rPr>
                <w:sz w:val="20"/>
                <w:szCs w:val="20"/>
                <w:color w:val="auto"/>
              </w:rPr>
            </w:pPr>
            <w:r>
              <w:rPr>
                <w:rFonts w:ascii="Arial" w:cs="Arial" w:eastAsia="Arial" w:hAnsi="Arial"/>
                <w:sz w:val="17"/>
                <w:szCs w:val="17"/>
                <w:color w:val="3A4967"/>
              </w:rPr>
              <w:t>3,597</w:t>
            </w:r>
          </w:p>
        </w:tc>
        <w:tc>
          <w:tcPr>
            <w:tcW w:w="900" w:type="dxa"/>
            <w:vAlign w:val="bottom"/>
          </w:tcPr>
          <w:p>
            <w:pPr>
              <w:spacing w:after="0"/>
              <w:rPr>
                <w:sz w:val="24"/>
                <w:szCs w:val="24"/>
                <w:color w:val="auto"/>
              </w:rPr>
            </w:pPr>
          </w:p>
        </w:tc>
        <w:tc>
          <w:tcPr>
            <w:tcW w:w="900" w:type="dxa"/>
            <w:vAlign w:val="bottom"/>
            <w:vMerge w:val="restart"/>
          </w:tcPr>
          <w:p>
            <w:pPr>
              <w:jc w:val="right"/>
              <w:ind w:right="95"/>
              <w:spacing w:after="0"/>
              <w:rPr>
                <w:sz w:val="20"/>
                <w:szCs w:val="20"/>
                <w:color w:val="auto"/>
              </w:rPr>
            </w:pPr>
            <w:r>
              <w:rPr>
                <w:rFonts w:ascii="Arial" w:cs="Arial" w:eastAsia="Arial" w:hAnsi="Arial"/>
                <w:sz w:val="17"/>
                <w:szCs w:val="17"/>
                <w:color w:val="3A4967"/>
              </w:rPr>
              <w:t>11,723</w:t>
            </w:r>
          </w:p>
        </w:tc>
        <w:tc>
          <w:tcPr>
            <w:tcW w:w="800" w:type="dxa"/>
            <w:vAlign w:val="bottom"/>
          </w:tcPr>
          <w:p>
            <w:pPr>
              <w:spacing w:after="0"/>
              <w:rPr>
                <w:sz w:val="24"/>
                <w:szCs w:val="24"/>
                <w:color w:val="auto"/>
              </w:rPr>
            </w:pPr>
          </w:p>
        </w:tc>
        <w:tc>
          <w:tcPr>
            <w:tcW w:w="880" w:type="dxa"/>
            <w:vAlign w:val="bottom"/>
            <w:vMerge w:val="restart"/>
          </w:tcPr>
          <w:p>
            <w:pPr>
              <w:jc w:val="right"/>
              <w:ind w:right="15"/>
              <w:spacing w:after="0"/>
              <w:rPr>
                <w:sz w:val="20"/>
                <w:szCs w:val="20"/>
                <w:color w:val="auto"/>
              </w:rPr>
            </w:pPr>
            <w:r>
              <w:rPr>
                <w:rFonts w:ascii="Arial" w:cs="Arial" w:eastAsia="Arial" w:hAnsi="Arial"/>
                <w:sz w:val="17"/>
                <w:szCs w:val="17"/>
                <w:color w:val="3A4967"/>
              </w:rPr>
              <w:t>7,946</w:t>
            </w:r>
          </w:p>
        </w:tc>
        <w:tc>
          <w:tcPr>
            <w:tcW w:w="0" w:type="dxa"/>
            <w:vAlign w:val="bottom"/>
          </w:tcPr>
          <w:p>
            <w:pPr>
              <w:spacing w:after="0"/>
              <w:rPr>
                <w:sz w:val="1"/>
                <w:szCs w:val="1"/>
                <w:color w:val="auto"/>
              </w:rPr>
            </w:pPr>
          </w:p>
        </w:tc>
      </w:tr>
      <w:tr>
        <w:trPr>
          <w:trHeight w:val="106"/>
        </w:trPr>
        <w:tc>
          <w:tcPr>
            <w:tcW w:w="4860" w:type="dxa"/>
            <w:vAlign w:val="bottom"/>
            <w:vMerge w:val="restart"/>
          </w:tcPr>
          <w:p>
            <w:pPr>
              <w:ind w:left="220"/>
              <w:spacing w:after="0"/>
              <w:rPr>
                <w:sz w:val="20"/>
                <w:szCs w:val="20"/>
                <w:color w:val="auto"/>
              </w:rPr>
            </w:pPr>
            <w:r>
              <w:rPr>
                <w:rFonts w:ascii="Arial" w:cs="Arial" w:eastAsia="Arial" w:hAnsi="Arial"/>
                <w:sz w:val="17"/>
                <w:szCs w:val="17"/>
                <w:color w:val="3A4967"/>
              </w:rPr>
              <w:t>investment shares</w:t>
            </w:r>
          </w:p>
        </w:tc>
        <w:tc>
          <w:tcPr>
            <w:tcW w:w="8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860" w:type="dxa"/>
            <w:vAlign w:val="bottom"/>
          </w:tcPr>
          <w:p>
            <w:pPr>
              <w:ind w:left="220"/>
              <w:spacing w:after="0"/>
              <w:rPr>
                <w:sz w:val="20"/>
                <w:szCs w:val="20"/>
                <w:color w:val="auto"/>
              </w:rPr>
            </w:pPr>
            <w:r>
              <w:rPr>
                <w:rFonts w:ascii="Arial" w:cs="Arial" w:eastAsia="Arial" w:hAnsi="Arial"/>
                <w:sz w:val="17"/>
                <w:szCs w:val="17"/>
                <w:color w:val="3A4967"/>
              </w:rPr>
              <w:t>Net cash paid on finance leases and notes payable</w:t>
            </w:r>
          </w:p>
        </w:tc>
        <w:tc>
          <w:tcPr>
            <w:tcW w:w="84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3A4967"/>
              </w:rPr>
              <w:t>(1,886)</w:t>
            </w:r>
          </w:p>
        </w:tc>
        <w:tc>
          <w:tcPr>
            <w:tcW w:w="900" w:type="dxa"/>
            <w:vAlign w:val="bottom"/>
          </w:tcPr>
          <w:p>
            <w:pPr>
              <w:spacing w:after="0"/>
              <w:rPr>
                <w:sz w:val="24"/>
                <w:szCs w:val="24"/>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3A4967"/>
              </w:rPr>
              <w:t>(1,575)</w:t>
            </w:r>
          </w:p>
        </w:tc>
        <w:tc>
          <w:tcPr>
            <w:tcW w:w="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(1,672)</w:t>
            </w:r>
          </w:p>
        </w:tc>
        <w:tc>
          <w:tcPr>
            <w:tcW w:w="0" w:type="dxa"/>
            <w:vAlign w:val="bottom"/>
          </w:tcPr>
          <w:p>
            <w:pPr>
              <w:spacing w:after="0"/>
              <w:rPr>
                <w:sz w:val="1"/>
                <w:szCs w:val="1"/>
                <w:color w:val="auto"/>
              </w:rPr>
            </w:pPr>
          </w:p>
        </w:tc>
      </w:tr>
      <w:tr>
        <w:trPr>
          <w:trHeight w:val="277"/>
        </w:trPr>
        <w:tc>
          <w:tcPr>
            <w:tcW w:w="4860" w:type="dxa"/>
            <w:vAlign w:val="bottom"/>
          </w:tcPr>
          <w:p>
            <w:pPr>
              <w:ind w:left="220"/>
              <w:spacing w:after="0"/>
              <w:rPr>
                <w:sz w:val="20"/>
                <w:szCs w:val="20"/>
                <w:color w:val="auto"/>
              </w:rPr>
            </w:pPr>
            <w:r>
              <w:rPr>
                <w:rFonts w:ascii="Arial" w:cs="Arial" w:eastAsia="Arial" w:hAnsi="Arial"/>
                <w:sz w:val="17"/>
                <w:szCs w:val="17"/>
                <w:color w:val="3A4967"/>
              </w:rPr>
              <w:t>Payment of tax withholding on stock-based payment awards</w:t>
            </w:r>
          </w:p>
        </w:tc>
        <w:tc>
          <w:tcPr>
            <w:tcW w:w="840" w:type="dxa"/>
            <w:vAlign w:val="bottom"/>
          </w:tcPr>
          <w:p>
            <w:pPr>
              <w:spacing w:after="0"/>
              <w:rPr>
                <w:sz w:val="24"/>
                <w:szCs w:val="24"/>
                <w:color w:val="auto"/>
              </w:rPr>
            </w:pPr>
          </w:p>
        </w:tc>
        <w:tc>
          <w:tcPr>
            <w:tcW w:w="980" w:type="dxa"/>
            <w:vAlign w:val="bottom"/>
            <w:vMerge w:val="restart"/>
          </w:tcPr>
          <w:p>
            <w:pPr>
              <w:jc w:val="right"/>
              <w:ind w:right="15"/>
              <w:spacing w:after="0"/>
              <w:rPr>
                <w:sz w:val="20"/>
                <w:szCs w:val="20"/>
                <w:color w:val="auto"/>
              </w:rPr>
            </w:pPr>
            <w:r>
              <w:rPr>
                <w:rFonts w:ascii="Arial" w:cs="Arial" w:eastAsia="Arial" w:hAnsi="Arial"/>
                <w:sz w:val="17"/>
                <w:szCs w:val="17"/>
                <w:color w:val="3A4967"/>
              </w:rPr>
              <w:t>(2,407)</w:t>
            </w:r>
          </w:p>
        </w:tc>
        <w:tc>
          <w:tcPr>
            <w:tcW w:w="900" w:type="dxa"/>
            <w:vAlign w:val="bottom"/>
          </w:tcPr>
          <w:p>
            <w:pPr>
              <w:spacing w:after="0"/>
              <w:rPr>
                <w:sz w:val="24"/>
                <w:szCs w:val="24"/>
                <w:color w:val="auto"/>
              </w:rPr>
            </w:pPr>
          </w:p>
        </w:tc>
        <w:tc>
          <w:tcPr>
            <w:tcW w:w="900" w:type="dxa"/>
            <w:vAlign w:val="bottom"/>
            <w:vMerge w:val="restart"/>
          </w:tcPr>
          <w:p>
            <w:pPr>
              <w:jc w:val="right"/>
              <w:ind w:right="55"/>
              <w:spacing w:after="0"/>
              <w:rPr>
                <w:sz w:val="20"/>
                <w:szCs w:val="20"/>
                <w:color w:val="auto"/>
              </w:rPr>
            </w:pPr>
            <w:r>
              <w:rPr>
                <w:rFonts w:ascii="Arial" w:cs="Arial" w:eastAsia="Arial" w:hAnsi="Arial"/>
                <w:sz w:val="17"/>
                <w:szCs w:val="17"/>
                <w:color w:val="3A4967"/>
              </w:rPr>
              <w:t>(2,113)</w:t>
            </w:r>
          </w:p>
        </w:tc>
        <w:tc>
          <w:tcPr>
            <w:tcW w:w="8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3A4967"/>
              </w:rPr>
              <w:t>(3,474)</w:t>
            </w:r>
          </w:p>
        </w:tc>
        <w:tc>
          <w:tcPr>
            <w:tcW w:w="0" w:type="dxa"/>
            <w:vAlign w:val="bottom"/>
          </w:tcPr>
          <w:p>
            <w:pPr>
              <w:spacing w:after="0"/>
              <w:rPr>
                <w:sz w:val="1"/>
                <w:szCs w:val="1"/>
                <w:color w:val="auto"/>
              </w:rPr>
            </w:pPr>
          </w:p>
        </w:tc>
      </w:tr>
      <w:tr>
        <w:trPr>
          <w:trHeight w:val="106"/>
        </w:trPr>
        <w:tc>
          <w:tcPr>
            <w:tcW w:w="4860" w:type="dxa"/>
            <w:vAlign w:val="bottom"/>
            <w:vMerge w:val="restart"/>
          </w:tcPr>
          <w:p>
            <w:pPr>
              <w:ind w:left="220"/>
              <w:spacing w:after="0"/>
              <w:rPr>
                <w:sz w:val="20"/>
                <w:szCs w:val="20"/>
                <w:color w:val="auto"/>
              </w:rPr>
            </w:pPr>
            <w:r>
              <w:rPr>
                <w:rFonts w:ascii="Arial" w:cs="Arial" w:eastAsia="Arial" w:hAnsi="Arial"/>
                <w:sz w:val="17"/>
                <w:szCs w:val="17"/>
                <w:color w:val="3A4967"/>
              </w:rPr>
              <w:t>and investment shares</w:t>
            </w:r>
          </w:p>
        </w:tc>
        <w:tc>
          <w:tcPr>
            <w:tcW w:w="8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4860" w:type="dxa"/>
            <w:vAlign w:val="bottom"/>
          </w:tcPr>
          <w:p>
            <w:pPr>
              <w:ind w:left="220"/>
              <w:spacing w:after="0"/>
              <w:rPr>
                <w:sz w:val="20"/>
                <w:szCs w:val="20"/>
                <w:color w:val="auto"/>
              </w:rPr>
            </w:pPr>
            <w:r>
              <w:rPr>
                <w:rFonts w:ascii="Arial" w:cs="Arial" w:eastAsia="Arial" w:hAnsi="Arial"/>
                <w:sz w:val="17"/>
                <w:szCs w:val="17"/>
                <w:color w:val="3A4967"/>
              </w:rPr>
              <w:t>Line of credit borrowings</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30,000</w:t>
            </w:r>
          </w:p>
        </w:tc>
        <w:tc>
          <w:tcPr>
            <w:tcW w:w="0" w:type="dxa"/>
            <w:vAlign w:val="bottom"/>
          </w:tcPr>
          <w:p>
            <w:pPr>
              <w:spacing w:after="0"/>
              <w:rPr>
                <w:sz w:val="1"/>
                <w:szCs w:val="1"/>
                <w:color w:val="auto"/>
              </w:rPr>
            </w:pPr>
          </w:p>
        </w:tc>
      </w:tr>
      <w:tr>
        <w:trPr>
          <w:trHeight w:val="281"/>
        </w:trPr>
        <w:tc>
          <w:tcPr>
            <w:tcW w:w="4860" w:type="dxa"/>
            <w:vAlign w:val="bottom"/>
          </w:tcPr>
          <w:p>
            <w:pPr>
              <w:ind w:left="220"/>
              <w:spacing w:after="0"/>
              <w:rPr>
                <w:sz w:val="20"/>
                <w:szCs w:val="20"/>
                <w:color w:val="auto"/>
              </w:rPr>
            </w:pPr>
            <w:r>
              <w:rPr>
                <w:rFonts w:ascii="Arial" w:cs="Arial" w:eastAsia="Arial" w:hAnsi="Arial"/>
                <w:sz w:val="17"/>
                <w:szCs w:val="17"/>
                <w:color w:val="3A4967"/>
              </w:rPr>
              <w:t>Line of credit repayments</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w:t>
            </w:r>
          </w:p>
        </w:tc>
        <w:tc>
          <w:tcPr>
            <w:tcW w:w="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(30,000)</w:t>
            </w:r>
          </w:p>
        </w:tc>
        <w:tc>
          <w:tcPr>
            <w:tcW w:w="0" w:type="dxa"/>
            <w:vAlign w:val="bottom"/>
          </w:tcPr>
          <w:p>
            <w:pPr>
              <w:spacing w:after="0"/>
              <w:rPr>
                <w:sz w:val="1"/>
                <w:szCs w:val="1"/>
                <w:color w:val="auto"/>
              </w:rPr>
            </w:pPr>
          </w:p>
        </w:tc>
      </w:tr>
      <w:tr>
        <w:trPr>
          <w:trHeight w:val="35"/>
        </w:trPr>
        <w:tc>
          <w:tcPr>
            <w:tcW w:w="48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4860" w:type="dxa"/>
            <w:vAlign w:val="bottom"/>
          </w:tcPr>
          <w:p>
            <w:pPr>
              <w:ind w:left="80"/>
              <w:spacing w:after="0"/>
              <w:rPr>
                <w:sz w:val="20"/>
                <w:szCs w:val="20"/>
                <w:color w:val="auto"/>
              </w:rPr>
            </w:pPr>
            <w:r>
              <w:rPr>
                <w:rFonts w:ascii="Arial" w:cs="Arial" w:eastAsia="Arial" w:hAnsi="Arial"/>
                <w:sz w:val="17"/>
                <w:szCs w:val="17"/>
                <w:color w:val="3A4967"/>
              </w:rPr>
              <w:t>Net cash (used in) provided by financing activities</w:t>
            </w:r>
          </w:p>
        </w:tc>
        <w:tc>
          <w:tcPr>
            <w:tcW w:w="84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3A4967"/>
              </w:rPr>
              <w:t>(239,310)</w:t>
            </w:r>
          </w:p>
        </w:tc>
        <w:tc>
          <w:tcPr>
            <w:tcW w:w="90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3A4967"/>
              </w:rPr>
              <w:t>(84,842)</w:t>
            </w:r>
          </w:p>
        </w:tc>
        <w:tc>
          <w:tcPr>
            <w:tcW w:w="80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2,800</w:t>
            </w:r>
          </w:p>
        </w:tc>
        <w:tc>
          <w:tcPr>
            <w:tcW w:w="0" w:type="dxa"/>
            <w:vAlign w:val="bottom"/>
          </w:tcPr>
          <w:p>
            <w:pPr>
              <w:spacing w:after="0"/>
              <w:rPr>
                <w:sz w:val="1"/>
                <w:szCs w:val="1"/>
                <w:color w:val="auto"/>
              </w:rPr>
            </w:pPr>
          </w:p>
        </w:tc>
      </w:tr>
      <w:tr>
        <w:trPr>
          <w:trHeight w:val="35"/>
        </w:trPr>
        <w:tc>
          <w:tcPr>
            <w:tcW w:w="48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4860" w:type="dxa"/>
            <w:vAlign w:val="bottom"/>
          </w:tcPr>
          <w:p>
            <w:pPr>
              <w:ind w:left="80"/>
              <w:spacing w:after="0"/>
              <w:rPr>
                <w:sz w:val="20"/>
                <w:szCs w:val="20"/>
                <w:color w:val="auto"/>
              </w:rPr>
            </w:pPr>
            <w:r>
              <w:rPr>
                <w:rFonts w:ascii="Arial" w:cs="Arial" w:eastAsia="Arial" w:hAnsi="Arial"/>
                <w:sz w:val="17"/>
                <w:szCs w:val="17"/>
                <w:color w:val="3A4967"/>
              </w:rPr>
              <w:t>Change in cash and cash equivalents</w:t>
            </w:r>
          </w:p>
        </w:tc>
        <w:tc>
          <w:tcPr>
            <w:tcW w:w="84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(86,672)</w:t>
            </w:r>
          </w:p>
        </w:tc>
        <w:tc>
          <w:tcPr>
            <w:tcW w:w="9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117,931</w:t>
            </w:r>
          </w:p>
        </w:tc>
        <w:tc>
          <w:tcPr>
            <w:tcW w:w="80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114,239</w:t>
            </w:r>
          </w:p>
        </w:tc>
        <w:tc>
          <w:tcPr>
            <w:tcW w:w="0" w:type="dxa"/>
            <w:vAlign w:val="bottom"/>
          </w:tcPr>
          <w:p>
            <w:pPr>
              <w:spacing w:after="0"/>
              <w:rPr>
                <w:sz w:val="1"/>
                <w:szCs w:val="1"/>
                <w:color w:val="auto"/>
              </w:rPr>
            </w:pPr>
          </w:p>
        </w:tc>
      </w:tr>
      <w:tr>
        <w:trPr>
          <w:trHeight w:val="281"/>
        </w:trPr>
        <w:tc>
          <w:tcPr>
            <w:tcW w:w="4860" w:type="dxa"/>
            <w:vAlign w:val="bottom"/>
          </w:tcPr>
          <w:p>
            <w:pPr>
              <w:ind w:left="80"/>
              <w:spacing w:after="0"/>
              <w:rPr>
                <w:sz w:val="20"/>
                <w:szCs w:val="20"/>
                <w:color w:val="auto"/>
              </w:rPr>
            </w:pPr>
            <w:r>
              <w:rPr>
                <w:rFonts w:ascii="Arial" w:cs="Arial" w:eastAsia="Arial" w:hAnsi="Arial"/>
                <w:sz w:val="17"/>
                <w:szCs w:val="17"/>
                <w:color w:val="3A4967"/>
              </w:rPr>
              <w:t>Cash and cash equivalents at beginning of period</w:t>
            </w:r>
          </w:p>
        </w:tc>
        <w:tc>
          <w:tcPr>
            <w:tcW w:w="84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298,491</w:t>
            </w:r>
          </w:p>
        </w:tc>
        <w:tc>
          <w:tcPr>
            <w:tcW w:w="9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180,560</w:t>
            </w:r>
          </w:p>
        </w:tc>
        <w:tc>
          <w:tcPr>
            <w:tcW w:w="800" w:type="dxa"/>
            <w:vAlign w:val="bottom"/>
          </w:tcPr>
          <w:p>
            <w:pPr>
              <w:spacing w:after="0"/>
              <w:rPr>
                <w:sz w:val="24"/>
                <w:szCs w:val="24"/>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66,321</w:t>
            </w:r>
          </w:p>
        </w:tc>
        <w:tc>
          <w:tcPr>
            <w:tcW w:w="0" w:type="dxa"/>
            <w:vAlign w:val="bottom"/>
          </w:tcPr>
          <w:p>
            <w:pPr>
              <w:spacing w:after="0"/>
              <w:rPr>
                <w:sz w:val="1"/>
                <w:szCs w:val="1"/>
                <w:color w:val="auto"/>
              </w:rPr>
            </w:pPr>
          </w:p>
        </w:tc>
      </w:tr>
      <w:tr>
        <w:trPr>
          <w:trHeight w:val="35"/>
        </w:trPr>
        <w:tc>
          <w:tcPr>
            <w:tcW w:w="48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4860" w:type="dxa"/>
            <w:vAlign w:val="bottom"/>
          </w:tcPr>
          <w:p>
            <w:pPr>
              <w:ind w:left="80"/>
              <w:spacing w:after="0"/>
              <w:rPr>
                <w:sz w:val="20"/>
                <w:szCs w:val="20"/>
                <w:color w:val="auto"/>
              </w:rPr>
            </w:pPr>
            <w:r>
              <w:rPr>
                <w:rFonts w:ascii="Arial" w:cs="Arial" w:eastAsia="Arial" w:hAnsi="Arial"/>
                <w:sz w:val="17"/>
                <w:szCs w:val="17"/>
                <w:color w:val="3A4967"/>
              </w:rPr>
              <w:t>Cash and cash equivalents at end of period</w:t>
            </w:r>
          </w:p>
        </w:tc>
        <w:tc>
          <w:tcPr>
            <w:tcW w:w="840" w:type="dxa"/>
            <w:vAlign w:val="bottom"/>
          </w:tcPr>
          <w:p>
            <w:pPr>
              <w:jc w:val="right"/>
              <w:ind w:right="95"/>
              <w:spacing w:after="0"/>
              <w:rPr>
                <w:sz w:val="20"/>
                <w:szCs w:val="20"/>
                <w:color w:val="auto"/>
              </w:rPr>
            </w:pPr>
            <w:r>
              <w:rPr>
                <w:rFonts w:ascii="Arial" w:cs="Arial" w:eastAsia="Arial" w:hAnsi="Arial"/>
                <w:sz w:val="17"/>
                <w:szCs w:val="17"/>
                <w:color w:val="3A4967"/>
              </w:rPr>
              <w:t>$</w:t>
            </w:r>
          </w:p>
        </w:tc>
        <w:tc>
          <w:tcPr>
            <w:tcW w:w="980" w:type="dxa"/>
            <w:vAlign w:val="bottom"/>
          </w:tcPr>
          <w:p>
            <w:pPr>
              <w:jc w:val="right"/>
              <w:ind w:right="55"/>
              <w:spacing w:after="0"/>
              <w:rPr>
                <w:sz w:val="20"/>
                <w:szCs w:val="20"/>
                <w:color w:val="auto"/>
              </w:rPr>
            </w:pPr>
            <w:r>
              <w:rPr>
                <w:rFonts w:ascii="Arial" w:cs="Arial" w:eastAsia="Arial" w:hAnsi="Arial"/>
                <w:sz w:val="17"/>
                <w:szCs w:val="17"/>
                <w:color w:val="3A4967"/>
              </w:rPr>
              <w:t>211,819</w:t>
            </w:r>
          </w:p>
        </w:tc>
        <w:tc>
          <w:tcPr>
            <w:tcW w:w="900" w:type="dxa"/>
            <w:vAlign w:val="bottom"/>
          </w:tcPr>
          <w:p>
            <w:pPr>
              <w:jc w:val="right"/>
              <w:ind w:right="36"/>
              <w:spacing w:after="0"/>
              <w:rPr>
                <w:sz w:val="20"/>
                <w:szCs w:val="20"/>
                <w:color w:val="auto"/>
              </w:rPr>
            </w:pPr>
            <w:r>
              <w:rPr>
                <w:rFonts w:ascii="Arial" w:cs="Arial" w:eastAsia="Arial" w:hAnsi="Arial"/>
                <w:sz w:val="17"/>
                <w:szCs w:val="17"/>
                <w:color w:val="3A4967"/>
              </w:rPr>
              <w:t>$</w:t>
            </w:r>
          </w:p>
        </w:tc>
        <w:tc>
          <w:tcPr>
            <w:tcW w:w="900" w:type="dxa"/>
            <w:vAlign w:val="bottom"/>
          </w:tcPr>
          <w:p>
            <w:pPr>
              <w:jc w:val="right"/>
              <w:ind w:right="95"/>
              <w:spacing w:after="0"/>
              <w:rPr>
                <w:sz w:val="20"/>
                <w:szCs w:val="20"/>
                <w:color w:val="auto"/>
              </w:rPr>
            </w:pPr>
            <w:r>
              <w:rPr>
                <w:rFonts w:ascii="Arial" w:cs="Arial" w:eastAsia="Arial" w:hAnsi="Arial"/>
                <w:sz w:val="17"/>
                <w:szCs w:val="17"/>
                <w:color w:val="3A4967"/>
              </w:rPr>
              <w:t>298,491</w:t>
            </w:r>
          </w:p>
        </w:tc>
        <w:tc>
          <w:tcPr>
            <w:tcW w:w="800" w:type="dxa"/>
            <w:vAlign w:val="bottom"/>
          </w:tcPr>
          <w:p>
            <w:pPr>
              <w:jc w:val="right"/>
              <w:ind w:right="97"/>
              <w:spacing w:after="0"/>
              <w:rPr>
                <w:sz w:val="20"/>
                <w:szCs w:val="20"/>
                <w:color w:val="auto"/>
              </w:rPr>
            </w:pPr>
            <w:r>
              <w:rPr>
                <w:rFonts w:ascii="Arial" w:cs="Arial" w:eastAsia="Arial" w:hAnsi="Arial"/>
                <w:sz w:val="17"/>
                <w:szCs w:val="17"/>
                <w:color w:val="3A4967"/>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3A4967"/>
              </w:rPr>
              <w:t>180,560</w:t>
            </w:r>
          </w:p>
        </w:tc>
        <w:tc>
          <w:tcPr>
            <w:tcW w:w="0" w:type="dxa"/>
            <w:vAlign w:val="bottom"/>
          </w:tcPr>
          <w:p>
            <w:pPr>
              <w:spacing w:after="0"/>
              <w:rPr>
                <w:sz w:val="1"/>
                <w:szCs w:val="1"/>
                <w:color w:val="auto"/>
              </w:rPr>
            </w:pPr>
          </w:p>
        </w:tc>
      </w:tr>
      <w:tr>
        <w:trPr>
          <w:trHeight w:val="35"/>
        </w:trPr>
        <w:tc>
          <w:tcPr>
            <w:tcW w:w="48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539115</wp:posOffset>
            </wp:positionV>
            <wp:extent cx="2584450" cy="1917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38</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48" w:name="page49"/>
    <w:bookmarkEnd w:id="48"/>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0" w:type="dxa"/>
            <w:vAlign w:val="bottom"/>
            <w:gridSpan w:val="2"/>
          </w:tcPr>
          <w:p>
            <w:pPr>
              <w:jc w:val="right"/>
              <w:ind w:right="495"/>
              <w:spacing w:after="0"/>
              <w:rPr>
                <w:sz w:val="20"/>
                <w:szCs w:val="20"/>
                <w:color w:val="auto"/>
              </w:rPr>
            </w:pPr>
            <w:r>
              <w:rPr>
                <w:rFonts w:ascii="Arial" w:cs="Arial" w:eastAsia="Arial" w:hAnsi="Arial"/>
                <w:sz w:val="16"/>
                <w:szCs w:val="16"/>
                <w:b w:val="1"/>
                <w:bCs w:val="1"/>
                <w:color w:val="3A4967"/>
              </w:rPr>
              <w:t>Year Ended</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860" w:type="dxa"/>
            <w:vAlign w:val="bottom"/>
          </w:tcPr>
          <w:p>
            <w:pPr>
              <w:spacing w:after="0"/>
              <w:rPr>
                <w:sz w:val="3"/>
                <w:szCs w:val="3"/>
                <w:color w:val="auto"/>
              </w:rPr>
            </w:pPr>
          </w:p>
        </w:tc>
        <w:tc>
          <w:tcPr>
            <w:tcW w:w="1820" w:type="dxa"/>
            <w:vAlign w:val="bottom"/>
            <w:tcBorders>
              <w:bottom w:val="single" w:sz="8" w:color="3A4967"/>
            </w:tcBorders>
            <w:gridSpan w:val="2"/>
          </w:tcPr>
          <w:p>
            <w:pPr>
              <w:spacing w:after="0"/>
              <w:rPr>
                <w:sz w:val="3"/>
                <w:szCs w:val="3"/>
                <w:color w:val="auto"/>
              </w:rPr>
            </w:pPr>
          </w:p>
        </w:tc>
        <w:tc>
          <w:tcPr>
            <w:tcW w:w="1800" w:type="dxa"/>
            <w:vAlign w:val="bottom"/>
            <w:tcBorders>
              <w:bottom w:val="single" w:sz="8" w:color="3A4967"/>
            </w:tcBorders>
            <w:gridSpan w:val="2"/>
          </w:tcPr>
          <w:p>
            <w:pPr>
              <w:spacing w:after="0"/>
              <w:rPr>
                <w:sz w:val="3"/>
                <w:szCs w:val="3"/>
                <w:color w:val="auto"/>
              </w:rPr>
            </w:pPr>
          </w:p>
        </w:tc>
        <w:tc>
          <w:tcPr>
            <w:tcW w:w="1680" w:type="dxa"/>
            <w:vAlign w:val="bottom"/>
            <w:tcBorders>
              <w:bottom w:val="single" w:sz="8" w:color="3A4967"/>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1820" w:type="dxa"/>
            <w:vAlign w:val="bottom"/>
            <w:gridSpan w:val="2"/>
          </w:tcPr>
          <w:p>
            <w:pPr>
              <w:jc w:val="right"/>
              <w:ind w:right="55"/>
              <w:spacing w:after="0"/>
              <w:rPr>
                <w:sz w:val="20"/>
                <w:szCs w:val="20"/>
                <w:color w:val="auto"/>
              </w:rPr>
            </w:pPr>
            <w:r>
              <w:rPr>
                <w:rFonts w:ascii="Arial" w:cs="Arial" w:eastAsia="Arial" w:hAnsi="Arial"/>
                <w:sz w:val="17"/>
                <w:szCs w:val="17"/>
                <w:b w:val="1"/>
                <w:bCs w:val="1"/>
                <w:color w:val="3A4967"/>
              </w:rPr>
              <w:t>December 28, 2024</w:t>
            </w:r>
          </w:p>
        </w:tc>
        <w:tc>
          <w:tcPr>
            <w:tcW w:w="1800" w:type="dxa"/>
            <w:vAlign w:val="bottom"/>
            <w:gridSpan w:val="2"/>
          </w:tcPr>
          <w:p>
            <w:pPr>
              <w:jc w:val="right"/>
              <w:ind w:right="95"/>
              <w:spacing w:after="0"/>
              <w:rPr>
                <w:sz w:val="20"/>
                <w:szCs w:val="20"/>
                <w:color w:val="auto"/>
              </w:rPr>
            </w:pPr>
            <w:r>
              <w:rPr>
                <w:rFonts w:ascii="Arial" w:cs="Arial" w:eastAsia="Arial" w:hAnsi="Arial"/>
                <w:sz w:val="17"/>
                <w:szCs w:val="17"/>
                <w:b w:val="1"/>
                <w:bCs w:val="1"/>
                <w:color w:val="3A4967"/>
              </w:rPr>
              <w:t>December 30, 2023</w:t>
            </w:r>
          </w:p>
        </w:tc>
        <w:tc>
          <w:tcPr>
            <w:tcW w:w="1680" w:type="dxa"/>
            <w:vAlign w:val="bottom"/>
            <w:gridSpan w:val="2"/>
          </w:tcPr>
          <w:p>
            <w:pPr>
              <w:jc w:val="right"/>
              <w:ind w:right="15"/>
              <w:spacing w:after="0"/>
              <w:rPr>
                <w:sz w:val="20"/>
                <w:szCs w:val="20"/>
                <w:color w:val="auto"/>
              </w:rPr>
            </w:pPr>
            <w:r>
              <w:rPr>
                <w:rFonts w:ascii="Arial" w:cs="Arial" w:eastAsia="Arial" w:hAnsi="Arial"/>
                <w:sz w:val="16"/>
                <w:szCs w:val="16"/>
                <w:b w:val="1"/>
                <w:bCs w:val="1"/>
                <w:color w:val="3A4967"/>
              </w:rPr>
              <w:t>December 31, 2022</w:t>
            </w:r>
          </w:p>
        </w:tc>
        <w:tc>
          <w:tcPr>
            <w:tcW w:w="0" w:type="dxa"/>
            <w:vAlign w:val="bottom"/>
          </w:tcPr>
          <w:p>
            <w:pPr>
              <w:spacing w:after="0"/>
              <w:rPr>
                <w:sz w:val="1"/>
                <w:szCs w:val="1"/>
                <w:color w:val="auto"/>
              </w:rPr>
            </w:pPr>
          </w:p>
        </w:tc>
      </w:tr>
      <w:tr>
        <w:trPr>
          <w:trHeight w:val="33"/>
        </w:trPr>
        <w:tc>
          <w:tcPr>
            <w:tcW w:w="4860" w:type="dxa"/>
            <w:vAlign w:val="bottom"/>
            <w:tcBorders>
              <w:bottom w:val="single" w:sz="8" w:color="3A4967"/>
            </w:tcBorders>
          </w:tcPr>
          <w:p>
            <w:pPr>
              <w:spacing w:after="0"/>
              <w:rPr>
                <w:sz w:val="2"/>
                <w:szCs w:val="2"/>
                <w:color w:val="auto"/>
              </w:rPr>
            </w:pPr>
          </w:p>
        </w:tc>
        <w:tc>
          <w:tcPr>
            <w:tcW w:w="880" w:type="dxa"/>
            <w:vAlign w:val="bottom"/>
            <w:tcBorders>
              <w:bottom w:val="single" w:sz="8" w:color="3A4967"/>
            </w:tcBorders>
          </w:tcPr>
          <w:p>
            <w:pPr>
              <w:spacing w:after="0"/>
              <w:rPr>
                <w:sz w:val="2"/>
                <w:szCs w:val="2"/>
                <w:color w:val="auto"/>
              </w:rPr>
            </w:pPr>
          </w:p>
        </w:tc>
        <w:tc>
          <w:tcPr>
            <w:tcW w:w="940" w:type="dxa"/>
            <w:vAlign w:val="bottom"/>
            <w:tcBorders>
              <w:bottom w:val="single" w:sz="8" w:color="3A4967"/>
            </w:tcBorders>
          </w:tcPr>
          <w:p>
            <w:pPr>
              <w:spacing w:after="0"/>
              <w:rPr>
                <w:sz w:val="2"/>
                <w:szCs w:val="2"/>
                <w:color w:val="auto"/>
              </w:rPr>
            </w:pPr>
          </w:p>
        </w:tc>
        <w:tc>
          <w:tcPr>
            <w:tcW w:w="920" w:type="dxa"/>
            <w:vAlign w:val="bottom"/>
            <w:tcBorders>
              <w:bottom w:val="single" w:sz="8" w:color="3A4967"/>
            </w:tcBorders>
          </w:tcPr>
          <w:p>
            <w:pPr>
              <w:spacing w:after="0"/>
              <w:rPr>
                <w:sz w:val="2"/>
                <w:szCs w:val="2"/>
                <w:color w:val="auto"/>
              </w:rPr>
            </w:pPr>
          </w:p>
        </w:tc>
        <w:tc>
          <w:tcPr>
            <w:tcW w:w="880" w:type="dxa"/>
            <w:vAlign w:val="bottom"/>
            <w:tcBorders>
              <w:bottom w:val="single" w:sz="8" w:color="3A4967"/>
            </w:tcBorders>
          </w:tcPr>
          <w:p>
            <w:pPr>
              <w:spacing w:after="0"/>
              <w:rPr>
                <w:sz w:val="2"/>
                <w:szCs w:val="2"/>
                <w:color w:val="auto"/>
              </w:rPr>
            </w:pPr>
          </w:p>
        </w:tc>
        <w:tc>
          <w:tcPr>
            <w:tcW w:w="840" w:type="dxa"/>
            <w:vAlign w:val="bottom"/>
            <w:tcBorders>
              <w:bottom w:val="single" w:sz="8" w:color="3A4967"/>
            </w:tcBorders>
          </w:tcPr>
          <w:p>
            <w:pPr>
              <w:spacing w:after="0"/>
              <w:rPr>
                <w:sz w:val="2"/>
                <w:szCs w:val="2"/>
                <w:color w:val="auto"/>
              </w:rPr>
            </w:pPr>
          </w:p>
        </w:tc>
        <w:tc>
          <w:tcPr>
            <w:tcW w:w="840" w:type="dxa"/>
            <w:vAlign w:val="bottom"/>
            <w:tcBorders>
              <w:bottom w:val="single" w:sz="8" w:color="3A4967"/>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80"/>
              <w:spacing w:after="0"/>
              <w:rPr>
                <w:sz w:val="20"/>
                <w:szCs w:val="20"/>
                <w:color w:val="auto"/>
              </w:rPr>
            </w:pPr>
            <w:r>
              <w:rPr>
                <w:rFonts w:ascii="Arial" w:cs="Arial" w:eastAsia="Arial" w:hAnsi="Arial"/>
                <w:sz w:val="17"/>
                <w:szCs w:val="17"/>
                <w:b w:val="1"/>
                <w:bCs w:val="1"/>
                <w:color w:val="3A4967"/>
              </w:rPr>
              <w:t>Supplemental disclosure of cash flow information:</w:t>
            </w: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860" w:type="dxa"/>
            <w:vAlign w:val="bottom"/>
          </w:tcPr>
          <w:p>
            <w:pPr>
              <w:ind w:left="220"/>
              <w:spacing w:after="0"/>
              <w:rPr>
                <w:sz w:val="20"/>
                <w:szCs w:val="20"/>
                <w:color w:val="auto"/>
              </w:rPr>
            </w:pPr>
            <w:r>
              <w:rPr>
                <w:rFonts w:ascii="Arial" w:cs="Arial" w:eastAsia="Arial" w:hAnsi="Arial"/>
                <w:sz w:val="17"/>
                <w:szCs w:val="17"/>
                <w:color w:val="3A4967"/>
              </w:rPr>
              <w:t>Income tax (payments) refunds, net</w:t>
            </w:r>
          </w:p>
        </w:tc>
        <w:tc>
          <w:tcPr>
            <w:tcW w:w="880" w:type="dxa"/>
            <w:vAlign w:val="bottom"/>
          </w:tcPr>
          <w:p>
            <w:pPr>
              <w:jc w:val="right"/>
              <w:ind w:right="135"/>
              <w:spacing w:after="0"/>
              <w:rPr>
                <w:sz w:val="20"/>
                <w:szCs w:val="20"/>
                <w:color w:val="auto"/>
              </w:rPr>
            </w:pPr>
            <w:r>
              <w:rPr>
                <w:rFonts w:ascii="Arial" w:cs="Arial" w:eastAsia="Arial" w:hAnsi="Arial"/>
                <w:sz w:val="17"/>
                <w:szCs w:val="17"/>
                <w:color w:val="3A4967"/>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3A4967"/>
              </w:rPr>
              <w:t>(52,028)</w:t>
            </w:r>
          </w:p>
        </w:tc>
        <w:tc>
          <w:tcPr>
            <w:tcW w:w="920" w:type="dxa"/>
            <w:vAlign w:val="bottom"/>
          </w:tcPr>
          <w:p>
            <w:pPr>
              <w:jc w:val="right"/>
              <w:ind w:right="55"/>
              <w:spacing w:after="0"/>
              <w:rPr>
                <w:sz w:val="20"/>
                <w:szCs w:val="20"/>
                <w:color w:val="auto"/>
              </w:rPr>
            </w:pPr>
            <w:r>
              <w:rPr>
                <w:rFonts w:ascii="Arial" w:cs="Arial" w:eastAsia="Arial" w:hAnsi="Arial"/>
                <w:sz w:val="17"/>
                <w:szCs w:val="17"/>
                <w:color w:val="3A4967"/>
              </w:rPr>
              <w:t>$</w:t>
            </w:r>
          </w:p>
        </w:tc>
        <w:tc>
          <w:tcPr>
            <w:tcW w:w="880" w:type="dxa"/>
            <w:vAlign w:val="bottom"/>
          </w:tcPr>
          <w:p>
            <w:pPr>
              <w:jc w:val="right"/>
              <w:ind w:right="55"/>
              <w:spacing w:after="0"/>
              <w:rPr>
                <w:sz w:val="20"/>
                <w:szCs w:val="20"/>
                <w:color w:val="auto"/>
              </w:rPr>
            </w:pPr>
            <w:r>
              <w:rPr>
                <w:rFonts w:ascii="Arial" w:cs="Arial" w:eastAsia="Arial" w:hAnsi="Arial"/>
                <w:sz w:val="17"/>
                <w:szCs w:val="17"/>
                <w:color w:val="3A4967"/>
              </w:rPr>
              <w:t>(35,728)</w:t>
            </w:r>
          </w:p>
        </w:tc>
        <w:tc>
          <w:tcPr>
            <w:tcW w:w="840" w:type="dxa"/>
            <w:vAlign w:val="bottom"/>
          </w:tcPr>
          <w:p>
            <w:pPr>
              <w:jc w:val="right"/>
              <w:ind w:right="136"/>
              <w:spacing w:after="0"/>
              <w:rPr>
                <w:sz w:val="20"/>
                <w:szCs w:val="20"/>
                <w:color w:val="auto"/>
              </w:rPr>
            </w:pPr>
            <w:r>
              <w:rPr>
                <w:rFonts w:ascii="Arial" w:cs="Arial" w:eastAsia="Arial" w:hAnsi="Arial"/>
                <w:sz w:val="17"/>
                <w:szCs w:val="17"/>
                <w:color w:val="3A4967"/>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3A4967"/>
              </w:rPr>
              <w:t>28,144</w:t>
            </w:r>
          </w:p>
        </w:tc>
        <w:tc>
          <w:tcPr>
            <w:tcW w:w="0" w:type="dxa"/>
            <w:vAlign w:val="bottom"/>
          </w:tcPr>
          <w:p>
            <w:pPr>
              <w:spacing w:after="0"/>
              <w:rPr>
                <w:sz w:val="1"/>
                <w:szCs w:val="1"/>
                <w:color w:val="auto"/>
              </w:rPr>
            </w:pPr>
          </w:p>
        </w:tc>
      </w:tr>
      <w:tr>
        <w:trPr>
          <w:trHeight w:val="276"/>
        </w:trPr>
        <w:tc>
          <w:tcPr>
            <w:tcW w:w="4860" w:type="dxa"/>
            <w:vAlign w:val="bottom"/>
          </w:tcPr>
          <w:p>
            <w:pPr>
              <w:ind w:left="220"/>
              <w:spacing w:after="0"/>
              <w:rPr>
                <w:sz w:val="20"/>
                <w:szCs w:val="20"/>
                <w:color w:val="auto"/>
              </w:rPr>
            </w:pPr>
            <w:r>
              <w:rPr>
                <w:rFonts w:ascii="Arial" w:cs="Arial" w:eastAsia="Arial" w:hAnsi="Arial"/>
                <w:sz w:val="16"/>
                <w:szCs w:val="16"/>
                <w:color w:val="3A4967"/>
                <w:w w:val="98"/>
              </w:rPr>
              <w:t>Cash paid for amounts included in measurement of lease liabilities</w:t>
            </w: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860" w:type="dxa"/>
            <w:vAlign w:val="bottom"/>
          </w:tcPr>
          <w:p>
            <w:pPr>
              <w:ind w:left="360"/>
              <w:spacing w:after="0"/>
              <w:rPr>
                <w:sz w:val="20"/>
                <w:szCs w:val="20"/>
                <w:color w:val="auto"/>
              </w:rPr>
            </w:pPr>
            <w:r>
              <w:rPr>
                <w:rFonts w:ascii="Arial" w:cs="Arial" w:eastAsia="Arial" w:hAnsi="Arial"/>
                <w:sz w:val="17"/>
                <w:szCs w:val="17"/>
                <w:color w:val="3A4967"/>
              </w:rPr>
              <w:t>Operating cash outflows from operating leases</w:t>
            </w:r>
          </w:p>
        </w:tc>
        <w:tc>
          <w:tcPr>
            <w:tcW w:w="880" w:type="dxa"/>
            <w:vAlign w:val="bottom"/>
          </w:tcPr>
          <w:p>
            <w:pPr>
              <w:jc w:val="right"/>
              <w:ind w:right="135"/>
              <w:spacing w:after="0"/>
              <w:rPr>
                <w:sz w:val="20"/>
                <w:szCs w:val="20"/>
                <w:color w:val="auto"/>
              </w:rPr>
            </w:pPr>
            <w:r>
              <w:rPr>
                <w:rFonts w:ascii="Arial" w:cs="Arial" w:eastAsia="Arial" w:hAnsi="Arial"/>
                <w:sz w:val="17"/>
                <w:szCs w:val="17"/>
                <w:color w:val="3A4967"/>
              </w:rPr>
              <w:t>$</w:t>
            </w:r>
          </w:p>
        </w:tc>
        <w:tc>
          <w:tcPr>
            <w:tcW w:w="940" w:type="dxa"/>
            <w:vAlign w:val="bottom"/>
          </w:tcPr>
          <w:p>
            <w:pPr>
              <w:jc w:val="right"/>
              <w:ind w:right="55"/>
              <w:spacing w:after="0"/>
              <w:rPr>
                <w:sz w:val="20"/>
                <w:szCs w:val="20"/>
                <w:color w:val="auto"/>
              </w:rPr>
            </w:pPr>
            <w:r>
              <w:rPr>
                <w:rFonts w:ascii="Arial" w:cs="Arial" w:eastAsia="Arial" w:hAnsi="Arial"/>
                <w:sz w:val="17"/>
                <w:szCs w:val="17"/>
                <w:color w:val="3A4967"/>
              </w:rPr>
              <w:t>10,496</w:t>
            </w:r>
          </w:p>
        </w:tc>
        <w:tc>
          <w:tcPr>
            <w:tcW w:w="920" w:type="dxa"/>
            <w:vAlign w:val="bottom"/>
          </w:tcPr>
          <w:p>
            <w:pPr>
              <w:jc w:val="right"/>
              <w:ind w:right="55"/>
              <w:spacing w:after="0"/>
              <w:rPr>
                <w:sz w:val="20"/>
                <w:szCs w:val="20"/>
                <w:color w:val="auto"/>
              </w:rPr>
            </w:pPr>
            <w:r>
              <w:rPr>
                <w:rFonts w:ascii="Arial" w:cs="Arial" w:eastAsia="Arial" w:hAnsi="Arial"/>
                <w:sz w:val="17"/>
                <w:szCs w:val="17"/>
                <w:color w:val="3A4967"/>
              </w:rPr>
              <w:t>$</w:t>
            </w:r>
          </w:p>
        </w:tc>
        <w:tc>
          <w:tcPr>
            <w:tcW w:w="880" w:type="dxa"/>
            <w:vAlign w:val="bottom"/>
          </w:tcPr>
          <w:p>
            <w:pPr>
              <w:jc w:val="right"/>
              <w:ind w:right="95"/>
              <w:spacing w:after="0"/>
              <w:rPr>
                <w:sz w:val="20"/>
                <w:szCs w:val="20"/>
                <w:color w:val="auto"/>
              </w:rPr>
            </w:pPr>
            <w:r>
              <w:rPr>
                <w:rFonts w:ascii="Arial" w:cs="Arial" w:eastAsia="Arial" w:hAnsi="Arial"/>
                <w:sz w:val="17"/>
                <w:szCs w:val="17"/>
                <w:color w:val="3A4967"/>
              </w:rPr>
              <w:t>10,483</w:t>
            </w:r>
          </w:p>
        </w:tc>
        <w:tc>
          <w:tcPr>
            <w:tcW w:w="840" w:type="dxa"/>
            <w:vAlign w:val="bottom"/>
          </w:tcPr>
          <w:p>
            <w:pPr>
              <w:jc w:val="right"/>
              <w:ind w:right="136"/>
              <w:spacing w:after="0"/>
              <w:rPr>
                <w:sz w:val="20"/>
                <w:szCs w:val="20"/>
                <w:color w:val="auto"/>
              </w:rPr>
            </w:pPr>
            <w:r>
              <w:rPr>
                <w:rFonts w:ascii="Arial" w:cs="Arial" w:eastAsia="Arial" w:hAnsi="Arial"/>
                <w:sz w:val="17"/>
                <w:szCs w:val="17"/>
                <w:color w:val="3A4967"/>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3A4967"/>
              </w:rPr>
              <w:t>8,510</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Operating cash outflows from finance leases</w:t>
            </w:r>
          </w:p>
        </w:tc>
        <w:tc>
          <w:tcPr>
            <w:tcW w:w="880" w:type="dxa"/>
            <w:vAlign w:val="bottom"/>
          </w:tcPr>
          <w:p>
            <w:pPr>
              <w:jc w:val="right"/>
              <w:ind w:right="135"/>
              <w:spacing w:after="0"/>
              <w:rPr>
                <w:sz w:val="20"/>
                <w:szCs w:val="20"/>
                <w:color w:val="auto"/>
              </w:rPr>
            </w:pPr>
            <w:r>
              <w:rPr>
                <w:rFonts w:ascii="Arial" w:cs="Arial" w:eastAsia="Arial" w:hAnsi="Arial"/>
                <w:sz w:val="17"/>
                <w:szCs w:val="17"/>
                <w:color w:val="3A4967"/>
              </w:rPr>
              <w:t>$</w:t>
            </w:r>
          </w:p>
        </w:tc>
        <w:tc>
          <w:tcPr>
            <w:tcW w:w="940" w:type="dxa"/>
            <w:vAlign w:val="bottom"/>
          </w:tcPr>
          <w:p>
            <w:pPr>
              <w:jc w:val="right"/>
              <w:ind w:right="55"/>
              <w:spacing w:after="0"/>
              <w:rPr>
                <w:sz w:val="20"/>
                <w:szCs w:val="20"/>
                <w:color w:val="auto"/>
              </w:rPr>
            </w:pPr>
            <w:r>
              <w:rPr>
                <w:rFonts w:ascii="Arial" w:cs="Arial" w:eastAsia="Arial" w:hAnsi="Arial"/>
                <w:sz w:val="17"/>
                <w:szCs w:val="17"/>
                <w:color w:val="3A4967"/>
              </w:rPr>
              <w:t>222</w:t>
            </w:r>
          </w:p>
        </w:tc>
        <w:tc>
          <w:tcPr>
            <w:tcW w:w="920" w:type="dxa"/>
            <w:vAlign w:val="bottom"/>
          </w:tcPr>
          <w:p>
            <w:pPr>
              <w:jc w:val="right"/>
              <w:ind w:right="55"/>
              <w:spacing w:after="0"/>
              <w:rPr>
                <w:sz w:val="20"/>
                <w:szCs w:val="20"/>
                <w:color w:val="auto"/>
              </w:rPr>
            </w:pPr>
            <w:r>
              <w:rPr>
                <w:rFonts w:ascii="Arial" w:cs="Arial" w:eastAsia="Arial" w:hAnsi="Arial"/>
                <w:sz w:val="17"/>
                <w:szCs w:val="17"/>
                <w:color w:val="3A4967"/>
              </w:rPr>
              <w:t>$</w:t>
            </w:r>
          </w:p>
        </w:tc>
        <w:tc>
          <w:tcPr>
            <w:tcW w:w="880" w:type="dxa"/>
            <w:vAlign w:val="bottom"/>
          </w:tcPr>
          <w:p>
            <w:pPr>
              <w:jc w:val="right"/>
              <w:ind w:right="95"/>
              <w:spacing w:after="0"/>
              <w:rPr>
                <w:sz w:val="20"/>
                <w:szCs w:val="20"/>
                <w:color w:val="auto"/>
              </w:rPr>
            </w:pPr>
            <w:r>
              <w:rPr>
                <w:rFonts w:ascii="Arial" w:cs="Arial" w:eastAsia="Arial" w:hAnsi="Arial"/>
                <w:sz w:val="17"/>
                <w:szCs w:val="17"/>
                <w:color w:val="3A4967"/>
              </w:rPr>
              <w:t>138</w:t>
            </w:r>
          </w:p>
        </w:tc>
        <w:tc>
          <w:tcPr>
            <w:tcW w:w="840" w:type="dxa"/>
            <w:vAlign w:val="bottom"/>
          </w:tcPr>
          <w:p>
            <w:pPr>
              <w:jc w:val="right"/>
              <w:ind w:right="136"/>
              <w:spacing w:after="0"/>
              <w:rPr>
                <w:sz w:val="20"/>
                <w:szCs w:val="20"/>
                <w:color w:val="auto"/>
              </w:rPr>
            </w:pPr>
            <w:r>
              <w:rPr>
                <w:rFonts w:ascii="Arial" w:cs="Arial" w:eastAsia="Arial" w:hAnsi="Arial"/>
                <w:sz w:val="17"/>
                <w:szCs w:val="17"/>
                <w:color w:val="3A4967"/>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3A4967"/>
              </w:rPr>
              <w:t>71</w:t>
            </w:r>
          </w:p>
        </w:tc>
        <w:tc>
          <w:tcPr>
            <w:tcW w:w="0" w:type="dxa"/>
            <w:vAlign w:val="bottom"/>
          </w:tcPr>
          <w:p>
            <w:pPr>
              <w:spacing w:after="0"/>
              <w:rPr>
                <w:sz w:val="1"/>
                <w:szCs w:val="1"/>
                <w:color w:val="auto"/>
              </w:rPr>
            </w:pPr>
          </w:p>
        </w:tc>
      </w:tr>
      <w:tr>
        <w:trPr>
          <w:trHeight w:val="281"/>
        </w:trPr>
        <w:tc>
          <w:tcPr>
            <w:tcW w:w="4860" w:type="dxa"/>
            <w:vAlign w:val="bottom"/>
          </w:tcPr>
          <w:p>
            <w:pPr>
              <w:ind w:left="360"/>
              <w:spacing w:after="0"/>
              <w:rPr>
                <w:sz w:val="20"/>
                <w:szCs w:val="20"/>
                <w:color w:val="auto"/>
              </w:rPr>
            </w:pPr>
            <w:r>
              <w:rPr>
                <w:rFonts w:ascii="Arial" w:cs="Arial" w:eastAsia="Arial" w:hAnsi="Arial"/>
                <w:sz w:val="17"/>
                <w:szCs w:val="17"/>
                <w:color w:val="3A4967"/>
              </w:rPr>
              <w:t>Financing cash outflows from finance leases</w:t>
            </w:r>
          </w:p>
        </w:tc>
        <w:tc>
          <w:tcPr>
            <w:tcW w:w="880" w:type="dxa"/>
            <w:vAlign w:val="bottom"/>
          </w:tcPr>
          <w:p>
            <w:pPr>
              <w:jc w:val="right"/>
              <w:ind w:right="135"/>
              <w:spacing w:after="0"/>
              <w:rPr>
                <w:sz w:val="20"/>
                <w:szCs w:val="20"/>
                <w:color w:val="auto"/>
              </w:rPr>
            </w:pPr>
            <w:r>
              <w:rPr>
                <w:rFonts w:ascii="Arial" w:cs="Arial" w:eastAsia="Arial" w:hAnsi="Arial"/>
                <w:sz w:val="17"/>
                <w:szCs w:val="17"/>
                <w:color w:val="3A4967"/>
              </w:rPr>
              <w:t>$</w:t>
            </w:r>
          </w:p>
        </w:tc>
        <w:tc>
          <w:tcPr>
            <w:tcW w:w="940" w:type="dxa"/>
            <w:vAlign w:val="bottom"/>
          </w:tcPr>
          <w:p>
            <w:pPr>
              <w:jc w:val="right"/>
              <w:ind w:right="55"/>
              <w:spacing w:after="0"/>
              <w:rPr>
                <w:sz w:val="20"/>
                <w:szCs w:val="20"/>
                <w:color w:val="auto"/>
              </w:rPr>
            </w:pPr>
            <w:r>
              <w:rPr>
                <w:rFonts w:ascii="Arial" w:cs="Arial" w:eastAsia="Arial" w:hAnsi="Arial"/>
                <w:sz w:val="17"/>
                <w:szCs w:val="17"/>
                <w:color w:val="3A4967"/>
              </w:rPr>
              <w:t>1,886</w:t>
            </w:r>
          </w:p>
        </w:tc>
        <w:tc>
          <w:tcPr>
            <w:tcW w:w="920" w:type="dxa"/>
            <w:vAlign w:val="bottom"/>
          </w:tcPr>
          <w:p>
            <w:pPr>
              <w:jc w:val="right"/>
              <w:ind w:right="55"/>
              <w:spacing w:after="0"/>
              <w:rPr>
                <w:sz w:val="20"/>
                <w:szCs w:val="20"/>
                <w:color w:val="auto"/>
              </w:rPr>
            </w:pPr>
            <w:r>
              <w:rPr>
                <w:rFonts w:ascii="Arial" w:cs="Arial" w:eastAsia="Arial" w:hAnsi="Arial"/>
                <w:sz w:val="17"/>
                <w:szCs w:val="17"/>
                <w:color w:val="3A4967"/>
              </w:rPr>
              <w:t>$</w:t>
            </w:r>
          </w:p>
        </w:tc>
        <w:tc>
          <w:tcPr>
            <w:tcW w:w="880" w:type="dxa"/>
            <w:vAlign w:val="bottom"/>
          </w:tcPr>
          <w:p>
            <w:pPr>
              <w:jc w:val="right"/>
              <w:ind w:right="95"/>
              <w:spacing w:after="0"/>
              <w:rPr>
                <w:sz w:val="20"/>
                <w:szCs w:val="20"/>
                <w:color w:val="auto"/>
              </w:rPr>
            </w:pPr>
            <w:r>
              <w:rPr>
                <w:rFonts w:ascii="Arial" w:cs="Arial" w:eastAsia="Arial" w:hAnsi="Arial"/>
                <w:sz w:val="17"/>
                <w:szCs w:val="17"/>
                <w:color w:val="3A4967"/>
              </w:rPr>
              <w:t>1,575</w:t>
            </w:r>
          </w:p>
        </w:tc>
        <w:tc>
          <w:tcPr>
            <w:tcW w:w="840" w:type="dxa"/>
            <w:vAlign w:val="bottom"/>
          </w:tcPr>
          <w:p>
            <w:pPr>
              <w:jc w:val="right"/>
              <w:ind w:right="136"/>
              <w:spacing w:after="0"/>
              <w:rPr>
                <w:sz w:val="20"/>
                <w:szCs w:val="20"/>
                <w:color w:val="auto"/>
              </w:rPr>
            </w:pPr>
            <w:r>
              <w:rPr>
                <w:rFonts w:ascii="Arial" w:cs="Arial" w:eastAsia="Arial" w:hAnsi="Arial"/>
                <w:sz w:val="17"/>
                <w:szCs w:val="17"/>
                <w:color w:val="3A4967"/>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3A4967"/>
              </w:rPr>
              <w:t>1,598</w:t>
            </w:r>
          </w:p>
        </w:tc>
        <w:tc>
          <w:tcPr>
            <w:tcW w:w="0" w:type="dxa"/>
            <w:vAlign w:val="bottom"/>
          </w:tcPr>
          <w:p>
            <w:pPr>
              <w:spacing w:after="0"/>
              <w:rPr>
                <w:sz w:val="1"/>
                <w:szCs w:val="1"/>
                <w:color w:val="auto"/>
              </w:rPr>
            </w:pPr>
          </w:p>
        </w:tc>
      </w:tr>
      <w:tr>
        <w:trPr>
          <w:trHeight w:val="277"/>
        </w:trPr>
        <w:tc>
          <w:tcPr>
            <w:tcW w:w="4860" w:type="dxa"/>
            <w:vAlign w:val="bottom"/>
          </w:tcPr>
          <w:p>
            <w:pPr>
              <w:ind w:left="360"/>
              <w:spacing w:after="0"/>
              <w:rPr>
                <w:sz w:val="20"/>
                <w:szCs w:val="20"/>
                <w:color w:val="auto"/>
              </w:rPr>
            </w:pPr>
            <w:r>
              <w:rPr>
                <w:rFonts w:ascii="Arial" w:cs="Arial" w:eastAsia="Arial" w:hAnsi="Arial"/>
                <w:sz w:val="17"/>
                <w:szCs w:val="17"/>
                <w:color w:val="3A4967"/>
              </w:rPr>
              <w:t>Right-of-use-assets obtained in exchange for operating</w:t>
            </w:r>
          </w:p>
        </w:tc>
        <w:tc>
          <w:tcPr>
            <w:tcW w:w="880" w:type="dxa"/>
            <w:vAlign w:val="bottom"/>
            <w:vMerge w:val="restart"/>
          </w:tcPr>
          <w:p>
            <w:pPr>
              <w:jc w:val="right"/>
              <w:ind w:right="135"/>
              <w:spacing w:after="0"/>
              <w:rPr>
                <w:sz w:val="20"/>
                <w:szCs w:val="20"/>
                <w:color w:val="auto"/>
              </w:rPr>
            </w:pPr>
            <w:r>
              <w:rPr>
                <w:rFonts w:ascii="Arial" w:cs="Arial" w:eastAsia="Arial" w:hAnsi="Arial"/>
                <w:sz w:val="17"/>
                <w:szCs w:val="17"/>
                <w:color w:val="3A4967"/>
              </w:rPr>
              <w:t>$</w:t>
            </w:r>
          </w:p>
        </w:tc>
        <w:tc>
          <w:tcPr>
            <w:tcW w:w="940" w:type="dxa"/>
            <w:vAlign w:val="bottom"/>
            <w:vMerge w:val="restart"/>
          </w:tcPr>
          <w:p>
            <w:pPr>
              <w:jc w:val="right"/>
              <w:ind w:right="55"/>
              <w:spacing w:after="0"/>
              <w:rPr>
                <w:sz w:val="20"/>
                <w:szCs w:val="20"/>
                <w:color w:val="auto"/>
              </w:rPr>
            </w:pPr>
            <w:r>
              <w:rPr>
                <w:rFonts w:ascii="Arial" w:cs="Arial" w:eastAsia="Arial" w:hAnsi="Arial"/>
                <w:sz w:val="17"/>
                <w:szCs w:val="17"/>
                <w:color w:val="3A4967"/>
              </w:rPr>
              <w:t>—</w:t>
            </w:r>
          </w:p>
        </w:tc>
        <w:tc>
          <w:tcPr>
            <w:tcW w:w="920" w:type="dxa"/>
            <w:vAlign w:val="bottom"/>
            <w:vMerge w:val="restart"/>
          </w:tcPr>
          <w:p>
            <w:pPr>
              <w:jc w:val="right"/>
              <w:ind w:right="55"/>
              <w:spacing w:after="0"/>
              <w:rPr>
                <w:sz w:val="20"/>
                <w:szCs w:val="20"/>
                <w:color w:val="auto"/>
              </w:rPr>
            </w:pPr>
            <w:r>
              <w:rPr>
                <w:rFonts w:ascii="Arial" w:cs="Arial" w:eastAsia="Arial" w:hAnsi="Arial"/>
                <w:sz w:val="17"/>
                <w:szCs w:val="17"/>
                <w:color w:val="3A4967"/>
              </w:rPr>
              <w:t>$</w:t>
            </w:r>
          </w:p>
        </w:tc>
        <w:tc>
          <w:tcPr>
            <w:tcW w:w="880" w:type="dxa"/>
            <w:vAlign w:val="bottom"/>
            <w:vMerge w:val="restart"/>
          </w:tcPr>
          <w:p>
            <w:pPr>
              <w:jc w:val="right"/>
              <w:ind w:right="55"/>
              <w:spacing w:after="0"/>
              <w:rPr>
                <w:sz w:val="20"/>
                <w:szCs w:val="20"/>
                <w:color w:val="auto"/>
              </w:rPr>
            </w:pPr>
            <w:r>
              <w:rPr>
                <w:rFonts w:ascii="Arial" w:cs="Arial" w:eastAsia="Arial" w:hAnsi="Arial"/>
                <w:sz w:val="17"/>
                <w:szCs w:val="17"/>
                <w:color w:val="3A4967"/>
              </w:rPr>
              <w:t>(107)</w:t>
            </w:r>
          </w:p>
        </w:tc>
        <w:tc>
          <w:tcPr>
            <w:tcW w:w="840" w:type="dxa"/>
            <w:vAlign w:val="bottom"/>
            <w:vMerge w:val="restart"/>
          </w:tcPr>
          <w:p>
            <w:pPr>
              <w:jc w:val="right"/>
              <w:ind w:right="136"/>
              <w:spacing w:after="0"/>
              <w:rPr>
                <w:sz w:val="20"/>
                <w:szCs w:val="20"/>
                <w:color w:val="auto"/>
              </w:rPr>
            </w:pPr>
            <w:r>
              <w:rPr>
                <w:rFonts w:ascii="Arial" w:cs="Arial" w:eastAsia="Arial" w:hAnsi="Arial"/>
                <w:sz w:val="17"/>
                <w:szCs w:val="17"/>
                <w:color w:val="3A4967"/>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3A4967"/>
              </w:rPr>
              <w:t>(827)</w:t>
            </w:r>
          </w:p>
        </w:tc>
        <w:tc>
          <w:tcPr>
            <w:tcW w:w="0" w:type="dxa"/>
            <w:vAlign w:val="bottom"/>
          </w:tcPr>
          <w:p>
            <w:pPr>
              <w:spacing w:after="0"/>
              <w:rPr>
                <w:sz w:val="1"/>
                <w:szCs w:val="1"/>
                <w:color w:val="auto"/>
              </w:rPr>
            </w:pPr>
          </w:p>
        </w:tc>
      </w:tr>
      <w:tr>
        <w:trPr>
          <w:trHeight w:val="106"/>
        </w:trPr>
        <w:tc>
          <w:tcPr>
            <w:tcW w:w="4860" w:type="dxa"/>
            <w:vAlign w:val="bottom"/>
            <w:vMerge w:val="restart"/>
          </w:tcPr>
          <w:p>
            <w:pPr>
              <w:ind w:left="360"/>
              <w:spacing w:after="0"/>
              <w:rPr>
                <w:sz w:val="20"/>
                <w:szCs w:val="20"/>
                <w:color w:val="auto"/>
              </w:rPr>
            </w:pPr>
            <w:r>
              <w:rPr>
                <w:rFonts w:ascii="Arial" w:cs="Arial" w:eastAsia="Arial" w:hAnsi="Arial"/>
                <w:sz w:val="17"/>
                <w:szCs w:val="17"/>
                <w:color w:val="3A4967"/>
              </w:rPr>
              <w:t>lease obligations</w:t>
            </w:r>
          </w:p>
        </w:tc>
        <w:tc>
          <w:tcPr>
            <w:tcW w:w="8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860" w:type="dxa"/>
            <w:vAlign w:val="bottom"/>
          </w:tcPr>
          <w:p>
            <w:pPr>
              <w:ind w:left="220"/>
              <w:spacing w:after="0"/>
              <w:rPr>
                <w:sz w:val="20"/>
                <w:szCs w:val="20"/>
                <w:color w:val="auto"/>
              </w:rPr>
            </w:pPr>
            <w:r>
              <w:rPr>
                <w:rFonts w:ascii="Arial" w:cs="Arial" w:eastAsia="Arial" w:hAnsi="Arial"/>
                <w:sz w:val="17"/>
                <w:szCs w:val="17"/>
                <w:color w:val="3A4967"/>
              </w:rPr>
              <w:t>Right-of-use-assets obtained in exchange for finance lease</w:t>
            </w:r>
          </w:p>
        </w:tc>
        <w:tc>
          <w:tcPr>
            <w:tcW w:w="880" w:type="dxa"/>
            <w:vAlign w:val="bottom"/>
            <w:vMerge w:val="restart"/>
          </w:tcPr>
          <w:p>
            <w:pPr>
              <w:jc w:val="right"/>
              <w:ind w:right="135"/>
              <w:spacing w:after="0"/>
              <w:rPr>
                <w:sz w:val="20"/>
                <w:szCs w:val="20"/>
                <w:color w:val="auto"/>
              </w:rPr>
            </w:pPr>
            <w:r>
              <w:rPr>
                <w:rFonts w:ascii="Arial" w:cs="Arial" w:eastAsia="Arial" w:hAnsi="Arial"/>
                <w:sz w:val="17"/>
                <w:szCs w:val="17"/>
                <w:color w:val="3A4967"/>
              </w:rPr>
              <w:t>$</w:t>
            </w:r>
          </w:p>
        </w:tc>
        <w:tc>
          <w:tcPr>
            <w:tcW w:w="940" w:type="dxa"/>
            <w:vAlign w:val="bottom"/>
            <w:vMerge w:val="restart"/>
          </w:tcPr>
          <w:p>
            <w:pPr>
              <w:jc w:val="right"/>
              <w:ind w:right="55"/>
              <w:spacing w:after="0"/>
              <w:rPr>
                <w:sz w:val="20"/>
                <w:szCs w:val="20"/>
                <w:color w:val="auto"/>
              </w:rPr>
            </w:pPr>
            <w:r>
              <w:rPr>
                <w:rFonts w:ascii="Arial" w:cs="Arial" w:eastAsia="Arial" w:hAnsi="Arial"/>
                <w:sz w:val="17"/>
                <w:szCs w:val="17"/>
                <w:color w:val="3A4967"/>
              </w:rPr>
              <w:t>2,017</w:t>
            </w:r>
          </w:p>
        </w:tc>
        <w:tc>
          <w:tcPr>
            <w:tcW w:w="920" w:type="dxa"/>
            <w:vAlign w:val="bottom"/>
            <w:vMerge w:val="restart"/>
          </w:tcPr>
          <w:p>
            <w:pPr>
              <w:jc w:val="right"/>
              <w:ind w:right="55"/>
              <w:spacing w:after="0"/>
              <w:rPr>
                <w:sz w:val="20"/>
                <w:szCs w:val="20"/>
                <w:color w:val="auto"/>
              </w:rPr>
            </w:pPr>
            <w:r>
              <w:rPr>
                <w:rFonts w:ascii="Arial" w:cs="Arial" w:eastAsia="Arial" w:hAnsi="Arial"/>
                <w:sz w:val="17"/>
                <w:szCs w:val="17"/>
                <w:color w:val="3A4967"/>
              </w:rPr>
              <w:t>$</w:t>
            </w:r>
          </w:p>
        </w:tc>
        <w:tc>
          <w:tcPr>
            <w:tcW w:w="880" w:type="dxa"/>
            <w:vAlign w:val="bottom"/>
            <w:vMerge w:val="restart"/>
          </w:tcPr>
          <w:p>
            <w:pPr>
              <w:jc w:val="right"/>
              <w:ind w:right="95"/>
              <w:spacing w:after="0"/>
              <w:rPr>
                <w:sz w:val="20"/>
                <w:szCs w:val="20"/>
                <w:color w:val="auto"/>
              </w:rPr>
            </w:pPr>
            <w:r>
              <w:rPr>
                <w:rFonts w:ascii="Arial" w:cs="Arial" w:eastAsia="Arial" w:hAnsi="Arial"/>
                <w:sz w:val="17"/>
                <w:szCs w:val="17"/>
                <w:color w:val="3A4967"/>
              </w:rPr>
              <w:t>2,825</w:t>
            </w:r>
          </w:p>
        </w:tc>
        <w:tc>
          <w:tcPr>
            <w:tcW w:w="840" w:type="dxa"/>
            <w:vAlign w:val="bottom"/>
            <w:vMerge w:val="restart"/>
          </w:tcPr>
          <w:p>
            <w:pPr>
              <w:jc w:val="right"/>
              <w:ind w:right="136"/>
              <w:spacing w:after="0"/>
              <w:rPr>
                <w:sz w:val="20"/>
                <w:szCs w:val="20"/>
                <w:color w:val="auto"/>
              </w:rPr>
            </w:pPr>
            <w:r>
              <w:rPr>
                <w:rFonts w:ascii="Arial" w:cs="Arial" w:eastAsia="Arial" w:hAnsi="Arial"/>
                <w:sz w:val="17"/>
                <w:szCs w:val="17"/>
                <w:color w:val="3A4967"/>
              </w:rPr>
              <w:t>$</w:t>
            </w:r>
          </w:p>
        </w:tc>
        <w:tc>
          <w:tcPr>
            <w:tcW w:w="840" w:type="dxa"/>
            <w:vAlign w:val="bottom"/>
            <w:vMerge w:val="restart"/>
          </w:tcPr>
          <w:p>
            <w:pPr>
              <w:jc w:val="right"/>
              <w:ind w:right="15"/>
              <w:spacing w:after="0"/>
              <w:rPr>
                <w:sz w:val="20"/>
                <w:szCs w:val="20"/>
                <w:color w:val="auto"/>
              </w:rPr>
            </w:pPr>
            <w:r>
              <w:rPr>
                <w:rFonts w:ascii="Arial" w:cs="Arial" w:eastAsia="Arial" w:hAnsi="Arial"/>
                <w:sz w:val="17"/>
                <w:szCs w:val="17"/>
                <w:color w:val="3A4967"/>
              </w:rPr>
              <w:t>—</w:t>
            </w:r>
          </w:p>
        </w:tc>
        <w:tc>
          <w:tcPr>
            <w:tcW w:w="0" w:type="dxa"/>
            <w:vAlign w:val="bottom"/>
          </w:tcPr>
          <w:p>
            <w:pPr>
              <w:spacing w:after="0"/>
              <w:rPr>
                <w:sz w:val="1"/>
                <w:szCs w:val="1"/>
                <w:color w:val="auto"/>
              </w:rPr>
            </w:pPr>
          </w:p>
        </w:tc>
      </w:tr>
      <w:tr>
        <w:trPr>
          <w:trHeight w:val="106"/>
        </w:trPr>
        <w:tc>
          <w:tcPr>
            <w:tcW w:w="4860" w:type="dxa"/>
            <w:vAlign w:val="bottom"/>
            <w:vMerge w:val="restart"/>
          </w:tcPr>
          <w:p>
            <w:pPr>
              <w:ind w:left="220"/>
              <w:spacing w:after="0"/>
              <w:rPr>
                <w:sz w:val="20"/>
                <w:szCs w:val="20"/>
                <w:color w:val="auto"/>
              </w:rPr>
            </w:pPr>
            <w:r>
              <w:rPr>
                <w:rFonts w:ascii="Arial" w:cs="Arial" w:eastAsia="Arial" w:hAnsi="Arial"/>
                <w:sz w:val="17"/>
                <w:szCs w:val="17"/>
                <w:color w:val="3A4967"/>
              </w:rPr>
              <w:t>obligations</w:t>
            </w:r>
          </w:p>
        </w:tc>
        <w:tc>
          <w:tcPr>
            <w:tcW w:w="8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860" w:type="dxa"/>
            <w:vAlign w:val="bottom"/>
          </w:tcPr>
          <w:p>
            <w:pPr>
              <w:ind w:left="220"/>
              <w:spacing w:after="0"/>
              <w:rPr>
                <w:sz w:val="20"/>
                <w:szCs w:val="20"/>
                <w:color w:val="auto"/>
              </w:rPr>
            </w:pPr>
            <w:r>
              <w:rPr>
                <w:rFonts w:ascii="Arial" w:cs="Arial" w:eastAsia="Arial" w:hAnsi="Arial"/>
                <w:sz w:val="17"/>
                <w:szCs w:val="17"/>
                <w:color w:val="3A4967"/>
              </w:rPr>
              <w:t>(Decrease) increase in accounts payable and accrued</w:t>
            </w:r>
          </w:p>
        </w:tc>
        <w:tc>
          <w:tcPr>
            <w:tcW w:w="880" w:type="dxa"/>
            <w:vAlign w:val="bottom"/>
            <w:vMerge w:val="restart"/>
          </w:tcPr>
          <w:p>
            <w:pPr>
              <w:jc w:val="right"/>
              <w:ind w:right="135"/>
              <w:spacing w:after="0"/>
              <w:rPr>
                <w:sz w:val="20"/>
                <w:szCs w:val="20"/>
                <w:color w:val="auto"/>
              </w:rPr>
            </w:pPr>
            <w:r>
              <w:rPr>
                <w:rFonts w:ascii="Arial" w:cs="Arial" w:eastAsia="Arial" w:hAnsi="Arial"/>
                <w:sz w:val="17"/>
                <w:szCs w:val="17"/>
                <w:color w:val="3A4967"/>
              </w:rPr>
              <w:t>$</w:t>
            </w:r>
          </w:p>
        </w:tc>
        <w:tc>
          <w:tcPr>
            <w:tcW w:w="940" w:type="dxa"/>
            <w:vAlign w:val="bottom"/>
            <w:vMerge w:val="restart"/>
          </w:tcPr>
          <w:p>
            <w:pPr>
              <w:jc w:val="right"/>
              <w:ind w:right="15"/>
              <w:spacing w:after="0"/>
              <w:rPr>
                <w:sz w:val="20"/>
                <w:szCs w:val="20"/>
                <w:color w:val="auto"/>
              </w:rPr>
            </w:pPr>
            <w:r>
              <w:rPr>
                <w:rFonts w:ascii="Arial" w:cs="Arial" w:eastAsia="Arial" w:hAnsi="Arial"/>
                <w:sz w:val="17"/>
                <w:szCs w:val="17"/>
                <w:color w:val="3A4967"/>
              </w:rPr>
              <w:t>(3,998)</w:t>
            </w:r>
          </w:p>
        </w:tc>
        <w:tc>
          <w:tcPr>
            <w:tcW w:w="920" w:type="dxa"/>
            <w:vAlign w:val="bottom"/>
            <w:vMerge w:val="restart"/>
          </w:tcPr>
          <w:p>
            <w:pPr>
              <w:jc w:val="right"/>
              <w:ind w:right="55"/>
              <w:spacing w:after="0"/>
              <w:rPr>
                <w:sz w:val="20"/>
                <w:szCs w:val="20"/>
                <w:color w:val="auto"/>
              </w:rPr>
            </w:pPr>
            <w:r>
              <w:rPr>
                <w:rFonts w:ascii="Arial" w:cs="Arial" w:eastAsia="Arial" w:hAnsi="Arial"/>
                <w:sz w:val="17"/>
                <w:szCs w:val="17"/>
                <w:color w:val="3A4967"/>
              </w:rPr>
              <w:t>$</w:t>
            </w:r>
          </w:p>
        </w:tc>
        <w:tc>
          <w:tcPr>
            <w:tcW w:w="880" w:type="dxa"/>
            <w:vAlign w:val="bottom"/>
            <w:vMerge w:val="restart"/>
          </w:tcPr>
          <w:p>
            <w:pPr>
              <w:jc w:val="right"/>
              <w:ind w:right="95"/>
              <w:spacing w:after="0"/>
              <w:rPr>
                <w:sz w:val="20"/>
                <w:szCs w:val="20"/>
                <w:color w:val="auto"/>
              </w:rPr>
            </w:pPr>
            <w:r>
              <w:rPr>
                <w:rFonts w:ascii="Arial" w:cs="Arial" w:eastAsia="Arial" w:hAnsi="Arial"/>
                <w:sz w:val="17"/>
                <w:szCs w:val="17"/>
                <w:color w:val="3A4967"/>
              </w:rPr>
              <w:t>1,107</w:t>
            </w:r>
          </w:p>
        </w:tc>
        <w:tc>
          <w:tcPr>
            <w:tcW w:w="840" w:type="dxa"/>
            <w:vAlign w:val="bottom"/>
            <w:vMerge w:val="restart"/>
          </w:tcPr>
          <w:p>
            <w:pPr>
              <w:jc w:val="right"/>
              <w:ind w:right="136"/>
              <w:spacing w:after="0"/>
              <w:rPr>
                <w:sz w:val="20"/>
                <w:szCs w:val="20"/>
                <w:color w:val="auto"/>
              </w:rPr>
            </w:pPr>
            <w:r>
              <w:rPr>
                <w:rFonts w:ascii="Arial" w:cs="Arial" w:eastAsia="Arial" w:hAnsi="Arial"/>
                <w:sz w:val="17"/>
                <w:szCs w:val="17"/>
                <w:color w:val="3A4967"/>
              </w:rPr>
              <w:t>$</w:t>
            </w:r>
          </w:p>
        </w:tc>
        <w:tc>
          <w:tcPr>
            <w:tcW w:w="840" w:type="dxa"/>
            <w:vAlign w:val="bottom"/>
            <w:vMerge w:val="restart"/>
          </w:tcPr>
          <w:p>
            <w:pPr>
              <w:jc w:val="right"/>
              <w:ind w:right="15"/>
              <w:spacing w:after="0"/>
              <w:rPr>
                <w:sz w:val="20"/>
                <w:szCs w:val="20"/>
                <w:color w:val="auto"/>
              </w:rPr>
            </w:pPr>
            <w:r>
              <w:rPr>
                <w:rFonts w:ascii="Arial" w:cs="Arial" w:eastAsia="Arial" w:hAnsi="Arial"/>
                <w:sz w:val="17"/>
                <w:szCs w:val="17"/>
                <w:color w:val="3A4967"/>
              </w:rPr>
              <w:t>1,045</w:t>
            </w:r>
          </w:p>
        </w:tc>
        <w:tc>
          <w:tcPr>
            <w:tcW w:w="0" w:type="dxa"/>
            <w:vAlign w:val="bottom"/>
          </w:tcPr>
          <w:p>
            <w:pPr>
              <w:spacing w:after="0"/>
              <w:rPr>
                <w:sz w:val="1"/>
                <w:szCs w:val="1"/>
                <w:color w:val="auto"/>
              </w:rPr>
            </w:pPr>
          </w:p>
        </w:tc>
      </w:tr>
      <w:tr>
        <w:trPr>
          <w:trHeight w:val="106"/>
        </w:trPr>
        <w:tc>
          <w:tcPr>
            <w:tcW w:w="4860" w:type="dxa"/>
            <w:vAlign w:val="bottom"/>
            <w:vMerge w:val="restart"/>
          </w:tcPr>
          <w:p>
            <w:pPr>
              <w:ind w:left="220"/>
              <w:spacing w:after="0"/>
              <w:rPr>
                <w:sz w:val="20"/>
                <w:szCs w:val="20"/>
                <w:color w:val="auto"/>
              </w:rPr>
            </w:pPr>
            <w:r>
              <w:rPr>
                <w:rFonts w:ascii="Arial" w:cs="Arial" w:eastAsia="Arial" w:hAnsi="Arial"/>
                <w:sz w:val="17"/>
                <w:szCs w:val="17"/>
                <w:color w:val="3A4967"/>
              </w:rPr>
              <w:t>expenses for purchases of property, plant, and equipment</w:t>
            </w:r>
          </w:p>
        </w:tc>
        <w:tc>
          <w:tcPr>
            <w:tcW w:w="8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860" w:type="dxa"/>
            <w:vAlign w:val="bottom"/>
          </w:tcPr>
          <w:p>
            <w:pPr>
              <w:ind w:left="80"/>
              <w:spacing w:after="0"/>
              <w:rPr>
                <w:sz w:val="20"/>
                <w:szCs w:val="20"/>
                <w:color w:val="auto"/>
              </w:rPr>
            </w:pPr>
            <w:r>
              <w:rPr>
                <w:rFonts w:ascii="Arial" w:cs="Arial" w:eastAsia="Arial" w:hAnsi="Arial"/>
                <w:sz w:val="17"/>
                <w:szCs w:val="17"/>
                <w:color w:val="3A4967"/>
              </w:rPr>
              <w:t>Non-cash financing activity – increase in accrued excise taxes</w:t>
            </w:r>
          </w:p>
        </w:tc>
        <w:tc>
          <w:tcPr>
            <w:tcW w:w="880" w:type="dxa"/>
            <w:vAlign w:val="bottom"/>
            <w:vMerge w:val="restart"/>
          </w:tcPr>
          <w:p>
            <w:pPr>
              <w:jc w:val="right"/>
              <w:ind w:right="135"/>
              <w:spacing w:after="0"/>
              <w:rPr>
                <w:sz w:val="20"/>
                <w:szCs w:val="20"/>
                <w:color w:val="auto"/>
              </w:rPr>
            </w:pPr>
            <w:r>
              <w:rPr>
                <w:rFonts w:ascii="Arial" w:cs="Arial" w:eastAsia="Arial" w:hAnsi="Arial"/>
                <w:sz w:val="17"/>
                <w:szCs w:val="17"/>
                <w:color w:val="3A4967"/>
              </w:rPr>
              <w:t>$</w:t>
            </w:r>
          </w:p>
        </w:tc>
        <w:tc>
          <w:tcPr>
            <w:tcW w:w="940" w:type="dxa"/>
            <w:vAlign w:val="bottom"/>
            <w:vMerge w:val="restart"/>
          </w:tcPr>
          <w:p>
            <w:pPr>
              <w:jc w:val="right"/>
              <w:ind w:right="55"/>
              <w:spacing w:after="0"/>
              <w:rPr>
                <w:sz w:val="20"/>
                <w:szCs w:val="20"/>
                <w:color w:val="auto"/>
              </w:rPr>
            </w:pPr>
            <w:r>
              <w:rPr>
                <w:rFonts w:ascii="Arial" w:cs="Arial" w:eastAsia="Arial" w:hAnsi="Arial"/>
                <w:sz w:val="17"/>
                <w:szCs w:val="17"/>
                <w:color w:val="3A4967"/>
              </w:rPr>
              <w:t>1,364</w:t>
            </w:r>
          </w:p>
        </w:tc>
        <w:tc>
          <w:tcPr>
            <w:tcW w:w="920" w:type="dxa"/>
            <w:vAlign w:val="bottom"/>
            <w:vMerge w:val="restart"/>
          </w:tcPr>
          <w:p>
            <w:pPr>
              <w:jc w:val="right"/>
              <w:ind w:right="55"/>
              <w:spacing w:after="0"/>
              <w:rPr>
                <w:sz w:val="20"/>
                <w:szCs w:val="20"/>
                <w:color w:val="auto"/>
              </w:rPr>
            </w:pPr>
            <w:r>
              <w:rPr>
                <w:rFonts w:ascii="Arial" w:cs="Arial" w:eastAsia="Arial" w:hAnsi="Arial"/>
                <w:sz w:val="17"/>
                <w:szCs w:val="17"/>
                <w:color w:val="3A4967"/>
              </w:rPr>
              <w:t>$</w:t>
            </w:r>
          </w:p>
        </w:tc>
        <w:tc>
          <w:tcPr>
            <w:tcW w:w="880" w:type="dxa"/>
            <w:vAlign w:val="bottom"/>
            <w:vMerge w:val="restart"/>
          </w:tcPr>
          <w:p>
            <w:pPr>
              <w:jc w:val="right"/>
              <w:ind w:right="95"/>
              <w:spacing w:after="0"/>
              <w:rPr>
                <w:sz w:val="20"/>
                <w:szCs w:val="20"/>
                <w:color w:val="auto"/>
              </w:rPr>
            </w:pPr>
            <w:r>
              <w:rPr>
                <w:rFonts w:ascii="Arial" w:cs="Arial" w:eastAsia="Arial" w:hAnsi="Arial"/>
                <w:sz w:val="17"/>
                <w:szCs w:val="17"/>
                <w:color w:val="3A4967"/>
              </w:rPr>
              <w:t>929</w:t>
            </w:r>
          </w:p>
        </w:tc>
        <w:tc>
          <w:tcPr>
            <w:tcW w:w="840" w:type="dxa"/>
            <w:vAlign w:val="bottom"/>
            <w:vMerge w:val="restart"/>
          </w:tcPr>
          <w:p>
            <w:pPr>
              <w:jc w:val="right"/>
              <w:ind w:right="136"/>
              <w:spacing w:after="0"/>
              <w:rPr>
                <w:sz w:val="20"/>
                <w:szCs w:val="20"/>
                <w:color w:val="auto"/>
              </w:rPr>
            </w:pPr>
            <w:r>
              <w:rPr>
                <w:rFonts w:ascii="Arial" w:cs="Arial" w:eastAsia="Arial" w:hAnsi="Arial"/>
                <w:sz w:val="17"/>
                <w:szCs w:val="17"/>
                <w:color w:val="3A4967"/>
              </w:rPr>
              <w:t>$</w:t>
            </w:r>
          </w:p>
        </w:tc>
        <w:tc>
          <w:tcPr>
            <w:tcW w:w="840" w:type="dxa"/>
            <w:vAlign w:val="bottom"/>
            <w:vMerge w:val="restart"/>
          </w:tcPr>
          <w:p>
            <w:pPr>
              <w:jc w:val="right"/>
              <w:ind w:right="15"/>
              <w:spacing w:after="0"/>
              <w:rPr>
                <w:sz w:val="20"/>
                <w:szCs w:val="20"/>
                <w:color w:val="auto"/>
              </w:rPr>
            </w:pPr>
            <w:r>
              <w:rPr>
                <w:rFonts w:ascii="Arial" w:cs="Arial" w:eastAsia="Arial" w:hAnsi="Arial"/>
                <w:sz w:val="17"/>
                <w:szCs w:val="17"/>
                <w:color w:val="3A4967"/>
              </w:rPr>
              <w:t>—</w:t>
            </w:r>
          </w:p>
        </w:tc>
        <w:tc>
          <w:tcPr>
            <w:tcW w:w="0" w:type="dxa"/>
            <w:vAlign w:val="bottom"/>
          </w:tcPr>
          <w:p>
            <w:pPr>
              <w:spacing w:after="0"/>
              <w:rPr>
                <w:sz w:val="1"/>
                <w:szCs w:val="1"/>
                <w:color w:val="auto"/>
              </w:rPr>
            </w:pPr>
          </w:p>
        </w:tc>
      </w:tr>
      <w:tr>
        <w:trPr>
          <w:trHeight w:val="104"/>
        </w:trPr>
        <w:tc>
          <w:tcPr>
            <w:tcW w:w="4860" w:type="dxa"/>
            <w:vAlign w:val="bottom"/>
            <w:vMerge w:val="restart"/>
          </w:tcPr>
          <w:p>
            <w:pPr>
              <w:ind w:left="80"/>
              <w:spacing w:after="0"/>
              <w:rPr>
                <w:sz w:val="20"/>
                <w:szCs w:val="20"/>
                <w:color w:val="auto"/>
              </w:rPr>
            </w:pPr>
            <w:r>
              <w:rPr>
                <w:rFonts w:ascii="Arial" w:cs="Arial" w:eastAsia="Arial" w:hAnsi="Arial"/>
                <w:sz w:val="17"/>
                <w:szCs w:val="17"/>
                <w:color w:val="3A4967"/>
              </w:rPr>
              <w:t>on share repurchases</w:t>
            </w:r>
          </w:p>
        </w:tc>
        <w:tc>
          <w:tcPr>
            <w:tcW w:w="8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8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486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92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4860" w:type="dxa"/>
            <w:vAlign w:val="bottom"/>
          </w:tcPr>
          <w:p>
            <w:pPr>
              <w:ind w:left="80"/>
              <w:spacing w:after="0"/>
              <w:rPr>
                <w:sz w:val="20"/>
                <w:szCs w:val="20"/>
                <w:color w:val="auto"/>
              </w:rPr>
            </w:pPr>
            <w:r>
              <w:rPr>
                <w:rFonts w:ascii="Arial" w:cs="Arial" w:eastAsia="Arial" w:hAnsi="Arial"/>
                <w:sz w:val="17"/>
                <w:szCs w:val="17"/>
                <w:color w:val="3A4967"/>
                <w:w w:val="98"/>
              </w:rPr>
              <w:t>Non-cash investing activity – reduction in accrued expenses and</w:t>
            </w:r>
          </w:p>
        </w:tc>
        <w:tc>
          <w:tcPr>
            <w:tcW w:w="880" w:type="dxa"/>
            <w:vAlign w:val="bottom"/>
            <w:vMerge w:val="restart"/>
          </w:tcPr>
          <w:p>
            <w:pPr>
              <w:jc w:val="right"/>
              <w:ind w:right="135"/>
              <w:spacing w:after="0"/>
              <w:rPr>
                <w:sz w:val="20"/>
                <w:szCs w:val="20"/>
                <w:color w:val="auto"/>
              </w:rPr>
            </w:pPr>
            <w:r>
              <w:rPr>
                <w:rFonts w:ascii="Arial" w:cs="Arial" w:eastAsia="Arial" w:hAnsi="Arial"/>
                <w:sz w:val="17"/>
                <w:szCs w:val="17"/>
                <w:color w:val="3A4967"/>
              </w:rPr>
              <w:t>$</w:t>
            </w:r>
          </w:p>
        </w:tc>
        <w:tc>
          <w:tcPr>
            <w:tcW w:w="940" w:type="dxa"/>
            <w:vAlign w:val="bottom"/>
            <w:vMerge w:val="restart"/>
          </w:tcPr>
          <w:p>
            <w:pPr>
              <w:jc w:val="right"/>
              <w:ind w:right="55"/>
              <w:spacing w:after="0"/>
              <w:rPr>
                <w:sz w:val="20"/>
                <w:szCs w:val="20"/>
                <w:color w:val="auto"/>
              </w:rPr>
            </w:pPr>
            <w:r>
              <w:rPr>
                <w:rFonts w:ascii="Arial" w:cs="Arial" w:eastAsia="Arial" w:hAnsi="Arial"/>
                <w:sz w:val="17"/>
                <w:szCs w:val="17"/>
                <w:color w:val="3A4967"/>
              </w:rPr>
              <w:t>2,423</w:t>
            </w:r>
          </w:p>
        </w:tc>
        <w:tc>
          <w:tcPr>
            <w:tcW w:w="920" w:type="dxa"/>
            <w:vAlign w:val="bottom"/>
            <w:vMerge w:val="restart"/>
          </w:tcPr>
          <w:p>
            <w:pPr>
              <w:jc w:val="right"/>
              <w:ind w:right="55"/>
              <w:spacing w:after="0"/>
              <w:rPr>
                <w:sz w:val="20"/>
                <w:szCs w:val="20"/>
                <w:color w:val="auto"/>
              </w:rPr>
            </w:pPr>
            <w:r>
              <w:rPr>
                <w:rFonts w:ascii="Arial" w:cs="Arial" w:eastAsia="Arial" w:hAnsi="Arial"/>
                <w:sz w:val="17"/>
                <w:szCs w:val="17"/>
                <w:color w:val="3A4967"/>
              </w:rPr>
              <w:t>$</w:t>
            </w:r>
          </w:p>
        </w:tc>
        <w:tc>
          <w:tcPr>
            <w:tcW w:w="880" w:type="dxa"/>
            <w:vAlign w:val="bottom"/>
            <w:vMerge w:val="restart"/>
          </w:tcPr>
          <w:p>
            <w:pPr>
              <w:jc w:val="right"/>
              <w:ind w:right="95"/>
              <w:spacing w:after="0"/>
              <w:rPr>
                <w:sz w:val="20"/>
                <w:szCs w:val="20"/>
                <w:color w:val="auto"/>
              </w:rPr>
            </w:pPr>
            <w:r>
              <w:rPr>
                <w:rFonts w:ascii="Arial" w:cs="Arial" w:eastAsia="Arial" w:hAnsi="Arial"/>
                <w:sz w:val="17"/>
                <w:szCs w:val="17"/>
                <w:color w:val="3A4967"/>
              </w:rPr>
              <w:t>—</w:t>
            </w:r>
          </w:p>
        </w:tc>
        <w:tc>
          <w:tcPr>
            <w:tcW w:w="840" w:type="dxa"/>
            <w:vAlign w:val="bottom"/>
            <w:vMerge w:val="restart"/>
          </w:tcPr>
          <w:p>
            <w:pPr>
              <w:jc w:val="right"/>
              <w:ind w:right="136"/>
              <w:spacing w:after="0"/>
              <w:rPr>
                <w:sz w:val="20"/>
                <w:szCs w:val="20"/>
                <w:color w:val="auto"/>
              </w:rPr>
            </w:pPr>
            <w:r>
              <w:rPr>
                <w:rFonts w:ascii="Arial" w:cs="Arial" w:eastAsia="Arial" w:hAnsi="Arial"/>
                <w:sz w:val="17"/>
                <w:szCs w:val="17"/>
                <w:color w:val="3A4967"/>
              </w:rPr>
              <w:t>$</w:t>
            </w:r>
          </w:p>
        </w:tc>
        <w:tc>
          <w:tcPr>
            <w:tcW w:w="840" w:type="dxa"/>
            <w:vAlign w:val="bottom"/>
            <w:vMerge w:val="restart"/>
          </w:tcPr>
          <w:p>
            <w:pPr>
              <w:jc w:val="right"/>
              <w:ind w:right="15"/>
              <w:spacing w:after="0"/>
              <w:rPr>
                <w:sz w:val="20"/>
                <w:szCs w:val="20"/>
                <w:color w:val="auto"/>
              </w:rPr>
            </w:pPr>
            <w:r>
              <w:rPr>
                <w:rFonts w:ascii="Arial" w:cs="Arial" w:eastAsia="Arial" w:hAnsi="Arial"/>
                <w:sz w:val="17"/>
                <w:szCs w:val="17"/>
                <w:color w:val="3A4967"/>
              </w:rPr>
              <w:t>—</w:t>
            </w:r>
          </w:p>
        </w:tc>
        <w:tc>
          <w:tcPr>
            <w:tcW w:w="0" w:type="dxa"/>
            <w:vAlign w:val="bottom"/>
          </w:tcPr>
          <w:p>
            <w:pPr>
              <w:spacing w:after="0"/>
              <w:rPr>
                <w:sz w:val="1"/>
                <w:szCs w:val="1"/>
                <w:color w:val="auto"/>
              </w:rPr>
            </w:pPr>
          </w:p>
        </w:tc>
      </w:tr>
      <w:tr>
        <w:trPr>
          <w:trHeight w:val="106"/>
        </w:trPr>
        <w:tc>
          <w:tcPr>
            <w:tcW w:w="4860" w:type="dxa"/>
            <w:vAlign w:val="bottom"/>
            <w:vMerge w:val="restart"/>
          </w:tcPr>
          <w:p>
            <w:pPr>
              <w:ind w:left="80"/>
              <w:spacing w:after="0"/>
              <w:rPr>
                <w:sz w:val="20"/>
                <w:szCs w:val="20"/>
                <w:color w:val="auto"/>
              </w:rPr>
            </w:pPr>
            <w:r>
              <w:rPr>
                <w:rFonts w:ascii="Arial" w:cs="Arial" w:eastAsia="Arial" w:hAnsi="Arial"/>
                <w:sz w:val="17"/>
                <w:szCs w:val="17"/>
                <w:color w:val="3A4967"/>
              </w:rPr>
              <w:t>notes receivable</w:t>
            </w:r>
          </w:p>
        </w:tc>
        <w:tc>
          <w:tcPr>
            <w:tcW w:w="8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486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92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-2623185</wp:posOffset>
            </wp:positionV>
            <wp:extent cx="6472555" cy="26282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472555" cy="2628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3A4967"/>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232410</wp:posOffset>
            </wp:positionV>
            <wp:extent cx="2584450" cy="1917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49" w:name="page50"/>
    <w:bookmarkEnd w:id="49"/>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right="1420"/>
        <w:spacing w:after="0" w:line="269" w:lineRule="auto"/>
        <w:rPr>
          <w:sz w:val="20"/>
          <w:szCs w:val="20"/>
          <w:color w:val="auto"/>
        </w:rPr>
      </w:pPr>
      <w:r>
        <w:rPr>
          <w:rFonts w:ascii="Arial" w:cs="Arial" w:eastAsia="Arial" w:hAnsi="Arial"/>
          <w:sz w:val="26"/>
          <w:szCs w:val="26"/>
          <w:b w:val="1"/>
          <w:bCs w:val="1"/>
          <w:color w:val="3A4967"/>
        </w:rPr>
        <w:t>THE BOSTON BEER COMPANY, INC. AND SUBSIDIARIES NOTES TO CONSOLIDATED FINANCIAL STATEMENTS December 28, 2024</w:t>
      </w:r>
    </w:p>
    <w:p>
      <w:pPr>
        <w:sectPr>
          <w:pgSz w:w="11880" w:h="15481" w:orient="portrait"/>
          <w:cols w:equalWidth="0" w:num="1">
            <w:col w:w="10580"/>
          </w:cols>
          <w:pgMar w:left="460" w:top="579" w:right="841" w:bottom="0" w:gutter="0" w:footer="0" w:header="0"/>
        </w:sectPr>
      </w:pPr>
    </w:p>
    <w:p>
      <w:pPr>
        <w:spacing w:after="0" w:line="229"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6D7890"/>
        </w:rPr>
        <w:t>A. Organization and Basis of Presentation</w:t>
      </w:r>
    </w:p>
    <w:p>
      <w:pPr>
        <w:spacing w:after="0" w:line="114" w:lineRule="exact"/>
        <w:rPr>
          <w:sz w:val="20"/>
          <w:szCs w:val="20"/>
          <w:color w:val="auto"/>
        </w:rPr>
      </w:pPr>
    </w:p>
    <w:p>
      <w:pPr>
        <w:jc w:val="both"/>
        <w:ind w:left="400"/>
        <w:spacing w:after="0" w:line="252" w:lineRule="auto"/>
        <w:rPr>
          <w:sz w:val="20"/>
          <w:szCs w:val="20"/>
          <w:color w:val="auto"/>
        </w:rPr>
      </w:pPr>
      <w:r>
        <w:rPr>
          <w:rFonts w:ascii="Arial" w:cs="Arial" w:eastAsia="Arial" w:hAnsi="Arial"/>
          <w:sz w:val="18"/>
          <w:szCs w:val="18"/>
          <w:color w:val="3A4967"/>
        </w:rPr>
        <w:t>The Boston Beer Company, Inc. and certain subsidiaries (the “Company”) are engaged in the business of selling alcohol beverages throughout the United States and in selected international markets, under the trademarks “The Boston Beer Company</w:t>
      </w:r>
      <w:r>
        <w:rPr>
          <w:rFonts w:ascii="Arial" w:cs="Arial" w:eastAsia="Arial" w:hAnsi="Arial"/>
          <w:sz w:val="10"/>
          <w:szCs w:val="10"/>
          <w:color w:val="3A4967"/>
        </w:rPr>
        <w:t>®</w:t>
      </w:r>
      <w:r>
        <w:rPr>
          <w:rFonts w:ascii="Arial" w:cs="Arial" w:eastAsia="Arial" w:hAnsi="Arial"/>
          <w:sz w:val="18"/>
          <w:szCs w:val="18"/>
          <w:color w:val="3A4967"/>
        </w:rPr>
        <w:t>”, “Twisted Tea Brewing Company</w:t>
      </w:r>
      <w:r>
        <w:rPr>
          <w:rFonts w:ascii="Arial" w:cs="Arial" w:eastAsia="Arial" w:hAnsi="Arial"/>
          <w:sz w:val="10"/>
          <w:szCs w:val="10"/>
          <w:color w:val="3A4967"/>
        </w:rPr>
        <w:t>®</w:t>
      </w:r>
      <w:r>
        <w:rPr>
          <w:rFonts w:ascii="Arial" w:cs="Arial" w:eastAsia="Arial" w:hAnsi="Arial"/>
          <w:sz w:val="18"/>
          <w:szCs w:val="18"/>
          <w:color w:val="3A4967"/>
        </w:rPr>
        <w:t>”, “Hard Seltzer Beverage Company”, “Angry Orchard</w:t>
      </w:r>
      <w:r>
        <w:rPr>
          <w:rFonts w:ascii="Arial" w:cs="Arial" w:eastAsia="Arial" w:hAnsi="Arial"/>
          <w:sz w:val="10"/>
          <w:szCs w:val="10"/>
          <w:color w:val="3A4967"/>
        </w:rPr>
        <w:t>®</w:t>
      </w:r>
      <w:r>
        <w:rPr>
          <w:rFonts w:ascii="Arial" w:cs="Arial" w:eastAsia="Arial" w:hAnsi="Arial"/>
          <w:sz w:val="18"/>
          <w:szCs w:val="18"/>
          <w:color w:val="3A4967"/>
        </w:rPr>
        <w:t xml:space="preserve"> Cider Company”, “Dogfish Head</w:t>
      </w:r>
      <w:r>
        <w:rPr>
          <w:rFonts w:ascii="Arial" w:cs="Arial" w:eastAsia="Arial" w:hAnsi="Arial"/>
          <w:sz w:val="10"/>
          <w:szCs w:val="10"/>
          <w:color w:val="3A4967"/>
        </w:rPr>
        <w:t>®</w:t>
      </w:r>
      <w:r>
        <w:rPr>
          <w:rFonts w:ascii="Arial" w:cs="Arial" w:eastAsia="Arial" w:hAnsi="Arial"/>
          <w:sz w:val="18"/>
          <w:szCs w:val="18"/>
          <w:color w:val="3A4967"/>
        </w:rPr>
        <w:t xml:space="preserve"> Craft Brewery”, “Dogfish Head Distilling Co.”, “Angel City</w:t>
      </w:r>
      <w:r>
        <w:rPr>
          <w:rFonts w:ascii="Arial" w:cs="Arial" w:eastAsia="Arial" w:hAnsi="Arial"/>
          <w:sz w:val="10"/>
          <w:szCs w:val="10"/>
          <w:color w:val="3A4967"/>
        </w:rPr>
        <w:t>®</w:t>
      </w:r>
      <w:r>
        <w:rPr>
          <w:rFonts w:ascii="Arial" w:cs="Arial" w:eastAsia="Arial" w:hAnsi="Arial"/>
          <w:sz w:val="18"/>
          <w:szCs w:val="18"/>
          <w:color w:val="3A4967"/>
        </w:rPr>
        <w:t xml:space="preserve"> Brewing Company”, “Coney Island</w:t>
      </w:r>
      <w:r>
        <w:rPr>
          <w:rFonts w:ascii="Arial" w:cs="Arial" w:eastAsia="Arial" w:hAnsi="Arial"/>
          <w:sz w:val="10"/>
          <w:szCs w:val="10"/>
          <w:color w:val="3A4967"/>
        </w:rPr>
        <w:t>®</w:t>
      </w:r>
      <w:r>
        <w:rPr>
          <w:rFonts w:ascii="Arial" w:cs="Arial" w:eastAsia="Arial" w:hAnsi="Arial"/>
          <w:sz w:val="18"/>
          <w:szCs w:val="18"/>
          <w:color w:val="3A4967"/>
        </w:rPr>
        <w:t xml:space="preserve"> Brewing Company”, “Green Rebel Brewing Co.”,“TeaPot Worldwide”, and “Sun Cruiser Beverage Co.”.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60"/>
        <w:spacing w:after="0" w:line="269" w:lineRule="auto"/>
        <w:rPr>
          <w:sz w:val="20"/>
          <w:szCs w:val="20"/>
          <w:color w:val="auto"/>
        </w:rPr>
      </w:pPr>
      <w:r>
        <w:rPr>
          <w:rFonts w:ascii="Arial" w:cs="Arial" w:eastAsia="Arial" w:hAnsi="Arial"/>
          <w:sz w:val="20"/>
          <w:szCs w:val="20"/>
          <w:b w:val="1"/>
          <w:bCs w:val="1"/>
          <w:color w:val="3A4967"/>
        </w:rPr>
        <w:t>Accounts Receivable and Allowance for Credit Losses</w:t>
      </w:r>
    </w:p>
    <w:p>
      <w:pPr>
        <w:spacing w:after="0" w:line="7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The Company’s accounts receivable primarily consist of trade receivables. The Company records an allowance for credit losses that is based on historical trends, customer knowledge, any known disputes, and the aging of the accounts receivable balances combined with management’s estimate of future potential recoverability. Receivables are written off against the allowance after all attempts to collect a receivable have failed. The Company believes its allowances for credit losses as of December 28, 2024 and December 30, 2023 are adequate, but actual losses could exceed the recorded allowance.</w:t>
      </w:r>
    </w:p>
    <w:p>
      <w:pPr>
        <w:spacing w:after="0" w:line="7"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ind w:left="680" w:right="740" w:hanging="297"/>
        <w:spacing w:after="0" w:line="269" w:lineRule="auto"/>
        <w:rPr>
          <w:sz w:val="20"/>
          <w:szCs w:val="20"/>
          <w:color w:val="auto"/>
        </w:rPr>
      </w:pPr>
      <w:r>
        <w:rPr>
          <w:rFonts w:ascii="Arial" w:cs="Arial" w:eastAsia="Arial" w:hAnsi="Arial"/>
          <w:sz w:val="22"/>
          <w:szCs w:val="22"/>
          <w:b w:val="1"/>
          <w:bCs w:val="1"/>
          <w:color w:val="6D7890"/>
        </w:rPr>
        <w:t>B. Summary of Significant Accounting Policies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Fiscal Year</w:t>
      </w:r>
    </w:p>
    <w:p>
      <w:pPr>
        <w:spacing w:after="0" w:line="118"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3A4967"/>
        </w:rPr>
        <w:t>The Company’s fiscal year is a fifty-two or fifty-three-week period ending on the last Saturday in December. The 2024 and 2023 fiscal years consisted of fifty-two weeks, while the 2022 fiscal year consisted of fifty-three weeks.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Principles of Consolidation</w:t>
      </w:r>
    </w:p>
    <w:p>
      <w:pPr>
        <w:spacing w:after="0" w:line="118"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3A4967"/>
        </w:rPr>
        <w:t>The accompanying consolidated financial statements include the accounts of the Company and its subsidiaries, all of which are wholly-owned. All intercompany transactions and balances have been eliminated in consolidation.</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Use of Estimates</w:t>
      </w:r>
    </w:p>
    <w:p>
      <w:pPr>
        <w:spacing w:after="0" w:line="118" w:lineRule="exact"/>
        <w:rPr>
          <w:sz w:val="20"/>
          <w:szCs w:val="20"/>
          <w:color w:val="auto"/>
        </w:rPr>
      </w:pPr>
    </w:p>
    <w:p>
      <w:pPr>
        <w:jc w:val="both"/>
        <w:ind w:left="400"/>
        <w:spacing w:after="0" w:line="286" w:lineRule="auto"/>
        <w:rPr>
          <w:sz w:val="20"/>
          <w:szCs w:val="20"/>
          <w:color w:val="auto"/>
        </w:rPr>
      </w:pPr>
      <w:r>
        <w:rPr>
          <w:rFonts w:ascii="Arial" w:cs="Arial" w:eastAsia="Arial" w:hAnsi="Arial"/>
          <w:sz w:val="16"/>
          <w:szCs w:val="16"/>
          <w:color w:val="3A4967"/>
        </w:rPr>
        <w:t>The preparation of condensed consolidated financial statements in conformity with United States generally accepted accounting principles (“GAAP”) requires management to make estimates and assumptions that affect the reported amounts of assets and liabilities during the reporting periods, the reported amounts of revenue and expenses during the reporting periods and the disclosure of contingent assets and liabilities at the date of the financial statements. On an ongoing basis, the Company bases estimates and assumptions on historical experience, currently available information, and various other factors that management believes to be reasonable under the circumstances. Actual results may differ materially from these estimates and assumptions.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Cash and Cash Equivalents</w:t>
      </w:r>
    </w:p>
    <w:p>
      <w:pPr>
        <w:spacing w:after="0" w:line="118" w:lineRule="exact"/>
        <w:rPr>
          <w:sz w:val="20"/>
          <w:szCs w:val="20"/>
          <w:color w:val="auto"/>
        </w:rPr>
      </w:pPr>
    </w:p>
    <w:p>
      <w:pPr>
        <w:jc w:val="both"/>
        <w:ind w:left="400"/>
        <w:spacing w:after="0" w:line="276" w:lineRule="auto"/>
        <w:rPr>
          <w:sz w:val="20"/>
          <w:szCs w:val="20"/>
          <w:color w:val="auto"/>
        </w:rPr>
      </w:pPr>
      <w:r>
        <w:rPr>
          <w:rFonts w:ascii="Arial" w:cs="Arial" w:eastAsia="Arial" w:hAnsi="Arial"/>
          <w:sz w:val="17"/>
          <w:szCs w:val="17"/>
          <w:color w:val="3A4967"/>
        </w:rPr>
        <w:t>Cash and cash equivalents at December 28, 2024 and December 30, 2023 included cash on-hand and money market instruments that are highly liquid investments. Cash and cash equivalents are carried at cost, which approximates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882650</wp:posOffset>
            </wp:positionV>
            <wp:extent cx="2584450" cy="1917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Concentrations of Credit Risk</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Financial instruments that potentially subject the Company to concentrations of credit risk consist principally of cash equivalents, and trade receivables. The Company places its cash equivalents with high credit quality financial institutions. As of December 28, 2024 and December 30, 2023, the Company’s cash and cash equivalents were primarily invested in a “Triple A” rated money market fund.</w:t>
      </w:r>
    </w:p>
    <w:p>
      <w:pPr>
        <w:spacing w:after="0" w:line="9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3A4967"/>
        </w:rPr>
        <w:t>The Company sells primarily to a network of independent wholesalers in the United States and to a network of foreign wholesalers, importers or other agencies (collectively referred to as “Distributors”). In 2024, 2023, and 2022, sales to foreign Distributors were approximately 5%, 4%, 4%, respectively of total sales. Receivables arising from the Company’s sales are not collateralized; however, credit risk is minimized as a result of the large and diverse nature of the Company’s customer base. There were no individual customer accounts receivable balances outstanding at December 28, 2024 or December 30, 2023 that were in excess of 10% of the gross accounts receivable balance on those dates. No individual customers represented more than 10% of the Company’s revenues in fiscal years 2024, 2023, or 2022.</w:t>
      </w:r>
    </w:p>
    <w:p>
      <w:pPr>
        <w:spacing w:after="0" w:line="200"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b w:val="1"/>
          <w:bCs w:val="1"/>
          <w:color w:val="3A4967"/>
        </w:rPr>
        <w:t>Financial Instruments and Fair Value of Financial Instruments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The Company’s primary financial instruments at December 28, 2024 and December 30, 2023 consisted of cash equivalents, accounts receivable, and accounts payable. The Company determines the fair value of its financial assets and liabilities in accordance with Financial Accounting Standards Board (“FASB”) Accounting Standards Codification (“ASC”) Topic 820, Fair Value Measurements and Disclosures (“ASC 820”). The Company believes that the carrying amount of its cash equivalents, accounts receivable, and accounts payable approximates fair value due to the short-term nature of these assets and liabilities. The Company is not exposed to significant interest, currency or credit risks arising from these financial assets and liabilities.</w:t>
      </w:r>
    </w:p>
    <w:p>
      <w:pPr>
        <w:spacing w:after="0" w:line="200"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40</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50" w:name="page51"/>
    <w:bookmarkEnd w:id="50"/>
    <w:p>
      <w:pPr>
        <w:ind w:left="96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69" w:lineRule="auto"/>
        <w:rPr>
          <w:sz w:val="20"/>
          <w:szCs w:val="20"/>
          <w:color w:val="auto"/>
        </w:rPr>
      </w:pPr>
      <w:r>
        <w:rPr>
          <w:rFonts w:ascii="Arial" w:cs="Arial" w:eastAsia="Arial" w:hAnsi="Arial"/>
          <w:sz w:val="20"/>
          <w:szCs w:val="20"/>
          <w:b w:val="1"/>
          <w:bCs w:val="1"/>
          <w:color w:val="3A4967"/>
        </w:rPr>
        <w:t>Inventories and Provision for Excess or Expired Inventory</w:t>
      </w:r>
    </w:p>
    <w:p>
      <w:pPr>
        <w:spacing w:after="0" w:line="7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Inventories consist of raw materials and packaging materials, work in process and finished goods. Raw materials, which principally consist of flavorings, hops, malt, fruit juices, other brewing materials and packaging, are stated at the lower of cost (first-in, first-out basis) or net realizable value. The Company’s goal is to maintain on-hand a supply of approximately two years for essential hop varieties, in order to limit the risk of an unexpected reduction in supply. Inventories are generally classified as current assets. The Company classifies hops inventory in excess of two years of forecasted usage in other long-term assets. The cost elements of work in process and finished goods inventory consist of raw materials, direct labor and manufacturing overhead. Packaging design costs are expensed as incurred. The Company enters into multi-year purchase commitments in order to secure adequate supply of ingredients and packaging, to brew and package its products.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The provisions for excess or expired inventory are based on management’s estimates of forecasted usage of inventories on hand. Forecasting usage involves significant judgments regarding future demand for the Company’s various existing products and products under development as well as the potency and shelf-life of various raw material ingredients and finished goods. A significant change in the timing or level of demand for certain products as compared to forecasted amounts may result in recording additional provisions for excess or expired inventory in the future. Provision for excess or expired inventory included in cost of goods sold was $21.9 million, $19.3 million, and $35.9 million in fiscal years 2024, 2023, and 2022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Property, Plant and Equipment</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3A4967"/>
        </w:rPr>
        <w:t>Property, plant, and equipment are stated at cost or fair value as of the date of acquisition. Expenditures for repairs and maintenance are expensed as incurred. Major renewals and betterments that extend the life of the property are capitalized. Depreciation is computed using the straight-line method based upon the estimated useful lives of the underlying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67945</wp:posOffset>
            </wp:positionV>
            <wp:extent cx="3139440" cy="1170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139440" cy="117030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60" w:type="dxa"/>
            <w:vAlign w:val="bottom"/>
            <w:tcBorders>
              <w:top w:val="single" w:sz="8" w:color="3A4967"/>
            </w:tcBorders>
          </w:tcPr>
          <w:p>
            <w:pPr>
              <w:ind w:left="80"/>
              <w:spacing w:after="0"/>
              <w:rPr>
                <w:sz w:val="20"/>
                <w:szCs w:val="20"/>
                <w:color w:val="auto"/>
              </w:rPr>
            </w:pPr>
            <w:r>
              <w:rPr>
                <w:rFonts w:ascii="Arial" w:cs="Arial" w:eastAsia="Arial" w:hAnsi="Arial"/>
                <w:sz w:val="17"/>
                <w:szCs w:val="17"/>
                <w:color w:val="3A4967"/>
              </w:rPr>
              <w:t>Kegs</w:t>
            </w:r>
          </w:p>
        </w:tc>
        <w:tc>
          <w:tcPr>
            <w:tcW w:w="2460" w:type="dxa"/>
            <w:vAlign w:val="bottom"/>
            <w:tcBorders>
              <w:top w:val="single" w:sz="8" w:color="3A4967"/>
            </w:tcBorders>
          </w:tcPr>
          <w:p>
            <w:pPr>
              <w:ind w:left="80"/>
              <w:spacing w:after="0"/>
              <w:rPr>
                <w:sz w:val="20"/>
                <w:szCs w:val="20"/>
                <w:color w:val="auto"/>
              </w:rPr>
            </w:pPr>
            <w:r>
              <w:rPr>
                <w:rFonts w:ascii="Arial" w:cs="Arial" w:eastAsia="Arial" w:hAnsi="Arial"/>
                <w:sz w:val="17"/>
                <w:szCs w:val="17"/>
                <w:color w:val="3A4967"/>
              </w:rPr>
              <w:t>5 years</w:t>
            </w:r>
          </w:p>
        </w:tc>
      </w:tr>
      <w:tr>
        <w:trPr>
          <w:trHeight w:val="237"/>
        </w:trPr>
        <w:tc>
          <w:tcPr>
            <w:tcW w:w="2460" w:type="dxa"/>
            <w:vAlign w:val="bottom"/>
          </w:tcPr>
          <w:p>
            <w:pPr>
              <w:ind w:left="80"/>
              <w:spacing w:after="0"/>
              <w:rPr>
                <w:sz w:val="20"/>
                <w:szCs w:val="20"/>
                <w:color w:val="auto"/>
              </w:rPr>
            </w:pPr>
            <w:r>
              <w:rPr>
                <w:rFonts w:ascii="Arial" w:cs="Arial" w:eastAsia="Arial" w:hAnsi="Arial"/>
                <w:sz w:val="17"/>
                <w:szCs w:val="17"/>
                <w:color w:val="3A4967"/>
              </w:rPr>
              <w:t>Computer software and</w:t>
            </w:r>
          </w:p>
        </w:tc>
        <w:tc>
          <w:tcPr>
            <w:tcW w:w="2460" w:type="dxa"/>
            <w:vAlign w:val="bottom"/>
          </w:tcPr>
          <w:p>
            <w:pPr>
              <w:ind w:left="80"/>
              <w:spacing w:after="0"/>
              <w:rPr>
                <w:sz w:val="20"/>
                <w:szCs w:val="20"/>
                <w:color w:val="auto"/>
              </w:rPr>
            </w:pPr>
            <w:r>
              <w:rPr>
                <w:rFonts w:ascii="Arial" w:cs="Arial" w:eastAsia="Arial" w:hAnsi="Arial"/>
                <w:sz w:val="17"/>
                <w:szCs w:val="17"/>
                <w:color w:val="3A4967"/>
              </w:rPr>
              <w:t>2 to 5 years</w:t>
            </w:r>
          </w:p>
        </w:tc>
      </w:tr>
      <w:tr>
        <w:trPr>
          <w:trHeight w:val="208"/>
        </w:trPr>
        <w:tc>
          <w:tcPr>
            <w:tcW w:w="2460" w:type="dxa"/>
            <w:vAlign w:val="bottom"/>
          </w:tcPr>
          <w:p>
            <w:pPr>
              <w:ind w:left="80"/>
              <w:spacing w:after="0"/>
              <w:rPr>
                <w:sz w:val="20"/>
                <w:szCs w:val="20"/>
                <w:color w:val="auto"/>
              </w:rPr>
            </w:pPr>
            <w:r>
              <w:rPr>
                <w:rFonts w:ascii="Arial" w:cs="Arial" w:eastAsia="Arial" w:hAnsi="Arial"/>
                <w:sz w:val="17"/>
                <w:szCs w:val="17"/>
                <w:color w:val="3A4967"/>
              </w:rPr>
              <w:t>equipment</w:t>
            </w:r>
          </w:p>
        </w:tc>
        <w:tc>
          <w:tcPr>
            <w:tcW w:w="2460" w:type="dxa"/>
            <w:vAlign w:val="bottom"/>
          </w:tcPr>
          <w:p>
            <w:pPr>
              <w:spacing w:after="0"/>
              <w:rPr>
                <w:sz w:val="18"/>
                <w:szCs w:val="18"/>
                <w:color w:val="auto"/>
              </w:rPr>
            </w:pPr>
          </w:p>
        </w:tc>
      </w:tr>
      <w:tr>
        <w:trPr>
          <w:trHeight w:val="241"/>
        </w:trPr>
        <w:tc>
          <w:tcPr>
            <w:tcW w:w="2460" w:type="dxa"/>
            <w:vAlign w:val="bottom"/>
          </w:tcPr>
          <w:p>
            <w:pPr>
              <w:ind w:left="80"/>
              <w:spacing w:after="0"/>
              <w:rPr>
                <w:sz w:val="20"/>
                <w:szCs w:val="20"/>
                <w:color w:val="auto"/>
              </w:rPr>
            </w:pPr>
            <w:r>
              <w:rPr>
                <w:rFonts w:ascii="Arial" w:cs="Arial" w:eastAsia="Arial" w:hAnsi="Arial"/>
                <w:sz w:val="17"/>
                <w:szCs w:val="17"/>
                <w:color w:val="3A4967"/>
              </w:rPr>
              <w:t>Office equipment and furniture</w:t>
            </w:r>
          </w:p>
        </w:tc>
        <w:tc>
          <w:tcPr>
            <w:tcW w:w="2460" w:type="dxa"/>
            <w:vAlign w:val="bottom"/>
          </w:tcPr>
          <w:p>
            <w:pPr>
              <w:ind w:left="80"/>
              <w:spacing w:after="0"/>
              <w:rPr>
                <w:sz w:val="20"/>
                <w:szCs w:val="20"/>
                <w:color w:val="auto"/>
              </w:rPr>
            </w:pPr>
            <w:r>
              <w:rPr>
                <w:rFonts w:ascii="Arial" w:cs="Arial" w:eastAsia="Arial" w:hAnsi="Arial"/>
                <w:sz w:val="17"/>
                <w:szCs w:val="17"/>
                <w:color w:val="3A4967"/>
              </w:rPr>
              <w:t>3 to 7 years</w:t>
            </w:r>
          </w:p>
        </w:tc>
      </w:tr>
      <w:tr>
        <w:trPr>
          <w:trHeight w:val="241"/>
        </w:trPr>
        <w:tc>
          <w:tcPr>
            <w:tcW w:w="2460" w:type="dxa"/>
            <w:vAlign w:val="bottom"/>
          </w:tcPr>
          <w:p>
            <w:pPr>
              <w:ind w:left="80"/>
              <w:spacing w:after="0"/>
              <w:rPr>
                <w:sz w:val="20"/>
                <w:szCs w:val="20"/>
                <w:color w:val="auto"/>
              </w:rPr>
            </w:pPr>
            <w:r>
              <w:rPr>
                <w:rFonts w:ascii="Arial" w:cs="Arial" w:eastAsia="Arial" w:hAnsi="Arial"/>
                <w:sz w:val="17"/>
                <w:szCs w:val="17"/>
                <w:color w:val="3A4967"/>
                <w:w w:val="99"/>
              </w:rPr>
              <w:t>Machinery and plant equipment</w:t>
            </w:r>
          </w:p>
        </w:tc>
        <w:tc>
          <w:tcPr>
            <w:tcW w:w="2460" w:type="dxa"/>
            <w:vAlign w:val="bottom"/>
          </w:tcPr>
          <w:p>
            <w:pPr>
              <w:ind w:left="80"/>
              <w:spacing w:after="0"/>
              <w:rPr>
                <w:sz w:val="20"/>
                <w:szCs w:val="20"/>
                <w:color w:val="auto"/>
              </w:rPr>
            </w:pPr>
            <w:r>
              <w:rPr>
                <w:rFonts w:ascii="Arial" w:cs="Arial" w:eastAsia="Arial" w:hAnsi="Arial"/>
                <w:sz w:val="17"/>
                <w:szCs w:val="17"/>
                <w:color w:val="3A4967"/>
              </w:rPr>
              <w:t>3 to 20 years</w:t>
            </w:r>
          </w:p>
        </w:tc>
      </w:tr>
      <w:tr>
        <w:trPr>
          <w:trHeight w:val="237"/>
        </w:trPr>
        <w:tc>
          <w:tcPr>
            <w:tcW w:w="2460" w:type="dxa"/>
            <w:vAlign w:val="bottom"/>
          </w:tcPr>
          <w:p>
            <w:pPr>
              <w:ind w:left="80"/>
              <w:spacing w:after="0"/>
              <w:rPr>
                <w:sz w:val="20"/>
                <w:szCs w:val="20"/>
                <w:color w:val="auto"/>
              </w:rPr>
            </w:pPr>
            <w:r>
              <w:rPr>
                <w:rFonts w:ascii="Arial" w:cs="Arial" w:eastAsia="Arial" w:hAnsi="Arial"/>
                <w:sz w:val="17"/>
                <w:szCs w:val="17"/>
                <w:color w:val="3A4967"/>
              </w:rPr>
              <w:t>Leasehold improvements</w:t>
            </w:r>
          </w:p>
        </w:tc>
        <w:tc>
          <w:tcPr>
            <w:tcW w:w="2460" w:type="dxa"/>
            <w:vAlign w:val="bottom"/>
          </w:tcPr>
          <w:p>
            <w:pPr>
              <w:ind w:left="80"/>
              <w:spacing w:after="0"/>
              <w:rPr>
                <w:sz w:val="20"/>
                <w:szCs w:val="20"/>
                <w:color w:val="auto"/>
              </w:rPr>
            </w:pPr>
            <w:r>
              <w:rPr>
                <w:rFonts w:ascii="Arial" w:cs="Arial" w:eastAsia="Arial" w:hAnsi="Arial"/>
                <w:sz w:val="17"/>
                <w:szCs w:val="17"/>
                <w:color w:val="3A4967"/>
              </w:rPr>
              <w:t>Lesser of the remaining term of</w:t>
            </w:r>
          </w:p>
        </w:tc>
      </w:tr>
      <w:tr>
        <w:trPr>
          <w:trHeight w:val="204"/>
        </w:trPr>
        <w:tc>
          <w:tcPr>
            <w:tcW w:w="2460" w:type="dxa"/>
            <w:vAlign w:val="bottom"/>
          </w:tcPr>
          <w:p>
            <w:pPr>
              <w:spacing w:after="0"/>
              <w:rPr>
                <w:sz w:val="17"/>
                <w:szCs w:val="17"/>
                <w:color w:val="auto"/>
              </w:rPr>
            </w:pPr>
          </w:p>
        </w:tc>
        <w:tc>
          <w:tcPr>
            <w:tcW w:w="2460" w:type="dxa"/>
            <w:vAlign w:val="bottom"/>
          </w:tcPr>
          <w:p>
            <w:pPr>
              <w:ind w:left="80"/>
              <w:spacing w:after="0"/>
              <w:rPr>
                <w:sz w:val="20"/>
                <w:szCs w:val="20"/>
                <w:color w:val="auto"/>
              </w:rPr>
            </w:pPr>
            <w:r>
              <w:rPr>
                <w:rFonts w:ascii="Arial" w:cs="Arial" w:eastAsia="Arial" w:hAnsi="Arial"/>
                <w:sz w:val="17"/>
                <w:szCs w:val="17"/>
                <w:color w:val="3A4967"/>
              </w:rPr>
              <w:t>the lease or estimated useful</w:t>
            </w:r>
          </w:p>
        </w:tc>
      </w:tr>
      <w:tr>
        <w:trPr>
          <w:trHeight w:val="208"/>
        </w:trPr>
        <w:tc>
          <w:tcPr>
            <w:tcW w:w="2460" w:type="dxa"/>
            <w:vAlign w:val="bottom"/>
          </w:tcPr>
          <w:p>
            <w:pPr>
              <w:spacing w:after="0"/>
              <w:rPr>
                <w:sz w:val="18"/>
                <w:szCs w:val="18"/>
                <w:color w:val="auto"/>
              </w:rPr>
            </w:pPr>
          </w:p>
        </w:tc>
        <w:tc>
          <w:tcPr>
            <w:tcW w:w="2460" w:type="dxa"/>
            <w:vAlign w:val="bottom"/>
          </w:tcPr>
          <w:p>
            <w:pPr>
              <w:ind w:left="80"/>
              <w:spacing w:after="0"/>
              <w:rPr>
                <w:sz w:val="20"/>
                <w:szCs w:val="20"/>
                <w:color w:val="auto"/>
              </w:rPr>
            </w:pPr>
            <w:r>
              <w:rPr>
                <w:rFonts w:ascii="Arial" w:cs="Arial" w:eastAsia="Arial" w:hAnsi="Arial"/>
                <w:sz w:val="17"/>
                <w:szCs w:val="17"/>
                <w:color w:val="3A4967"/>
              </w:rPr>
              <w:t>life of the asset</w:t>
            </w:r>
          </w:p>
        </w:tc>
      </w:tr>
      <w:tr>
        <w:trPr>
          <w:trHeight w:val="237"/>
        </w:trPr>
        <w:tc>
          <w:tcPr>
            <w:tcW w:w="2460" w:type="dxa"/>
            <w:vAlign w:val="bottom"/>
          </w:tcPr>
          <w:p>
            <w:pPr>
              <w:ind w:left="80"/>
              <w:spacing w:after="0"/>
              <w:rPr>
                <w:sz w:val="20"/>
                <w:szCs w:val="20"/>
                <w:color w:val="auto"/>
              </w:rPr>
            </w:pPr>
            <w:r>
              <w:rPr>
                <w:rFonts w:ascii="Arial" w:cs="Arial" w:eastAsia="Arial" w:hAnsi="Arial"/>
                <w:sz w:val="17"/>
                <w:szCs w:val="17"/>
                <w:color w:val="3A4967"/>
              </w:rPr>
              <w:t>Building and building</w:t>
            </w:r>
          </w:p>
        </w:tc>
        <w:tc>
          <w:tcPr>
            <w:tcW w:w="2460" w:type="dxa"/>
            <w:vAlign w:val="bottom"/>
          </w:tcPr>
          <w:p>
            <w:pPr>
              <w:ind w:left="80"/>
              <w:spacing w:after="0"/>
              <w:rPr>
                <w:sz w:val="20"/>
                <w:szCs w:val="20"/>
                <w:color w:val="auto"/>
              </w:rPr>
            </w:pPr>
            <w:r>
              <w:rPr>
                <w:rFonts w:ascii="Arial" w:cs="Arial" w:eastAsia="Arial" w:hAnsi="Arial"/>
                <w:sz w:val="17"/>
                <w:szCs w:val="17"/>
                <w:color w:val="3A4967"/>
              </w:rPr>
              <w:t>12 to 20 years, or the</w:t>
            </w:r>
          </w:p>
        </w:tc>
      </w:tr>
      <w:tr>
        <w:trPr>
          <w:trHeight w:val="204"/>
        </w:trPr>
        <w:tc>
          <w:tcPr>
            <w:tcW w:w="2460" w:type="dxa"/>
            <w:vAlign w:val="bottom"/>
          </w:tcPr>
          <w:p>
            <w:pPr>
              <w:ind w:left="80"/>
              <w:spacing w:after="0"/>
              <w:rPr>
                <w:sz w:val="20"/>
                <w:szCs w:val="20"/>
                <w:color w:val="auto"/>
              </w:rPr>
            </w:pPr>
            <w:r>
              <w:rPr>
                <w:rFonts w:ascii="Arial" w:cs="Arial" w:eastAsia="Arial" w:hAnsi="Arial"/>
                <w:sz w:val="17"/>
                <w:szCs w:val="17"/>
                <w:color w:val="3A4967"/>
              </w:rPr>
              <w:t>improvements</w:t>
            </w:r>
          </w:p>
        </w:tc>
        <w:tc>
          <w:tcPr>
            <w:tcW w:w="2460" w:type="dxa"/>
            <w:vAlign w:val="bottom"/>
          </w:tcPr>
          <w:p>
            <w:pPr>
              <w:ind w:left="80"/>
              <w:spacing w:after="0"/>
              <w:rPr>
                <w:sz w:val="20"/>
                <w:szCs w:val="20"/>
                <w:color w:val="auto"/>
              </w:rPr>
            </w:pPr>
            <w:r>
              <w:rPr>
                <w:rFonts w:ascii="Arial" w:cs="Arial" w:eastAsia="Arial" w:hAnsi="Arial"/>
                <w:sz w:val="17"/>
                <w:szCs w:val="17"/>
                <w:color w:val="3A4967"/>
              </w:rPr>
              <w:t>remaining useful life of the</w:t>
            </w:r>
          </w:p>
        </w:tc>
      </w:tr>
      <w:tr>
        <w:trPr>
          <w:trHeight w:val="228"/>
        </w:trPr>
        <w:tc>
          <w:tcPr>
            <w:tcW w:w="2460" w:type="dxa"/>
            <w:vAlign w:val="bottom"/>
            <w:tcBorders>
              <w:bottom w:val="single" w:sz="8" w:color="3A4967"/>
            </w:tcBorders>
          </w:tcPr>
          <w:p>
            <w:pPr>
              <w:spacing w:after="0"/>
              <w:rPr>
                <w:sz w:val="19"/>
                <w:szCs w:val="19"/>
                <w:color w:val="auto"/>
              </w:rPr>
            </w:pPr>
          </w:p>
        </w:tc>
        <w:tc>
          <w:tcPr>
            <w:tcW w:w="246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building, whichever is shorter</w:t>
            </w:r>
          </w:p>
        </w:tc>
      </w:tr>
    </w:tbl>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3A4967"/>
        </w:rPr>
        <w:t>For purposes of determining whether there are any impairment losses on brewery assets, as further discussed below, management has historically examined the carrying value of the Company’s identifiable long-lived assets, including their useful lives, semi- annually, or more frequently when indicators of impairment are present. Evaluations of whether indicators of impairment exist involve judgments regarding the current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96520</wp:posOffset>
            </wp:positionV>
            <wp:extent cx="2584450" cy="1917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164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380"/>
        <w:spacing w:after="0" w:line="284" w:lineRule="auto"/>
        <w:rPr>
          <w:sz w:val="20"/>
          <w:szCs w:val="20"/>
          <w:color w:val="auto"/>
        </w:rPr>
      </w:pPr>
      <w:r>
        <w:rPr>
          <w:rFonts w:ascii="Arial" w:cs="Arial" w:eastAsia="Arial" w:hAnsi="Arial"/>
          <w:sz w:val="16"/>
          <w:szCs w:val="16"/>
          <w:color w:val="3A4967"/>
        </w:rPr>
        <w:t>future business environment and the length of time the Company intends to use the asset. If an impairment loss is identified based on the fair value of the asset, as compared to the carrying value of the asset, such loss would be charged to expense in the period the impairment is identified. Furthermore, if the review of the carrying values of the long-lived assets indicates impairment of such assets, the Company may determine that shorter estimated useful lives are more appropriate. In that event, the Company will be required to record additional depreciation in future periods, which will reduce earnings. Estimating the amount of impairment, if any, requires significant judgments including identification of potential impairments, market comparison to similar assets, estimated cash flows to be generated by the asset, discount rates, the remaining useful life of the asset, and the usefulness of the asset in consideration of future business plans. Impairment of brewery assets classified as property, plant, and equipment included in operating expenses was $7.2 million, $5.0 million and $2.6 million in fiscal years 2024, 2023, and 2022, respectively.</w:t>
      </w:r>
    </w:p>
    <w:p>
      <w:pPr>
        <w:spacing w:after="0" w:line="82" w:lineRule="exact"/>
        <w:rPr>
          <w:sz w:val="20"/>
          <w:szCs w:val="20"/>
          <w:color w:val="auto"/>
        </w:rPr>
      </w:pPr>
    </w:p>
    <w:p>
      <w:pPr>
        <w:jc w:val="both"/>
        <w:ind w:right="380"/>
        <w:spacing w:after="0" w:line="290" w:lineRule="auto"/>
        <w:rPr>
          <w:sz w:val="20"/>
          <w:szCs w:val="20"/>
          <w:color w:val="auto"/>
        </w:rPr>
      </w:pPr>
      <w:r>
        <w:rPr>
          <w:rFonts w:ascii="Arial" w:cs="Arial" w:eastAsia="Arial" w:hAnsi="Arial"/>
          <w:sz w:val="16"/>
          <w:szCs w:val="16"/>
          <w:color w:val="3A4967"/>
        </w:rPr>
        <w:t>Factors generally considered important which could trigger an impairment review on the carrying value of long-lived assets include the following: (1) significant underperformance relative to historical or projected future operating results; (2) significant changes in the manner of use of acquired assets or the strategy for the Company’s overall business; (3) underutilization of assets; and (4) discontinuance of products by the Company or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Segment Reporting</w:t>
      </w:r>
    </w:p>
    <w:p>
      <w:pPr>
        <w:spacing w:after="0" w:line="118" w:lineRule="exact"/>
        <w:rPr>
          <w:sz w:val="20"/>
          <w:szCs w:val="20"/>
          <w:color w:val="auto"/>
        </w:rPr>
      </w:pPr>
    </w:p>
    <w:p>
      <w:pPr>
        <w:jc w:val="both"/>
        <w:ind w:right="380"/>
        <w:spacing w:after="0" w:line="269" w:lineRule="auto"/>
        <w:rPr>
          <w:sz w:val="20"/>
          <w:szCs w:val="20"/>
          <w:color w:val="auto"/>
        </w:rPr>
      </w:pPr>
      <w:r>
        <w:rPr>
          <w:rFonts w:ascii="Arial" w:cs="Arial" w:eastAsia="Arial" w:hAnsi="Arial"/>
          <w:sz w:val="17"/>
          <w:szCs w:val="17"/>
          <w:color w:val="3A4967"/>
        </w:rPr>
        <w:t>The Company consists of one operating segment that produces and sells alcohol beverages under various brands. All brands are predominantly beverages that are manufactured using similar production processes, have comparable alcohol content, generally fall under the same regulatory environment, and are sold to the same types of customers in similar size quantities at similar price points, with similar profit margins, and through the same channels of distribution. See Note U for further discussion of the Company’s segment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Goodwill and Intangible Assets</w:t>
      </w:r>
    </w:p>
    <w:p>
      <w:pPr>
        <w:spacing w:after="0" w:line="118" w:lineRule="exact"/>
        <w:rPr>
          <w:sz w:val="20"/>
          <w:szCs w:val="20"/>
          <w:color w:val="auto"/>
        </w:rPr>
      </w:pPr>
    </w:p>
    <w:p>
      <w:pPr>
        <w:jc w:val="both"/>
        <w:ind w:right="380"/>
        <w:spacing w:after="0" w:line="269" w:lineRule="auto"/>
        <w:rPr>
          <w:sz w:val="20"/>
          <w:szCs w:val="20"/>
          <w:color w:val="auto"/>
        </w:rPr>
      </w:pPr>
      <w:r>
        <w:rPr>
          <w:rFonts w:ascii="Arial" w:cs="Arial" w:eastAsia="Arial" w:hAnsi="Arial"/>
          <w:sz w:val="17"/>
          <w:szCs w:val="17"/>
          <w:color w:val="3A4967"/>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spacing w:after="0" w:line="86" w:lineRule="exact"/>
        <w:rPr>
          <w:sz w:val="20"/>
          <w:szCs w:val="20"/>
          <w:color w:val="auto"/>
        </w:rPr>
      </w:pPr>
    </w:p>
    <w:p>
      <w:pPr>
        <w:jc w:val="both"/>
        <w:ind w:right="380"/>
        <w:spacing w:after="0" w:line="268" w:lineRule="auto"/>
        <w:rPr>
          <w:sz w:val="20"/>
          <w:szCs w:val="20"/>
          <w:color w:val="auto"/>
        </w:rPr>
      </w:pPr>
      <w:r>
        <w:rPr>
          <w:rFonts w:ascii="Arial" w:cs="Arial" w:eastAsia="Arial" w:hAnsi="Arial"/>
          <w:sz w:val="17"/>
          <w:szCs w:val="17"/>
          <w:color w:val="3A4967"/>
        </w:rPr>
        <w:t>The Company’s annual goodwill impairment evaluation analysis conducted at the end of fiscal August indicated that the fair value of the Company’s goodwill was greater than the carrying value and accordingly there was no impairment to record as of the impairment evaluation analysis date. The guidance for goodwill impairment testing allows an entity to assess qualitative factors to determine whether the existence of events or circumstances leads to a determination that it is more likely than not that the estimated fair value of a reporting unit, of which the Company has one, is less than its carrying amount or to proceed directly to</w:t>
      </w:r>
    </w:p>
    <w:p>
      <w:pPr>
        <w:spacing w:after="0" w:line="280"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22"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51" w:name="page52"/>
    <w:bookmarkEnd w:id="51"/>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00"/>
        <w:spacing w:after="0" w:line="266" w:lineRule="auto"/>
        <w:rPr>
          <w:sz w:val="20"/>
          <w:szCs w:val="20"/>
          <w:color w:val="auto"/>
        </w:rPr>
      </w:pPr>
      <w:r>
        <w:rPr>
          <w:rFonts w:ascii="Arial" w:cs="Arial" w:eastAsia="Arial" w:hAnsi="Arial"/>
          <w:sz w:val="17"/>
          <w:szCs w:val="17"/>
          <w:color w:val="3A4967"/>
        </w:rPr>
        <w:t>performing a quantitative impairment test. Under the quantitative assessment, the estimated fair value of the Company’s reporting unit is compared to its carrying value, including goodwill. The estimate of fair value of the Company’s reporting unit is generally calculated based on an income approach using the discounted cash flow method supplemented by the market approach which considers the Company’s market capitalization and enterprise value. If the estimated fair value of the Company’s reporting unit is less than the carrying value of its reporting unit, a goodwill impairment will be recognized. In estimating the fair value of the Company’s reporting unit, management must make assumptions and projections regarding such items as future cash flows, future revenues, future earnings, cost of capital, and other factors. The assumptions used in the estimate of fair value are based on historical trends and the projections and assumptions that are used in the latest operating plans. These assumptions reflect management’s estimates of future economic and competitive conditions and are, therefore, subject to change as a result of changing market conditions. If these estimates or their related assumptions change in the future, the Company may be required to recognize an impairment loss for the Company’s goodwill which could have a material adverse impact on the Company’s financial statements.</w:t>
      </w:r>
    </w:p>
    <w:p>
      <w:pPr>
        <w:spacing w:after="0" w:line="98" w:lineRule="exact"/>
        <w:rPr>
          <w:sz w:val="20"/>
          <w:szCs w:val="20"/>
          <w:color w:val="auto"/>
        </w:rPr>
      </w:pPr>
    </w:p>
    <w:p>
      <w:pPr>
        <w:jc w:val="both"/>
        <w:ind w:left="400"/>
        <w:spacing w:after="0" w:line="266" w:lineRule="auto"/>
        <w:rPr>
          <w:sz w:val="20"/>
          <w:szCs w:val="20"/>
          <w:color w:val="auto"/>
        </w:rPr>
      </w:pPr>
      <w:r>
        <w:rPr>
          <w:rFonts w:ascii="Arial" w:cs="Arial" w:eastAsia="Arial" w:hAnsi="Arial"/>
          <w:sz w:val="17"/>
          <w:szCs w:val="17"/>
          <w:color w:val="3A4967"/>
        </w:rPr>
        <w:t>The Company’s intangible assets consist primarily of a trademark and customer relationships obtained through the Company’s Dogfish Head acquisition. Customer relationships are amortized over their estimated useful lives. As of the annual impairment assessment date at the end of fiscal August, the Dogfish Head trademark was determined to have an indefinite useful life and was not amortized. The guidance for indefinite lived intangible asset impairment testing allows an entity to assess qualitative factors to determine whether the existence of events or circumstances indicates that it is more likely than not that the indefinite lived intangible asset is impaired or to proceed directly to performing the quantitative impairment test. Under the quantitative assessment, the trademark is evaluated for impairment by comparing the carrying value of the trademark to its estimated fair value. The estimated fair value of the trademark is calculated based on an income approach using the relief from royalty method. If the estimated fair value is less than the carrying value of the trademark, then an impairment charge is recognized to reduce the carrying value of the trademark to its estimated fair value.</w:t>
      </w:r>
    </w:p>
    <w:p>
      <w:pPr>
        <w:spacing w:after="0" w:line="100" w:lineRule="exact"/>
        <w:rPr>
          <w:sz w:val="20"/>
          <w:szCs w:val="20"/>
          <w:color w:val="auto"/>
        </w:rPr>
      </w:pPr>
    </w:p>
    <w:p>
      <w:pPr>
        <w:jc w:val="both"/>
        <w:ind w:left="400"/>
        <w:spacing w:after="0" w:line="285" w:lineRule="auto"/>
        <w:rPr>
          <w:sz w:val="20"/>
          <w:szCs w:val="20"/>
          <w:color w:val="auto"/>
        </w:rPr>
      </w:pPr>
      <w:r>
        <w:rPr>
          <w:rFonts w:ascii="Arial" w:cs="Arial" w:eastAsia="Arial" w:hAnsi="Arial"/>
          <w:sz w:val="16"/>
          <w:szCs w:val="16"/>
          <w:color w:val="3A4967"/>
        </w:rPr>
        <w:t>Significant judgment is required to estimate the fair value of the Dogfish Head trademark. Accordingly, the Company obtains the assistance of third-party valuation specialists as part of the impairment evaluation. In estimating the fair value of the trademark, management must make assumptions and projections regarding future cash flows based upon future revenues, the market -based royalty rate, the discount rate, and the after-tax royalty savings expected from ownership of the trademark. The assumptions and projections used in the estimate of fair value are consistent with recent trends and represent the projections used in the Company’s current strategic operating plans which include reductions in revenues from the Dogfish Head beer products. These assumptions reflect management’s estimates of future economic and competitive conditions and consider many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328295</wp:posOffset>
            </wp:positionV>
            <wp:extent cx="2584450" cy="1917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A4967"/>
        </w:rPr>
        <w:t>including macroeconomic conditions, industry growth rates, and competitive activities and are, therefore, subject to change as a result of changing market conditions.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Refundable Deposits on Kegs and Pallets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4967"/>
        </w:rPr>
        <w:t>The Company distributes its packaged flavored malt beverages, hard seltzers, beers, hard ciders and spirits based ready to drink beverages primarily in cans and glass bottles and its draft beer and hard ciders in kegs and such cans, bottles, and kegs are shipped on pallets to Distributors. Most kegs and pallets are owned by the Company. Kegs are reflected in the Company’s balance sheets at cost and are depreciated over the estimated useful life of the keg, while pallets are expensed upon purchase. Upon shipment of beer to Distributors, the Company collects a refundable deposit on the kegs and certain pallets, which is included in current liabilities in the Company’s balance sheets. Upon return of the kegs and pallets to the Company, the deposit is refunded to the Distributor.</w:t>
      </w:r>
    </w:p>
    <w:p>
      <w:pPr>
        <w:spacing w:after="0" w:line="7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3A4967"/>
        </w:rPr>
        <w:t>The Company has experienced some loss of kegs and pallets and anticipates that some loss will occur in future periods due to the significant volume of kegs and pallets handled by each Distributor and retailer, the homogeneous nature of kegs and pallets owned by most brewers, and the relatively small deposit collected for each keg when compared with its market value. The Company believes that this is an industry-wide issue and that the Company’s loss experience is not atypical. The Company believes that the loss of kegs and pallets, after considering the forfeiture of related deposits, has not been material to the financial statements. The Company uses internal records, records maintained by Distributors, records maintained by other third-party vendors and historical information to estimate the physical count of kegs and pallets held by Distributors. These estimates affect the amount recorded as property, plant and equipment and current liabilities as of the date of the financial statements. The actual liability for refundable deposits could differ from these estimates. For the year ended December 28, 2024, the Company increased its liability for refundable deposits, and decreased its gross property, plant, and equipment and related accumulated depreciation by $1.8 million, $2.3 million and $2.2 million, respectively. For the year ended December 30, 2023, the Company decreased its liability for refundable deposits and increased its gross property, plant, and equipment and related accumulated depreciation by $0.7 million, $2.2 million and $0.3 million. As of December 28, 2024, and December 30, 2023, the Company’s balance sheet includes $15.1 million and $13.3 million, respectively, in refundable deposits on kegs and pallets and $2.8 million and $0.7 million, respectively, in kegs, net of accumulated depreciation.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Income Taxes</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The Company provides for deferred taxes using an asset and liability approach that requires the recognition of deferred tax assets and liabilities for the expected future tax consequences of events that have been recognized in the Company’s consolidated financial statements or tax returns. This results in differences between the book and tax basis of the Company’s assets, liabilities and carry-forwards, such as tax credits. In estimating future tax consequences, all expected future events, other than enactment of changes in the tax laws or rates, are generally</w:t>
      </w:r>
    </w:p>
    <w:p>
      <w:pPr>
        <w:spacing w:after="0" w:line="200"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07"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42</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52" w:name="page53"/>
    <w:bookmarkEnd w:id="52"/>
    <w:p>
      <w:pPr>
        <w:ind w:left="96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3A4967"/>
        </w:rPr>
        <w:t>considered. Valuation allowances are provided when recovery of deferred tax assets does not meet the more likely than not standards as defined in ASC Topic 740, Income Taxes.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The calculation of the Company’s uncertain tax positions involves dealing with uncertainties in the application of tax regulations in several different state tax jurisdictions. The Company is periodically reviewed by tax authorities regarding the amount of taxes due. These reviews include inquiries regarding the timing and amount of deductions and the allocation of income among various tax jurisdictions. The Company records estimated reserves for exposures associated with positions that it takes on its income tax returns that do not meet the more likely than not standards as defined in ASC Topic 740, Income Taxes.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The Organization for Economic Co-operation and Development/ G20 Inclusive Framework on Base Erosion and Profit Shifting has introduced rules to establish a global minimum tax rate of 15%, commonly referred to as the Pillar Two rules. Numerous foreign countries have enacted legislation to implement the Pillar Two rules, effective beginning in 2024, or are expected to enact similar legislation. The Company is currently evaluating the potential impacts that Pillar Two may have on future periods and will continue to monitor the implementation of the Pillar Two rules in the jurisdictions in which it operates. The Company meets the transitional safe harbor for the period ended December 28, 2024.</w:t>
      </w:r>
    </w:p>
    <w:p>
      <w:pPr>
        <w:spacing w:after="0" w:line="208" w:lineRule="exact"/>
        <w:rPr>
          <w:sz w:val="20"/>
          <w:szCs w:val="20"/>
          <w:color w:val="auto"/>
        </w:rPr>
      </w:pPr>
    </w:p>
    <w:p>
      <w:pPr>
        <w:ind w:right="680"/>
        <w:spacing w:after="0" w:line="269" w:lineRule="auto"/>
        <w:rPr>
          <w:sz w:val="20"/>
          <w:szCs w:val="20"/>
          <w:color w:val="auto"/>
        </w:rPr>
      </w:pPr>
      <w:r>
        <w:rPr>
          <w:rFonts w:ascii="Arial" w:cs="Arial" w:eastAsia="Arial" w:hAnsi="Arial"/>
          <w:sz w:val="20"/>
          <w:szCs w:val="20"/>
          <w:b w:val="1"/>
          <w:bCs w:val="1"/>
          <w:color w:val="3A4967"/>
        </w:rPr>
        <w:t>Revenue Recognition and Classification of Customer Programs and Incentives</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During fiscal years 2024, 2023, and 2022 approximately 94%, 94%, and 95%, respectively, of the Company’s revenue was from shipments of its products to domestic Distributors and 5%, 4%, 4% from shipments to international Distributors, primarily located in Canada. Approximately 1%, 2%, and 1% of the Company’s revenue was from retail beer, cider, food and merchandise sales at the Company’s retail locations during fiscal years 2024, 2023, and 2022, respectively.</w:t>
      </w:r>
    </w:p>
    <w:p>
      <w:pPr>
        <w:spacing w:after="0" w:line="10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The Company recognizes revenue when obligations under the terms of a contract with its customer are satisfied; generally, this occurs with the transfer of control of its products. Revenue is measured as the amount of consideration expected to be received in exchange for transferring products. If the conditions for revenue recognition are not met, the Company defers the revenue until all conditions are met. As of December 28, 2024 and December 30, 2023, the Company had deferred revenue of $11.3 million and $8.9 million, respectively, related to product shipped prior to these dates for which the criteria to recognize revenue was not met as of these dates. These amounts are included in accrued expenses and other current liabilities in the accompanying consolidated balance sheets.</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The Company is committed to maintaining the freshness of its products in the market. In certain circumstances and with the Company’s approval, the Company accepts and destroys or offers credits for stale beer that is returned or destroyed by Distributors. The Company generally credits approximately fifty percent of the distributor’s cost of beer that has passed its freshness expiration date when it is returned to the Company or destroyed. The Company reduces revenue and establishes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218440</wp:posOffset>
            </wp:positionV>
            <wp:extent cx="2584450" cy="1917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164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380"/>
        <w:spacing w:after="0" w:line="267" w:lineRule="auto"/>
        <w:rPr>
          <w:sz w:val="20"/>
          <w:szCs w:val="20"/>
          <w:color w:val="auto"/>
        </w:rPr>
      </w:pPr>
      <w:r>
        <w:rPr>
          <w:rFonts w:ascii="Arial" w:cs="Arial" w:eastAsia="Arial" w:hAnsi="Arial"/>
          <w:sz w:val="17"/>
          <w:szCs w:val="17"/>
          <w:color w:val="3A4967"/>
        </w:rPr>
        <w:t>an accrual based upon both historical returns, which is applied to an estimated lag time for receipt of product, and knowledge of specific return transactions. Estimating this reserve involves significant judgments and estimates, including comparability of historical return trends to future trends, lag time from date of sale to date of return, and product mix of returns. Stale beer expense is reflected in the accompanying financial statements as a reduction of revenue. Historically, the cost of actual stale beer returns has been in line with established reserves; however, the cost could differ materially from the reserves which would impact revenue. As of December 28, 2024, and December 30, 2023, the stale beer reserve was $6.1 million and $8.2 million, respectively. These amounts are included in accrued expenses and other current liabilities in the accompanying consolidated balance sheets. Provision for stale beer recorded as reductions to revenue totaled $ 5.3 million, $18.8 million, and $19.6 million in fiscal years 2024, 2023, and 2022 respectively.</w:t>
      </w:r>
    </w:p>
    <w:p>
      <w:pPr>
        <w:spacing w:after="0" w:line="88" w:lineRule="exact"/>
        <w:rPr>
          <w:sz w:val="20"/>
          <w:szCs w:val="20"/>
          <w:color w:val="auto"/>
        </w:rPr>
      </w:pPr>
    </w:p>
    <w:p>
      <w:pPr>
        <w:jc w:val="both"/>
        <w:ind w:right="380"/>
        <w:spacing w:after="0" w:line="267" w:lineRule="auto"/>
        <w:rPr>
          <w:sz w:val="20"/>
          <w:szCs w:val="20"/>
          <w:color w:val="auto"/>
        </w:rPr>
      </w:pPr>
      <w:r>
        <w:rPr>
          <w:rFonts w:ascii="Arial" w:cs="Arial" w:eastAsia="Arial" w:hAnsi="Arial"/>
          <w:sz w:val="17"/>
          <w:szCs w:val="17"/>
          <w:color w:val="3A4967"/>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totaled $112.3 million, $106.4 million and $95.9 million in fiscal years 2024, 2023, and 2022, respectively. Estimates are based on historical and projected experience for each type of program or customer and have historically been in line with actual costs incurred.</w:t>
      </w:r>
    </w:p>
    <w:p>
      <w:pPr>
        <w:spacing w:after="0" w:line="86" w:lineRule="exact"/>
        <w:rPr>
          <w:sz w:val="20"/>
          <w:szCs w:val="20"/>
          <w:color w:val="auto"/>
        </w:rPr>
      </w:pPr>
    </w:p>
    <w:p>
      <w:pPr>
        <w:jc w:val="both"/>
        <w:ind w:right="380"/>
        <w:spacing w:after="0" w:line="285" w:lineRule="auto"/>
        <w:rPr>
          <w:sz w:val="20"/>
          <w:szCs w:val="20"/>
          <w:color w:val="auto"/>
        </w:rPr>
      </w:pPr>
      <w:r>
        <w:rPr>
          <w:rFonts w:ascii="Arial" w:cs="Arial" w:eastAsia="Arial" w:hAnsi="Arial"/>
          <w:sz w:val="16"/>
          <w:szCs w:val="16"/>
          <w:color w:val="3A4967"/>
        </w:rPr>
        <w:t>Customer promotional discount programs are entered into with Distributors for certain periods of time. Amounts paid to Distributors in connection with these programs in fiscal years 2024, 2023, and 2022 were $61.0 million, $ 62.6 million and $54.8 million, respectively. The reimbursements for discounts to Distributors are recorded as reductions to net revenue.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allowances.</w:t>
      </w:r>
    </w:p>
    <w:p>
      <w:pPr>
        <w:spacing w:after="0" w:line="79" w:lineRule="exact"/>
        <w:rPr>
          <w:sz w:val="20"/>
          <w:szCs w:val="20"/>
          <w:color w:val="auto"/>
        </w:rPr>
      </w:pPr>
    </w:p>
    <w:p>
      <w:pPr>
        <w:jc w:val="both"/>
        <w:ind w:right="380"/>
        <w:spacing w:after="0" w:line="290" w:lineRule="auto"/>
        <w:rPr>
          <w:sz w:val="20"/>
          <w:szCs w:val="20"/>
          <w:color w:val="auto"/>
        </w:rPr>
      </w:pPr>
      <w:r>
        <w:rPr>
          <w:rFonts w:ascii="Arial" w:cs="Arial" w:eastAsia="Arial" w:hAnsi="Arial"/>
          <w:sz w:val="16"/>
          <w:szCs w:val="16"/>
          <w:color w:val="3A4967"/>
        </w:rPr>
        <w:t>Customer incentives and other payments are made primarily to Distributors based upon the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w:t>
      </w:r>
    </w:p>
    <w:p>
      <w:pPr>
        <w:spacing w:after="0" w:line="250"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214"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53" w:name="page54"/>
    <w:bookmarkEnd w:id="53"/>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00"/>
        <w:spacing w:after="0" w:line="285" w:lineRule="auto"/>
        <w:rPr>
          <w:sz w:val="20"/>
          <w:szCs w:val="20"/>
          <w:color w:val="auto"/>
        </w:rPr>
      </w:pPr>
      <w:r>
        <w:rPr>
          <w:rFonts w:ascii="Arial" w:cs="Arial" w:eastAsia="Arial" w:hAnsi="Arial"/>
          <w:sz w:val="16"/>
          <w:szCs w:val="16"/>
          <w:color w:val="3A4967"/>
        </w:rPr>
        <w:t>paid to customers in connection with these programs in fiscal years 2024, 2023, and 2022 were $51.3 million, $43.8 million and $41.1 million, respectively. In fiscal years 2024, 2023, and 2022, the Company recorded certain of these costs in the total amount of $32.2 million, $31.4 million and $29.9 million, respectively, as reductions to net revenue. Costs recognized in net revenues include, but are not limited to, promotional discounts, sales incentives and certain other promotional activities. Costs recognized in advertising, promotional and selling expenses include point of sale materials, samples and media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spacing w:after="0" w:line="295"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3A4967"/>
        </w:rPr>
        <w:t>In connection with its preparation of financial statements and other financial reporting, management is required to make certain estimates and assumptions regarding the amount, timing and classification of expenditures resulting from these activities. Actual expenditures incurred could differ from management’s estimates and assumptions.</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Excise Taxes</w:t>
      </w:r>
    </w:p>
    <w:p>
      <w:pPr>
        <w:spacing w:after="0" w:line="118"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3A4967"/>
        </w:rPr>
        <w:t>The Company is responsible for compliance with TTB regulations, including making timely and accurate excise tax payments. The Company is subject to periodic compliance audits by the TTB. Individual states also impose excise taxes on alcohol beverages in varying amounts. The Company calculates its excise tax expense based upon units shipped and on its understanding of the applicable excise tax laws.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Cost of Goods Sold</w:t>
      </w:r>
    </w:p>
    <w:p>
      <w:pPr>
        <w:spacing w:after="0" w:line="118" w:lineRule="exact"/>
        <w:rPr>
          <w:sz w:val="20"/>
          <w:szCs w:val="20"/>
          <w:color w:val="auto"/>
        </w:rPr>
      </w:pPr>
    </w:p>
    <w:p>
      <w:pPr>
        <w:jc w:val="both"/>
        <w:ind w:left="400"/>
        <w:spacing w:after="0" w:line="269" w:lineRule="auto"/>
        <w:rPr>
          <w:sz w:val="20"/>
          <w:szCs w:val="20"/>
          <w:color w:val="auto"/>
        </w:rPr>
      </w:pPr>
      <w:r>
        <w:rPr>
          <w:rFonts w:ascii="Arial" w:cs="Arial" w:eastAsia="Arial" w:hAnsi="Arial"/>
          <w:sz w:val="17"/>
          <w:szCs w:val="17"/>
          <w:color w:val="3A4967"/>
        </w:rPr>
        <w:t>The following expenses are included in cost of goods sold in the accompanying consolidated statements of comprehensive income: raw material costs, packaging material costs, costs and income related to deposit activity, purchasing and receiving costs, manufacturing labor and overhead, brewing and processing costs, inspection costs relating to quality control, inbound freight charges, depreciation expense related to manufacturing equipment and warehousing costs, which include rent, labor and overhead costs.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Shipping Costs</w:t>
      </w:r>
    </w:p>
    <w:p>
      <w:pPr>
        <w:spacing w:after="0" w:line="118"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3A4967"/>
        </w:rPr>
        <w:t>Costs incurred for the shipping of products to customers are included in advertising, promotional and selling expenses in the accompanying consolidated statements of comprehensive income. The Company incurred shipping costs of $104.1 million, $114.7 million, and $165.5 million in fiscal years 2024, 2023, and 2022, respectively.</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Advertising, Promotional, and Selling Expenses</w:t>
      </w:r>
    </w:p>
    <w:p>
      <w:pPr>
        <w:spacing w:after="0" w:line="118" w:lineRule="exact"/>
        <w:rPr>
          <w:sz w:val="20"/>
          <w:szCs w:val="20"/>
          <w:color w:val="auto"/>
        </w:rPr>
      </w:pPr>
    </w:p>
    <w:p>
      <w:pPr>
        <w:jc w:val="both"/>
        <w:ind w:left="400"/>
        <w:spacing w:after="0" w:line="273" w:lineRule="auto"/>
        <w:rPr>
          <w:sz w:val="20"/>
          <w:szCs w:val="20"/>
          <w:color w:val="auto"/>
        </w:rPr>
      </w:pPr>
      <w:r>
        <w:rPr>
          <w:rFonts w:ascii="Arial" w:cs="Arial" w:eastAsia="Arial" w:hAnsi="Arial"/>
          <w:sz w:val="17"/>
          <w:szCs w:val="17"/>
          <w:color w:val="3A4967"/>
        </w:rPr>
        <w:t>The following expenses are included in advertising, promotional and selling expenses in the accompanying consolidated statements of comprehensive income: media advertising and production costs, sales and brand related expenses, sales and brand salary and benefit expenses,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163195</wp:posOffset>
            </wp:positionV>
            <wp:extent cx="2584450" cy="1917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meals, travel and entertainment expenses, promotional activity expenses, shipping costs related to shipments of finished goods from manufacturing locations to distributor locations and point-of-sale items. Total advertising and sales promotional expenditures of $240.9 million, $233.5 million, and $226.7 million were included in advertising, promotional and selling expenses in the accompanying consolidated statements of comprehensive income for fiscal years 2024, 2023, and 2022, respectively.</w:t>
      </w:r>
    </w:p>
    <w:p>
      <w:pPr>
        <w:spacing w:after="0" w:line="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A4967"/>
        </w:rPr>
        <w:t>The Company conducts certain advertising and promotional activities in its Distributors’ markets and the Distributors make contributions to the Company for such efforts. Reimbursements from Distributors for advertising and promotional activities are recorded as reductions to advertising, promotional and selling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General and Administrative Expenses</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3A4967"/>
        </w:rPr>
        <w:t>The following expenses are included in general and administrative expenses in the accompanying consolidated statements of comprehensive income: general and administrative salary and benefit expenses, stock compensation, insurance costs, consulting and professional service fees, rent and utility expenses, meals, travel and entertainment expenses for general and administrative employees, and other general and administrative overhead costs.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Stock-Based Compensation</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A4967"/>
        </w:rPr>
        <w:t>The Company accounts for share-based awards in accordance with ASC Topic 718, Compensation – Stock Compensation (“ASC 718”), which generally requires recognition of share-based compensation costs in financial statements based on fair value. Compensation cost is recognized over the period during which an employee is required to provide services in exchange for the award (the requisite service period). The amount of compensation cost recognized in the consolidated statements of comprehensive income is based on the awards ultimately expected to vest, and therefore, reduced for estimated forfeitures. Stock- based compensation was $19.0 million, $17.0 million and $14.0 million in fiscal years 2024, 2023, and 2022, respectively.</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As permitted by ASC 718, the Company elected to use a lattice model, such as the trinomial option-pricing model, to estimate the fair values of stock options. All option-pricing models require the input of subjective assumptions. These assumptions include the estimated volatility of the Company’s common stock price over the expected term, the expected dividend rate, the estimated post-vesting forfeiture rate, the risk -free interest rate and expected exercise behavior. See Note O for further discussion of the application of the option-pricing models.</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In addition, an estimated pre-vesting forfeiture rate is applied in the recognition of the compensation charge. Periodically, the Company grants performance-based stock options. The Company only recognizes compensation expense with respect to these options if it is probable that the performance targets will be met. Consequently, at the end of each reporting period, the Company estimates whether it is probable that performance targets will be met. Changes in the subjective assumptions and estimates can materially affect the amount of stock-based compensation expense recognized in the consolidated statements of comprehensive income.</w:t>
      </w:r>
    </w:p>
    <w:p>
      <w:pPr>
        <w:spacing w:after="0" w:line="276"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123"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44</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54" w:name="page55"/>
    <w:bookmarkEnd w:id="54"/>
    <w:p>
      <w:pPr>
        <w:ind w:left="96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Net Income Per Share</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3A4967"/>
        </w:rPr>
        <w:t>Basic net income per share is calculated by dividing net income by the weighted -average common shares outstanding. Diluted net income per share is calculated by dividing net income by the weighted-average common shares and potentially dilutive securities outstanding during the period using the treasury stock method or the two-class method, whichever is more dilutive.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C. Recent Accounting Pronouncements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New accounting pronouncements are issued periodically by the FASB and are adopted by the Company as of the specified effective dates. Unless otherwise disclosed below, the Company believes that recently issued and adopted pronouncements will not have a material impact on the Company’s financial position, results of operations and cash flows or do not apply to the Company’s operations.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3A4967"/>
        </w:rPr>
        <w:t>In November 2023, the FASB issued ASU 2023-07—Segment Reporting (Topic 280): Improvements to Reportable Segment Disclosures. This ASU was issued to improve reportable segment disclosure requirements, primarily through enhanced d i s c l o s u re s a b o u t s i g n i f i c a n t s e g m e n t e x p e n s e s . T h i s ASU applies to all public entities that are required to report segment information in accordance with Topic 280, Segment Reporting. ASU 2023-07 is effective for fiscal years beginning after December 15, 2023, and interim periods within fiscal years beginning after December 15, 2024. The Company has adopted</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164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380"/>
        <w:spacing w:after="0" w:line="331" w:lineRule="auto"/>
        <w:rPr>
          <w:sz w:val="20"/>
          <w:szCs w:val="20"/>
          <w:color w:val="auto"/>
        </w:rPr>
      </w:pPr>
      <w:r>
        <w:rPr>
          <w:rFonts w:ascii="Arial" w:cs="Arial" w:eastAsia="Arial" w:hAnsi="Arial"/>
          <w:sz w:val="16"/>
          <w:szCs w:val="16"/>
          <w:color w:val="3A4967"/>
        </w:rPr>
        <w:t>ASU 2023-07 for the fiscal year ending December 28, 2024. See Note U for further discussion of the Company’s segment reporting.</w:t>
      </w:r>
    </w:p>
    <w:p>
      <w:pPr>
        <w:spacing w:after="0" w:line="38" w:lineRule="exact"/>
        <w:rPr>
          <w:sz w:val="20"/>
          <w:szCs w:val="20"/>
          <w:color w:val="auto"/>
        </w:rPr>
      </w:pPr>
    </w:p>
    <w:p>
      <w:pPr>
        <w:jc w:val="both"/>
        <w:ind w:right="380"/>
        <w:spacing w:after="0" w:line="286" w:lineRule="auto"/>
        <w:rPr>
          <w:sz w:val="20"/>
          <w:szCs w:val="20"/>
          <w:color w:val="auto"/>
        </w:rPr>
      </w:pPr>
      <w:r>
        <w:rPr>
          <w:rFonts w:ascii="Arial" w:cs="Arial" w:eastAsia="Arial" w:hAnsi="Arial"/>
          <w:sz w:val="16"/>
          <w:szCs w:val="16"/>
          <w:color w:val="3A4967"/>
        </w:rPr>
        <w:t>In December 2023, the FASB issued ASU 2023-09—Income Taxes (Topic 740): Improvements to Income Tax Disclosures. This ASU was issued to address investor requests for more transparency about income tax information through improvements to income tax disclosure primarily related to the rate reconciliation and income taxes paid information, and to improve the effectiveness of income tax disclosures. This ASU is effective for public entities for annual periods beginning after December 15, 2024. Early adoption is permitted. ASU 2023-09 will be effective for the Company in the first quarter of its fiscal year ending December 27, 2025. The Company is currently evaluating the impact the adoption of this ASU will have on its consolidated financial statements.</w:t>
      </w:r>
    </w:p>
    <w:p>
      <w:pPr>
        <w:spacing w:after="0" w:line="74" w:lineRule="exact"/>
        <w:rPr>
          <w:sz w:val="20"/>
          <w:szCs w:val="20"/>
          <w:color w:val="auto"/>
        </w:rPr>
      </w:pPr>
    </w:p>
    <w:p>
      <w:pPr>
        <w:jc w:val="both"/>
        <w:ind w:right="380"/>
        <w:spacing w:after="0" w:line="267" w:lineRule="auto"/>
        <w:rPr>
          <w:sz w:val="20"/>
          <w:szCs w:val="20"/>
          <w:color w:val="auto"/>
        </w:rPr>
      </w:pPr>
      <w:r>
        <w:rPr>
          <w:rFonts w:ascii="Arial" w:cs="Arial" w:eastAsia="Arial" w:hAnsi="Arial"/>
          <w:sz w:val="17"/>
          <w:szCs w:val="17"/>
          <w:color w:val="3A4967"/>
        </w:rPr>
        <w:t>In November 2024, the FASB issued ASU 2024-03—Income Statement - Reporting Comprehensive Income - Expenses Disaggregation Disclosures (SubTopic 220-40): Disaggregation of Income Statement Expenses. This ASU was issued to address investor requests for more detailed information about the types of expenses in commonly presented expense captions (such as cost of sales, SG&amp;A, and research and development). This ASU is effective for public entities for annual periods beginning after December 15, 2026. Early adoption is permitted. ASU 2024-03 will be effective for the Company in the first quarter of its fiscal year ending December 15, 2027. The Company is currently evaluating the impact the adoption of this ASU will have on its consolidated financial statements.</w:t>
      </w:r>
    </w:p>
    <w:p>
      <w:pPr>
        <w:spacing w:after="0" w:line="200"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D. Inventories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3A4967"/>
        </w:rPr>
        <w:t>Inventories consisted of the following as 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4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420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28, 2024</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30, 2023</w:t>
            </w:r>
          </w:p>
        </w:tc>
      </w:tr>
      <w:tr>
        <w:trPr>
          <w:trHeight w:val="36"/>
        </w:trPr>
        <w:tc>
          <w:tcPr>
            <w:tcW w:w="4340" w:type="dxa"/>
            <w:vAlign w:val="bottom"/>
            <w:tcBorders>
              <w:bottom w:val="single" w:sz="8" w:color="3A4967"/>
            </w:tcBorders>
          </w:tcPr>
          <w:p>
            <w:pPr>
              <w:spacing w:after="0"/>
              <w:rPr>
                <w:sz w:val="3"/>
                <w:szCs w:val="3"/>
                <w:color w:val="auto"/>
              </w:rPr>
            </w:pPr>
          </w:p>
        </w:tc>
        <w:tc>
          <w:tcPr>
            <w:tcW w:w="326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920" w:type="dxa"/>
            <w:vAlign w:val="bottom"/>
            <w:tcBorders>
              <w:bottom w:val="single" w:sz="8" w:color="3A4967"/>
            </w:tcBorders>
          </w:tcPr>
          <w:p>
            <w:pPr>
              <w:spacing w:after="0"/>
              <w:rPr>
                <w:sz w:val="3"/>
                <w:szCs w:val="3"/>
                <w:color w:val="auto"/>
              </w:rPr>
            </w:pPr>
          </w:p>
        </w:tc>
      </w:tr>
      <w:tr>
        <w:trPr>
          <w:trHeight w:val="227"/>
        </w:trPr>
        <w:tc>
          <w:tcPr>
            <w:tcW w:w="4340" w:type="dxa"/>
            <w:vAlign w:val="bottom"/>
          </w:tcPr>
          <w:p>
            <w:pPr>
              <w:ind w:left="80"/>
              <w:spacing w:after="0"/>
              <w:rPr>
                <w:sz w:val="20"/>
                <w:szCs w:val="20"/>
                <w:color w:val="auto"/>
              </w:rPr>
            </w:pPr>
            <w:r>
              <w:rPr>
                <w:rFonts w:ascii="Arial" w:cs="Arial" w:eastAsia="Arial" w:hAnsi="Arial"/>
                <w:sz w:val="17"/>
                <w:szCs w:val="17"/>
                <w:color w:val="3A4967"/>
              </w:rPr>
              <w:t>Current inventory:</w:t>
            </w:r>
          </w:p>
        </w:tc>
        <w:tc>
          <w:tcPr>
            <w:tcW w:w="3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89"/>
        </w:trPr>
        <w:tc>
          <w:tcPr>
            <w:tcW w:w="4340" w:type="dxa"/>
            <w:vAlign w:val="bottom"/>
          </w:tcPr>
          <w:p>
            <w:pPr>
              <w:ind w:left="220"/>
              <w:spacing w:after="0"/>
              <w:rPr>
                <w:sz w:val="20"/>
                <w:szCs w:val="20"/>
                <w:color w:val="auto"/>
              </w:rPr>
            </w:pPr>
            <w:r>
              <w:rPr>
                <w:rFonts w:ascii="Arial" w:cs="Arial" w:eastAsia="Arial" w:hAnsi="Arial"/>
                <w:sz w:val="17"/>
                <w:szCs w:val="17"/>
                <w:color w:val="3A4967"/>
              </w:rPr>
              <w:t>Raw materials</w:t>
            </w:r>
          </w:p>
        </w:tc>
        <w:tc>
          <w:tcPr>
            <w:tcW w:w="3260" w:type="dxa"/>
            <w:vAlign w:val="bottom"/>
          </w:tcPr>
          <w:p>
            <w:pPr>
              <w:jc w:val="right"/>
              <w:ind w:right="57"/>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48,321</w:t>
            </w:r>
          </w:p>
        </w:tc>
        <w:tc>
          <w:tcPr>
            <w:tcW w:w="720" w:type="dxa"/>
            <w:vAlign w:val="bottom"/>
          </w:tcPr>
          <w:p>
            <w:pPr>
              <w:jc w:val="right"/>
              <w:ind w:right="57"/>
              <w:spacing w:after="0"/>
              <w:rPr>
                <w:sz w:val="20"/>
                <w:szCs w:val="20"/>
                <w:color w:val="auto"/>
              </w:rPr>
            </w:pPr>
            <w:r>
              <w:rPr>
                <w:rFonts w:ascii="Arial" w:cs="Arial" w:eastAsia="Arial" w:hAnsi="Arial"/>
                <w:sz w:val="17"/>
                <w:szCs w:val="17"/>
                <w:color w:val="3A4967"/>
              </w:rPr>
              <w:t>$</w:t>
            </w:r>
          </w:p>
        </w:tc>
        <w:tc>
          <w:tcPr>
            <w:tcW w:w="920" w:type="dxa"/>
            <w:vAlign w:val="bottom"/>
          </w:tcPr>
          <w:p>
            <w:pPr>
              <w:jc w:val="right"/>
              <w:spacing w:after="0"/>
              <w:rPr>
                <w:sz w:val="20"/>
                <w:szCs w:val="20"/>
                <w:color w:val="auto"/>
              </w:rPr>
            </w:pPr>
            <w:r>
              <w:rPr>
                <w:rFonts w:ascii="Arial" w:cs="Arial" w:eastAsia="Arial" w:hAnsi="Arial"/>
                <w:sz w:val="17"/>
                <w:szCs w:val="17"/>
                <w:color w:val="3A4967"/>
              </w:rPr>
              <w:t>55,116</w:t>
            </w:r>
          </w:p>
        </w:tc>
      </w:tr>
      <w:tr>
        <w:trPr>
          <w:trHeight w:val="281"/>
        </w:trPr>
        <w:tc>
          <w:tcPr>
            <w:tcW w:w="4340" w:type="dxa"/>
            <w:vAlign w:val="bottom"/>
          </w:tcPr>
          <w:p>
            <w:pPr>
              <w:ind w:left="220"/>
              <w:spacing w:after="0"/>
              <w:rPr>
                <w:sz w:val="20"/>
                <w:szCs w:val="20"/>
                <w:color w:val="auto"/>
              </w:rPr>
            </w:pPr>
            <w:r>
              <w:rPr>
                <w:rFonts w:ascii="Arial" w:cs="Arial" w:eastAsia="Arial" w:hAnsi="Arial"/>
                <w:sz w:val="17"/>
                <w:szCs w:val="17"/>
                <w:color w:val="3A4967"/>
              </w:rPr>
              <w:t>Work in process</w:t>
            </w:r>
          </w:p>
        </w:tc>
        <w:tc>
          <w:tcPr>
            <w:tcW w:w="3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3A4967"/>
              </w:rPr>
              <w:t>18,878</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3A4967"/>
              </w:rPr>
              <w:t>18,750</w:t>
            </w:r>
          </w:p>
        </w:tc>
      </w:tr>
      <w:tr>
        <w:trPr>
          <w:trHeight w:val="281"/>
        </w:trPr>
        <w:tc>
          <w:tcPr>
            <w:tcW w:w="4340" w:type="dxa"/>
            <w:vAlign w:val="bottom"/>
          </w:tcPr>
          <w:p>
            <w:pPr>
              <w:ind w:left="220"/>
              <w:spacing w:after="0"/>
              <w:rPr>
                <w:sz w:val="20"/>
                <w:szCs w:val="20"/>
                <w:color w:val="auto"/>
              </w:rPr>
            </w:pPr>
            <w:r>
              <w:rPr>
                <w:rFonts w:ascii="Arial" w:cs="Arial" w:eastAsia="Arial" w:hAnsi="Arial"/>
                <w:sz w:val="17"/>
                <w:szCs w:val="17"/>
                <w:color w:val="3A4967"/>
              </w:rPr>
              <w:t>Finished goods</w:t>
            </w:r>
          </w:p>
        </w:tc>
        <w:tc>
          <w:tcPr>
            <w:tcW w:w="3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3A4967"/>
              </w:rPr>
              <w:t>49,960</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3A4967"/>
              </w:rPr>
              <w:t>41,907</w:t>
            </w:r>
          </w:p>
        </w:tc>
      </w:tr>
      <w:tr>
        <w:trPr>
          <w:trHeight w:val="281"/>
        </w:trPr>
        <w:tc>
          <w:tcPr>
            <w:tcW w:w="4340" w:type="dxa"/>
            <w:vAlign w:val="bottom"/>
          </w:tcPr>
          <w:p>
            <w:pPr>
              <w:ind w:left="80"/>
              <w:spacing w:after="0"/>
              <w:rPr>
                <w:sz w:val="20"/>
                <w:szCs w:val="20"/>
                <w:color w:val="auto"/>
              </w:rPr>
            </w:pPr>
            <w:r>
              <w:rPr>
                <w:rFonts w:ascii="Arial" w:cs="Arial" w:eastAsia="Arial" w:hAnsi="Arial"/>
                <w:sz w:val="17"/>
                <w:szCs w:val="17"/>
                <w:color w:val="3A4967"/>
              </w:rPr>
              <w:t>Total current inventory</w:t>
            </w:r>
          </w:p>
        </w:tc>
        <w:tc>
          <w:tcPr>
            <w:tcW w:w="3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3A4967"/>
              </w:rPr>
              <w:t>117,159</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3A4967"/>
              </w:rPr>
              <w:t>115,773</w:t>
            </w:r>
          </w:p>
        </w:tc>
      </w:tr>
      <w:tr>
        <w:trPr>
          <w:trHeight w:val="281"/>
        </w:trPr>
        <w:tc>
          <w:tcPr>
            <w:tcW w:w="4340" w:type="dxa"/>
            <w:vAlign w:val="bottom"/>
          </w:tcPr>
          <w:p>
            <w:pPr>
              <w:ind w:left="80"/>
              <w:spacing w:after="0"/>
              <w:rPr>
                <w:sz w:val="20"/>
                <w:szCs w:val="20"/>
                <w:color w:val="auto"/>
              </w:rPr>
            </w:pPr>
            <w:r>
              <w:rPr>
                <w:rFonts w:ascii="Arial" w:cs="Arial" w:eastAsia="Arial" w:hAnsi="Arial"/>
                <w:sz w:val="17"/>
                <w:szCs w:val="17"/>
                <w:color w:val="3A4967"/>
              </w:rPr>
              <w:t>Long term inventory</w:t>
            </w:r>
          </w:p>
        </w:tc>
        <w:tc>
          <w:tcPr>
            <w:tcW w:w="3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3A4967"/>
              </w:rPr>
              <w:t>6,076</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3A4967"/>
              </w:rPr>
              <w:t>14,369</w:t>
            </w:r>
          </w:p>
        </w:tc>
      </w:tr>
      <w:tr>
        <w:trPr>
          <w:trHeight w:val="35"/>
        </w:trPr>
        <w:tc>
          <w:tcPr>
            <w:tcW w:w="4340" w:type="dxa"/>
            <w:vAlign w:val="bottom"/>
            <w:tcBorders>
              <w:bottom w:val="single" w:sz="8" w:color="3A4967"/>
            </w:tcBorders>
          </w:tcPr>
          <w:p>
            <w:pPr>
              <w:spacing w:after="0"/>
              <w:rPr>
                <w:sz w:val="3"/>
                <w:szCs w:val="3"/>
                <w:color w:val="auto"/>
              </w:rPr>
            </w:pPr>
          </w:p>
        </w:tc>
        <w:tc>
          <w:tcPr>
            <w:tcW w:w="326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920" w:type="dxa"/>
            <w:vAlign w:val="bottom"/>
            <w:tcBorders>
              <w:bottom w:val="single" w:sz="8" w:color="3A4967"/>
            </w:tcBorders>
          </w:tcPr>
          <w:p>
            <w:pPr>
              <w:spacing w:after="0"/>
              <w:rPr>
                <w:sz w:val="3"/>
                <w:szCs w:val="3"/>
                <w:color w:val="auto"/>
              </w:rPr>
            </w:pPr>
          </w:p>
        </w:tc>
      </w:tr>
      <w:tr>
        <w:trPr>
          <w:trHeight w:val="266"/>
        </w:trPr>
        <w:tc>
          <w:tcPr>
            <w:tcW w:w="434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TOTAL INVENTORY</w:t>
            </w:r>
          </w:p>
        </w:tc>
        <w:tc>
          <w:tcPr>
            <w:tcW w:w="3260" w:type="dxa"/>
            <w:vAlign w:val="bottom"/>
            <w:tcBorders>
              <w:bottom w:val="single" w:sz="8" w:color="3A4967"/>
            </w:tcBorders>
          </w:tcPr>
          <w:p>
            <w:pPr>
              <w:jc w:val="right"/>
              <w:ind w:right="57"/>
              <w:spacing w:after="0"/>
              <w:rPr>
                <w:sz w:val="20"/>
                <w:szCs w:val="20"/>
                <w:color w:val="auto"/>
              </w:rPr>
            </w:pPr>
            <w:r>
              <w:rPr>
                <w:rFonts w:ascii="Arial" w:cs="Arial" w:eastAsia="Arial" w:hAnsi="Arial"/>
                <w:sz w:val="17"/>
                <w:szCs w:val="17"/>
                <w:b w:val="1"/>
                <w:bCs w:val="1"/>
                <w:color w:val="3A4967"/>
              </w:rPr>
              <w:t>$</w:t>
            </w:r>
          </w:p>
        </w:tc>
        <w:tc>
          <w:tcPr>
            <w:tcW w:w="9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123,235</w:t>
            </w:r>
          </w:p>
        </w:tc>
        <w:tc>
          <w:tcPr>
            <w:tcW w:w="720" w:type="dxa"/>
            <w:vAlign w:val="bottom"/>
            <w:tcBorders>
              <w:bottom w:val="single" w:sz="8" w:color="3A4967"/>
            </w:tcBorders>
          </w:tcPr>
          <w:p>
            <w:pPr>
              <w:jc w:val="right"/>
              <w:ind w:right="57"/>
              <w:spacing w:after="0"/>
              <w:rPr>
                <w:sz w:val="20"/>
                <w:szCs w:val="20"/>
                <w:color w:val="auto"/>
              </w:rPr>
            </w:pPr>
            <w:r>
              <w:rPr>
                <w:rFonts w:ascii="Arial" w:cs="Arial" w:eastAsia="Arial" w:hAnsi="Arial"/>
                <w:sz w:val="17"/>
                <w:szCs w:val="17"/>
                <w:b w:val="1"/>
                <w:bCs w:val="1"/>
                <w:color w:val="3A4967"/>
              </w:rPr>
              <w:t>$</w:t>
            </w:r>
          </w:p>
        </w:tc>
        <w:tc>
          <w:tcPr>
            <w:tcW w:w="92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130,142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-1275080</wp:posOffset>
            </wp:positionV>
            <wp:extent cx="6479540" cy="12706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479540" cy="1270635"/>
                    </a:xfrm>
                    <a:prstGeom prst="rect">
                      <a:avLst/>
                    </a:prstGeom>
                    <a:noFill/>
                  </pic:spPr>
                </pic:pic>
              </a:graphicData>
            </a:graphic>
          </wp:anchor>
        </w:drawing>
      </w:r>
    </w:p>
    <w:p>
      <w:pPr>
        <w:spacing w:after="0" w:line="51" w:lineRule="exact"/>
        <w:rPr>
          <w:sz w:val="20"/>
          <w:szCs w:val="20"/>
          <w:color w:val="auto"/>
        </w:rPr>
      </w:pPr>
    </w:p>
    <w:p>
      <w:pPr>
        <w:jc w:val="both"/>
        <w:ind w:right="380"/>
        <w:spacing w:after="0" w:line="331" w:lineRule="auto"/>
        <w:rPr>
          <w:sz w:val="20"/>
          <w:szCs w:val="20"/>
          <w:color w:val="auto"/>
        </w:rPr>
      </w:pPr>
      <w:r>
        <w:rPr>
          <w:rFonts w:ascii="Arial" w:cs="Arial" w:eastAsia="Arial" w:hAnsi="Arial"/>
          <w:sz w:val="16"/>
          <w:szCs w:val="16"/>
          <w:color w:val="3A4967"/>
        </w:rPr>
        <w:t>As of December 28, 2024 and December 30, 2023, the Company has recorded inventory obsolescence reserves of $16.3 million and $7.6 million, respectively. The increase in inventory obsolescence reserves was primarily driven by the reserves for slow moving inventory.</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E. Prepaid Expenses and Other Current Assets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3A4967"/>
        </w:rPr>
        <w:t>Prepaid expenses and other current assets consisted of the following as 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8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246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28, 2024</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30, 2023</w:t>
            </w:r>
          </w:p>
        </w:tc>
      </w:tr>
      <w:tr>
        <w:trPr>
          <w:trHeight w:val="36"/>
        </w:trPr>
        <w:tc>
          <w:tcPr>
            <w:tcW w:w="6080" w:type="dxa"/>
            <w:vAlign w:val="bottom"/>
            <w:tcBorders>
              <w:bottom w:val="single" w:sz="8" w:color="3A4967"/>
            </w:tcBorders>
          </w:tcPr>
          <w:p>
            <w:pPr>
              <w:spacing w:after="0"/>
              <w:rPr>
                <w:sz w:val="3"/>
                <w:szCs w:val="3"/>
                <w:color w:val="auto"/>
              </w:rPr>
            </w:pPr>
          </w:p>
        </w:tc>
        <w:tc>
          <w:tcPr>
            <w:tcW w:w="158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76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r>
      <w:tr>
        <w:trPr>
          <w:trHeight w:val="223"/>
        </w:trPr>
        <w:tc>
          <w:tcPr>
            <w:tcW w:w="6080" w:type="dxa"/>
            <w:vAlign w:val="bottom"/>
          </w:tcPr>
          <w:p>
            <w:pPr>
              <w:ind w:left="80"/>
              <w:spacing w:after="0"/>
              <w:rPr>
                <w:sz w:val="20"/>
                <w:szCs w:val="20"/>
                <w:color w:val="auto"/>
              </w:rPr>
            </w:pPr>
            <w:r>
              <w:rPr>
                <w:rFonts w:ascii="Arial" w:cs="Arial" w:eastAsia="Arial" w:hAnsi="Arial"/>
                <w:sz w:val="17"/>
                <w:szCs w:val="17"/>
                <w:color w:val="3A4967"/>
              </w:rPr>
              <w:t>Prepaid insurance</w:t>
            </w:r>
          </w:p>
        </w:tc>
        <w:tc>
          <w:tcPr>
            <w:tcW w:w="1580" w:type="dxa"/>
            <w:vAlign w:val="bottom"/>
          </w:tcPr>
          <w:p>
            <w:pPr>
              <w:jc w:val="right"/>
              <w:ind w:right="117"/>
              <w:spacing w:after="0"/>
              <w:rPr>
                <w:sz w:val="20"/>
                <w:szCs w:val="20"/>
                <w:color w:val="auto"/>
              </w:rPr>
            </w:pPr>
            <w:r>
              <w:rPr>
                <w:rFonts w:ascii="Arial" w:cs="Arial" w:eastAsia="Arial" w:hAnsi="Arial"/>
                <w:sz w:val="17"/>
                <w:szCs w:val="17"/>
                <w:color w:val="3A4967"/>
              </w:rPr>
              <w:t>$</w:t>
            </w:r>
          </w:p>
        </w:tc>
        <w:tc>
          <w:tcPr>
            <w:tcW w:w="880" w:type="dxa"/>
            <w:vAlign w:val="bottom"/>
          </w:tcPr>
          <w:p>
            <w:pPr>
              <w:jc w:val="right"/>
              <w:spacing w:after="0"/>
              <w:rPr>
                <w:sz w:val="20"/>
                <w:szCs w:val="20"/>
                <w:color w:val="auto"/>
              </w:rPr>
            </w:pPr>
            <w:r>
              <w:rPr>
                <w:rFonts w:ascii="Arial" w:cs="Arial" w:eastAsia="Arial" w:hAnsi="Arial"/>
                <w:sz w:val="17"/>
                <w:szCs w:val="17"/>
                <w:color w:val="3A4967"/>
              </w:rPr>
              <w:t>4,718</w:t>
            </w:r>
          </w:p>
        </w:tc>
        <w:tc>
          <w:tcPr>
            <w:tcW w:w="760" w:type="dxa"/>
            <w:vAlign w:val="bottom"/>
          </w:tcPr>
          <w:p>
            <w:pPr>
              <w:jc w:val="right"/>
              <w:ind w:right="97"/>
              <w:spacing w:after="0"/>
              <w:rPr>
                <w:sz w:val="20"/>
                <w:szCs w:val="20"/>
                <w:color w:val="auto"/>
              </w:rPr>
            </w:pPr>
            <w:r>
              <w:rPr>
                <w:rFonts w:ascii="Arial" w:cs="Arial" w:eastAsia="Arial" w:hAnsi="Arial"/>
                <w:sz w:val="17"/>
                <w:szCs w:val="17"/>
                <w:color w:val="3A4967"/>
              </w:rPr>
              <w:t>$</w:t>
            </w:r>
          </w:p>
        </w:tc>
        <w:tc>
          <w:tcPr>
            <w:tcW w:w="880" w:type="dxa"/>
            <w:vAlign w:val="bottom"/>
          </w:tcPr>
          <w:p>
            <w:pPr>
              <w:jc w:val="right"/>
              <w:spacing w:after="0"/>
              <w:rPr>
                <w:sz w:val="20"/>
                <w:szCs w:val="20"/>
                <w:color w:val="auto"/>
              </w:rPr>
            </w:pPr>
            <w:r>
              <w:rPr>
                <w:rFonts w:ascii="Arial" w:cs="Arial" w:eastAsia="Arial" w:hAnsi="Arial"/>
                <w:sz w:val="17"/>
                <w:szCs w:val="17"/>
                <w:color w:val="3A4967"/>
              </w:rPr>
              <w:t>3,394</w:t>
            </w:r>
          </w:p>
        </w:tc>
      </w:tr>
      <w:tr>
        <w:trPr>
          <w:trHeight w:val="281"/>
        </w:trPr>
        <w:tc>
          <w:tcPr>
            <w:tcW w:w="6080" w:type="dxa"/>
            <w:vAlign w:val="bottom"/>
          </w:tcPr>
          <w:p>
            <w:pPr>
              <w:ind w:left="80"/>
              <w:spacing w:after="0"/>
              <w:rPr>
                <w:sz w:val="20"/>
                <w:szCs w:val="20"/>
                <w:color w:val="auto"/>
              </w:rPr>
            </w:pPr>
            <w:r>
              <w:rPr>
                <w:rFonts w:ascii="Arial" w:cs="Arial" w:eastAsia="Arial" w:hAnsi="Arial"/>
                <w:sz w:val="17"/>
                <w:szCs w:val="17"/>
                <w:color w:val="3A4967"/>
              </w:rPr>
              <w:t>Prepaid advertising, promotional and selling costs</w:t>
            </w:r>
          </w:p>
        </w:tc>
        <w:tc>
          <w:tcPr>
            <w:tcW w:w="1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4,678</w:t>
            </w:r>
          </w:p>
        </w:tc>
        <w:tc>
          <w:tcPr>
            <w:tcW w:w="7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3,324</w:t>
            </w:r>
          </w:p>
        </w:tc>
      </w:tr>
      <w:tr>
        <w:trPr>
          <w:trHeight w:val="281"/>
        </w:trPr>
        <w:tc>
          <w:tcPr>
            <w:tcW w:w="6080" w:type="dxa"/>
            <w:vAlign w:val="bottom"/>
          </w:tcPr>
          <w:p>
            <w:pPr>
              <w:ind w:left="80"/>
              <w:spacing w:after="0"/>
              <w:rPr>
                <w:sz w:val="20"/>
                <w:szCs w:val="20"/>
                <w:color w:val="auto"/>
              </w:rPr>
            </w:pPr>
            <w:r>
              <w:rPr>
                <w:rFonts w:ascii="Arial" w:cs="Arial" w:eastAsia="Arial" w:hAnsi="Arial"/>
                <w:sz w:val="17"/>
                <w:szCs w:val="17"/>
                <w:color w:val="3A4967"/>
              </w:rPr>
              <w:t>Prepaid taxes</w:t>
            </w:r>
          </w:p>
        </w:tc>
        <w:tc>
          <w:tcPr>
            <w:tcW w:w="1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3,984</w:t>
            </w:r>
          </w:p>
        </w:tc>
        <w:tc>
          <w:tcPr>
            <w:tcW w:w="7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5,536</w:t>
            </w:r>
          </w:p>
        </w:tc>
      </w:tr>
      <w:tr>
        <w:trPr>
          <w:trHeight w:val="281"/>
        </w:trPr>
        <w:tc>
          <w:tcPr>
            <w:tcW w:w="6080" w:type="dxa"/>
            <w:vAlign w:val="bottom"/>
          </w:tcPr>
          <w:p>
            <w:pPr>
              <w:ind w:left="80"/>
              <w:spacing w:after="0"/>
              <w:rPr>
                <w:sz w:val="20"/>
                <w:szCs w:val="20"/>
                <w:color w:val="auto"/>
              </w:rPr>
            </w:pPr>
            <w:r>
              <w:rPr>
                <w:rFonts w:ascii="Arial" w:cs="Arial" w:eastAsia="Arial" w:hAnsi="Arial"/>
                <w:sz w:val="17"/>
                <w:szCs w:val="17"/>
                <w:color w:val="3A4967"/>
              </w:rPr>
              <w:t>Prepaid software and consulting fees</w:t>
            </w:r>
          </w:p>
        </w:tc>
        <w:tc>
          <w:tcPr>
            <w:tcW w:w="1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3,907</w:t>
            </w:r>
          </w:p>
        </w:tc>
        <w:tc>
          <w:tcPr>
            <w:tcW w:w="7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3,627</w:t>
            </w:r>
          </w:p>
        </w:tc>
      </w:tr>
      <w:tr>
        <w:trPr>
          <w:trHeight w:val="281"/>
        </w:trPr>
        <w:tc>
          <w:tcPr>
            <w:tcW w:w="6080" w:type="dxa"/>
            <w:vAlign w:val="bottom"/>
          </w:tcPr>
          <w:p>
            <w:pPr>
              <w:ind w:left="80"/>
              <w:spacing w:after="0"/>
              <w:rPr>
                <w:sz w:val="20"/>
                <w:szCs w:val="20"/>
                <w:color w:val="auto"/>
              </w:rPr>
            </w:pPr>
            <w:r>
              <w:rPr>
                <w:rFonts w:ascii="Arial" w:cs="Arial" w:eastAsia="Arial" w:hAnsi="Arial"/>
                <w:sz w:val="17"/>
                <w:szCs w:val="17"/>
                <w:color w:val="3A4967"/>
              </w:rPr>
              <w:t>Other</w:t>
            </w:r>
          </w:p>
        </w:tc>
        <w:tc>
          <w:tcPr>
            <w:tcW w:w="1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2,922</w:t>
            </w:r>
          </w:p>
        </w:tc>
        <w:tc>
          <w:tcPr>
            <w:tcW w:w="7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4,657</w:t>
            </w:r>
          </w:p>
        </w:tc>
      </w:tr>
      <w:tr>
        <w:trPr>
          <w:trHeight w:val="35"/>
        </w:trPr>
        <w:tc>
          <w:tcPr>
            <w:tcW w:w="6080" w:type="dxa"/>
            <w:vAlign w:val="bottom"/>
            <w:tcBorders>
              <w:bottom w:val="single" w:sz="8" w:color="3A4967"/>
            </w:tcBorders>
          </w:tcPr>
          <w:p>
            <w:pPr>
              <w:spacing w:after="0"/>
              <w:rPr>
                <w:sz w:val="3"/>
                <w:szCs w:val="3"/>
                <w:color w:val="auto"/>
              </w:rPr>
            </w:pPr>
          </w:p>
        </w:tc>
        <w:tc>
          <w:tcPr>
            <w:tcW w:w="158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76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r>
      <w:tr>
        <w:trPr>
          <w:trHeight w:val="266"/>
        </w:trPr>
        <w:tc>
          <w:tcPr>
            <w:tcW w:w="608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TOTAL PREPAID EXPENSES AND OTHER CURRENT ASSETS</w:t>
            </w:r>
          </w:p>
        </w:tc>
        <w:tc>
          <w:tcPr>
            <w:tcW w:w="1580" w:type="dxa"/>
            <w:vAlign w:val="bottom"/>
            <w:tcBorders>
              <w:bottom w:val="single" w:sz="8" w:color="3A4967"/>
            </w:tcBorders>
          </w:tcPr>
          <w:p>
            <w:pPr>
              <w:jc w:val="right"/>
              <w:ind w:right="117"/>
              <w:spacing w:after="0"/>
              <w:rPr>
                <w:sz w:val="20"/>
                <w:szCs w:val="20"/>
                <w:color w:val="auto"/>
              </w:rPr>
            </w:pPr>
            <w:r>
              <w:rPr>
                <w:rFonts w:ascii="Arial" w:cs="Arial" w:eastAsia="Arial" w:hAnsi="Arial"/>
                <w:sz w:val="17"/>
                <w:szCs w:val="17"/>
                <w:b w:val="1"/>
                <w:bCs w:val="1"/>
                <w:color w:val="3A4967"/>
              </w:rPr>
              <w:t>$</w:t>
            </w:r>
          </w:p>
        </w:tc>
        <w:tc>
          <w:tcPr>
            <w:tcW w:w="8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20,209</w:t>
            </w:r>
          </w:p>
        </w:tc>
        <w:tc>
          <w:tcPr>
            <w:tcW w:w="760" w:type="dxa"/>
            <w:vAlign w:val="bottom"/>
            <w:tcBorders>
              <w:bottom w:val="single" w:sz="8" w:color="3A4967"/>
            </w:tcBorders>
          </w:tcPr>
          <w:p>
            <w:pPr>
              <w:jc w:val="right"/>
              <w:ind w:right="97"/>
              <w:spacing w:after="0"/>
              <w:rPr>
                <w:sz w:val="20"/>
                <w:szCs w:val="20"/>
                <w:color w:val="auto"/>
              </w:rPr>
            </w:pPr>
            <w:r>
              <w:rPr>
                <w:rFonts w:ascii="Arial" w:cs="Arial" w:eastAsia="Arial" w:hAnsi="Arial"/>
                <w:sz w:val="17"/>
                <w:szCs w:val="17"/>
                <w:b w:val="1"/>
                <w:bCs w:val="1"/>
                <w:color w:val="3A4967"/>
              </w:rPr>
              <w:t>$</w:t>
            </w:r>
          </w:p>
        </w:tc>
        <w:tc>
          <w:tcPr>
            <w:tcW w:w="8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20,538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207645</wp:posOffset>
            </wp:positionV>
            <wp:extent cx="2584450" cy="1917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84450" cy="19177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-1132205</wp:posOffset>
            </wp:positionV>
            <wp:extent cx="6565900" cy="9925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565900" cy="99250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p>
      <w:pPr>
        <w:spacing w:after="0" w:line="398"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55" w:name="page56"/>
    <w:bookmarkEnd w:id="55"/>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6D7890"/>
        </w:rPr>
        <w:t>F. Property, Plant, and Equipment</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Property, plant, and equipment consisted of the following as of:</w:t>
      </w:r>
    </w:p>
    <w:p>
      <w:pPr>
        <w:spacing w:after="0" w:line="199" w:lineRule="exact"/>
        <w:rPr>
          <w:sz w:val="20"/>
          <w:szCs w:val="20"/>
          <w:color w:val="auto"/>
        </w:rPr>
      </w:pPr>
    </w:p>
    <w:tbl>
      <w:tblPr>
        <w:tblLayout w:type="fixed"/>
        <w:tblInd w:w="400" w:type="dxa"/>
        <w:tblCellMar>
          <w:top w:w="0" w:type="dxa"/>
          <w:left w:w="0" w:type="dxa"/>
          <w:bottom w:w="0" w:type="dxa"/>
          <w:right w:w="0" w:type="dxa"/>
        </w:tblCellMar>
      </w:tblPr>
      <w:tr>
        <w:trPr>
          <w:trHeight w:val="198"/>
        </w:trPr>
        <w:tc>
          <w:tcPr>
            <w:tcW w:w="534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3200" w:type="dxa"/>
            <w:vAlign w:val="bottom"/>
            <w:gridSpan w:val="2"/>
          </w:tcPr>
          <w:p>
            <w:pPr>
              <w:jc w:val="right"/>
              <w:ind w:right="15"/>
              <w:spacing w:after="0"/>
              <w:rPr>
                <w:sz w:val="20"/>
                <w:szCs w:val="20"/>
                <w:color w:val="auto"/>
              </w:rPr>
            </w:pPr>
            <w:r>
              <w:rPr>
                <w:rFonts w:ascii="Arial" w:cs="Arial" w:eastAsia="Arial" w:hAnsi="Arial"/>
                <w:sz w:val="16"/>
                <w:szCs w:val="16"/>
                <w:b w:val="1"/>
                <w:bCs w:val="1"/>
                <w:color w:val="3A4967"/>
              </w:rPr>
              <w:t>December 28, 2024</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30, 2023</w:t>
            </w:r>
          </w:p>
        </w:tc>
      </w:tr>
      <w:tr>
        <w:trPr>
          <w:trHeight w:val="36"/>
        </w:trPr>
        <w:tc>
          <w:tcPr>
            <w:tcW w:w="5340" w:type="dxa"/>
            <w:vAlign w:val="bottom"/>
            <w:tcBorders>
              <w:bottom w:val="single" w:sz="8" w:color="3A4967"/>
            </w:tcBorders>
          </w:tcPr>
          <w:p>
            <w:pPr>
              <w:spacing w:after="0"/>
              <w:rPr>
                <w:sz w:val="3"/>
                <w:szCs w:val="3"/>
                <w:color w:val="auto"/>
              </w:rPr>
            </w:pPr>
          </w:p>
        </w:tc>
        <w:tc>
          <w:tcPr>
            <w:tcW w:w="218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6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r>
      <w:tr>
        <w:trPr>
          <w:trHeight w:val="223"/>
        </w:trPr>
        <w:tc>
          <w:tcPr>
            <w:tcW w:w="5340" w:type="dxa"/>
            <w:vAlign w:val="bottom"/>
          </w:tcPr>
          <w:p>
            <w:pPr>
              <w:ind w:left="80"/>
              <w:spacing w:after="0"/>
              <w:rPr>
                <w:sz w:val="20"/>
                <w:szCs w:val="20"/>
                <w:color w:val="auto"/>
              </w:rPr>
            </w:pPr>
            <w:r>
              <w:rPr>
                <w:rFonts w:ascii="Arial" w:cs="Arial" w:eastAsia="Arial" w:hAnsi="Arial"/>
                <w:sz w:val="17"/>
                <w:szCs w:val="17"/>
                <w:color w:val="3A4967"/>
              </w:rPr>
              <w:t>Machinery and plant equipment</w:t>
            </w:r>
          </w:p>
        </w:tc>
        <w:tc>
          <w:tcPr>
            <w:tcW w:w="2180" w:type="dxa"/>
            <w:vAlign w:val="bottom"/>
          </w:tcPr>
          <w:p>
            <w:pPr>
              <w:jc w:val="right"/>
              <w:ind w:right="57"/>
              <w:spacing w:after="0"/>
              <w:rPr>
                <w:sz w:val="20"/>
                <w:szCs w:val="20"/>
                <w:color w:val="auto"/>
              </w:rPr>
            </w:pPr>
            <w:r>
              <w:rPr>
                <w:rFonts w:ascii="Arial" w:cs="Arial" w:eastAsia="Arial" w:hAnsi="Arial"/>
                <w:sz w:val="17"/>
                <w:szCs w:val="17"/>
                <w:color w:val="3A4967"/>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3A4967"/>
              </w:rPr>
              <w:t>830,964</w:t>
            </w:r>
          </w:p>
        </w:tc>
        <w:tc>
          <w:tcPr>
            <w:tcW w:w="640" w:type="dxa"/>
            <w:vAlign w:val="bottom"/>
          </w:tcPr>
          <w:p>
            <w:pPr>
              <w:jc w:val="right"/>
              <w:ind w:right="57"/>
              <w:spacing w:after="0"/>
              <w:rPr>
                <w:sz w:val="20"/>
                <w:szCs w:val="20"/>
                <w:color w:val="auto"/>
              </w:rPr>
            </w:pPr>
            <w:r>
              <w:rPr>
                <w:rFonts w:ascii="Arial" w:cs="Arial" w:eastAsia="Arial" w:hAnsi="Arial"/>
                <w:sz w:val="17"/>
                <w:szCs w:val="17"/>
                <w:color w:val="3A4967"/>
              </w:rPr>
              <w:t>$</w:t>
            </w:r>
          </w:p>
        </w:tc>
        <w:tc>
          <w:tcPr>
            <w:tcW w:w="980" w:type="dxa"/>
            <w:vAlign w:val="bottom"/>
          </w:tcPr>
          <w:p>
            <w:pPr>
              <w:jc w:val="right"/>
              <w:spacing w:after="0"/>
              <w:rPr>
                <w:sz w:val="20"/>
                <w:szCs w:val="20"/>
                <w:color w:val="auto"/>
              </w:rPr>
            </w:pPr>
            <w:r>
              <w:rPr>
                <w:rFonts w:ascii="Arial" w:cs="Arial" w:eastAsia="Arial" w:hAnsi="Arial"/>
                <w:sz w:val="17"/>
                <w:szCs w:val="17"/>
                <w:color w:val="3A4967"/>
              </w:rPr>
              <w:t>777,185</w:t>
            </w:r>
          </w:p>
        </w:tc>
      </w:tr>
      <w:tr>
        <w:trPr>
          <w:trHeight w:val="281"/>
        </w:trPr>
        <w:tc>
          <w:tcPr>
            <w:tcW w:w="5340" w:type="dxa"/>
            <w:vAlign w:val="bottom"/>
          </w:tcPr>
          <w:p>
            <w:pPr>
              <w:ind w:left="80"/>
              <w:spacing w:after="0"/>
              <w:rPr>
                <w:sz w:val="20"/>
                <w:szCs w:val="20"/>
                <w:color w:val="auto"/>
              </w:rPr>
            </w:pPr>
            <w:r>
              <w:rPr>
                <w:rFonts w:ascii="Arial" w:cs="Arial" w:eastAsia="Arial" w:hAnsi="Arial"/>
                <w:sz w:val="17"/>
                <w:szCs w:val="17"/>
                <w:color w:val="3A4967"/>
              </w:rPr>
              <w:t>Building and building improvements</w:t>
            </w:r>
          </w:p>
        </w:tc>
        <w:tc>
          <w:tcPr>
            <w:tcW w:w="218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3A4967"/>
              </w:rPr>
              <w:t>256,829</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247,384</w:t>
            </w:r>
          </w:p>
        </w:tc>
      </w:tr>
      <w:tr>
        <w:trPr>
          <w:trHeight w:val="281"/>
        </w:trPr>
        <w:tc>
          <w:tcPr>
            <w:tcW w:w="5340" w:type="dxa"/>
            <w:vAlign w:val="bottom"/>
          </w:tcPr>
          <w:p>
            <w:pPr>
              <w:ind w:left="80"/>
              <w:spacing w:after="0"/>
              <w:rPr>
                <w:sz w:val="20"/>
                <w:szCs w:val="20"/>
                <w:color w:val="auto"/>
              </w:rPr>
            </w:pPr>
            <w:r>
              <w:rPr>
                <w:rFonts w:ascii="Arial" w:cs="Arial" w:eastAsia="Arial" w:hAnsi="Arial"/>
                <w:sz w:val="17"/>
                <w:szCs w:val="17"/>
                <w:color w:val="3A4967"/>
              </w:rPr>
              <w:t>Leasehold improvements</w:t>
            </w:r>
          </w:p>
        </w:tc>
        <w:tc>
          <w:tcPr>
            <w:tcW w:w="218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3A4967"/>
              </w:rPr>
              <w:t>71,846</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74,603</w:t>
            </w:r>
          </w:p>
        </w:tc>
      </w:tr>
      <w:tr>
        <w:trPr>
          <w:trHeight w:val="281"/>
        </w:trPr>
        <w:tc>
          <w:tcPr>
            <w:tcW w:w="5340" w:type="dxa"/>
            <w:vAlign w:val="bottom"/>
          </w:tcPr>
          <w:p>
            <w:pPr>
              <w:ind w:left="80"/>
              <w:spacing w:after="0"/>
              <w:rPr>
                <w:sz w:val="20"/>
                <w:szCs w:val="20"/>
                <w:color w:val="auto"/>
              </w:rPr>
            </w:pPr>
            <w:r>
              <w:rPr>
                <w:rFonts w:ascii="Arial" w:cs="Arial" w:eastAsia="Arial" w:hAnsi="Arial"/>
                <w:sz w:val="17"/>
                <w:szCs w:val="17"/>
                <w:color w:val="3A4967"/>
              </w:rPr>
              <w:t>Kegs</w:t>
            </w:r>
          </w:p>
        </w:tc>
        <w:tc>
          <w:tcPr>
            <w:tcW w:w="218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3A4967"/>
              </w:rPr>
              <w:t>58,384</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58,492</w:t>
            </w:r>
          </w:p>
        </w:tc>
      </w:tr>
      <w:tr>
        <w:trPr>
          <w:trHeight w:val="281"/>
        </w:trPr>
        <w:tc>
          <w:tcPr>
            <w:tcW w:w="5340" w:type="dxa"/>
            <w:vAlign w:val="bottom"/>
          </w:tcPr>
          <w:p>
            <w:pPr>
              <w:ind w:left="80"/>
              <w:spacing w:after="0"/>
              <w:rPr>
                <w:sz w:val="20"/>
                <w:szCs w:val="20"/>
                <w:color w:val="auto"/>
              </w:rPr>
            </w:pPr>
            <w:r>
              <w:rPr>
                <w:rFonts w:ascii="Arial" w:cs="Arial" w:eastAsia="Arial" w:hAnsi="Arial"/>
                <w:sz w:val="17"/>
                <w:szCs w:val="17"/>
                <w:color w:val="3A4967"/>
              </w:rPr>
              <w:t>Office equipment and furniture</w:t>
            </w:r>
          </w:p>
        </w:tc>
        <w:tc>
          <w:tcPr>
            <w:tcW w:w="218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3A4967"/>
              </w:rPr>
              <w:t>44,409</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40,723</w:t>
            </w:r>
          </w:p>
        </w:tc>
      </w:tr>
      <w:tr>
        <w:trPr>
          <w:trHeight w:val="281"/>
        </w:trPr>
        <w:tc>
          <w:tcPr>
            <w:tcW w:w="5340" w:type="dxa"/>
            <w:vAlign w:val="bottom"/>
          </w:tcPr>
          <w:p>
            <w:pPr>
              <w:ind w:left="80"/>
              <w:spacing w:after="0"/>
              <w:rPr>
                <w:sz w:val="20"/>
                <w:szCs w:val="20"/>
                <w:color w:val="auto"/>
              </w:rPr>
            </w:pPr>
            <w:r>
              <w:rPr>
                <w:rFonts w:ascii="Arial" w:cs="Arial" w:eastAsia="Arial" w:hAnsi="Arial"/>
                <w:sz w:val="17"/>
                <w:szCs w:val="17"/>
                <w:color w:val="3A4967"/>
              </w:rPr>
              <w:t>Land</w:t>
            </w:r>
          </w:p>
        </w:tc>
        <w:tc>
          <w:tcPr>
            <w:tcW w:w="218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3A4967"/>
              </w:rPr>
              <w:t>25,980</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25,752</w:t>
            </w:r>
          </w:p>
        </w:tc>
      </w:tr>
      <w:tr>
        <w:trPr>
          <w:trHeight w:val="289"/>
        </w:trPr>
        <w:tc>
          <w:tcPr>
            <w:tcW w:w="5340" w:type="dxa"/>
            <w:vAlign w:val="bottom"/>
          </w:tcPr>
          <w:p>
            <w:pPr>
              <w:ind w:left="80"/>
              <w:spacing w:after="0"/>
              <w:rPr>
                <w:sz w:val="20"/>
                <w:szCs w:val="20"/>
                <w:color w:val="auto"/>
              </w:rPr>
            </w:pPr>
            <w:r>
              <w:rPr>
                <w:rFonts w:ascii="Arial" w:cs="Arial" w:eastAsia="Arial" w:hAnsi="Arial"/>
                <w:sz w:val="17"/>
                <w:szCs w:val="17"/>
                <w:color w:val="3A4967"/>
              </w:rPr>
              <w:t>Assets under construction</w:t>
            </w:r>
          </w:p>
        </w:tc>
        <w:tc>
          <w:tcPr>
            <w:tcW w:w="218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3A4967"/>
              </w:rPr>
              <w:t>46,637</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66,700</w:t>
            </w:r>
          </w:p>
        </w:tc>
      </w:tr>
      <w:tr>
        <w:trPr>
          <w:trHeight w:val="42"/>
        </w:trPr>
        <w:tc>
          <w:tcPr>
            <w:tcW w:w="5340" w:type="dxa"/>
            <w:vAlign w:val="bottom"/>
            <w:tcBorders>
              <w:bottom w:val="single" w:sz="8" w:color="3A4967"/>
            </w:tcBorders>
          </w:tcPr>
          <w:p>
            <w:pPr>
              <w:spacing w:after="0"/>
              <w:rPr>
                <w:sz w:val="3"/>
                <w:szCs w:val="3"/>
                <w:color w:val="auto"/>
              </w:rPr>
            </w:pPr>
          </w:p>
        </w:tc>
        <w:tc>
          <w:tcPr>
            <w:tcW w:w="218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6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r>
      <w:tr>
        <w:trPr>
          <w:trHeight w:val="226"/>
        </w:trPr>
        <w:tc>
          <w:tcPr>
            <w:tcW w:w="5340" w:type="dxa"/>
            <w:vAlign w:val="bottom"/>
          </w:tcPr>
          <w:p>
            <w:pPr>
              <w:ind w:left="80"/>
              <w:spacing w:after="0"/>
              <w:rPr>
                <w:sz w:val="20"/>
                <w:szCs w:val="20"/>
                <w:color w:val="auto"/>
              </w:rPr>
            </w:pPr>
            <w:r>
              <w:rPr>
                <w:rFonts w:ascii="Arial" w:cs="Arial" w:eastAsia="Arial" w:hAnsi="Arial"/>
                <w:sz w:val="17"/>
                <w:szCs w:val="17"/>
                <w:color w:val="3A4967"/>
              </w:rPr>
              <w:t>Property, plant, and equipment, gross</w:t>
            </w:r>
          </w:p>
        </w:tc>
        <w:tc>
          <w:tcPr>
            <w:tcW w:w="218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3A4967"/>
              </w:rPr>
              <w:t>1,335,049</w:t>
            </w: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1,290,839</w:t>
            </w:r>
          </w:p>
        </w:tc>
      </w:tr>
      <w:tr>
        <w:trPr>
          <w:trHeight w:val="289"/>
        </w:trPr>
        <w:tc>
          <w:tcPr>
            <w:tcW w:w="5340" w:type="dxa"/>
            <w:vAlign w:val="bottom"/>
          </w:tcPr>
          <w:p>
            <w:pPr>
              <w:ind w:left="80"/>
              <w:spacing w:after="0"/>
              <w:rPr>
                <w:sz w:val="20"/>
                <w:szCs w:val="20"/>
                <w:color w:val="auto"/>
              </w:rPr>
            </w:pPr>
            <w:r>
              <w:rPr>
                <w:rFonts w:ascii="Arial" w:cs="Arial" w:eastAsia="Arial" w:hAnsi="Arial"/>
                <w:sz w:val="17"/>
                <w:szCs w:val="17"/>
                <w:color w:val="3A4967"/>
              </w:rPr>
              <w:t>Less accumulated depreciation</w:t>
            </w:r>
          </w:p>
        </w:tc>
        <w:tc>
          <w:tcPr>
            <w:tcW w:w="2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3A4967"/>
              </w:rPr>
              <w:t>(718,807)</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(648,330)</w:t>
            </w:r>
          </w:p>
        </w:tc>
      </w:tr>
      <w:tr>
        <w:trPr>
          <w:trHeight w:val="35"/>
        </w:trPr>
        <w:tc>
          <w:tcPr>
            <w:tcW w:w="5340" w:type="dxa"/>
            <w:vAlign w:val="bottom"/>
            <w:tcBorders>
              <w:bottom w:val="single" w:sz="8" w:color="3A4967"/>
            </w:tcBorders>
          </w:tcPr>
          <w:p>
            <w:pPr>
              <w:spacing w:after="0"/>
              <w:rPr>
                <w:sz w:val="3"/>
                <w:szCs w:val="3"/>
                <w:color w:val="auto"/>
              </w:rPr>
            </w:pPr>
          </w:p>
        </w:tc>
        <w:tc>
          <w:tcPr>
            <w:tcW w:w="218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6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r>
      <w:tr>
        <w:trPr>
          <w:trHeight w:val="266"/>
        </w:trPr>
        <w:tc>
          <w:tcPr>
            <w:tcW w:w="534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PROPERTY, PLANT, AND EQUIPMENT, NET</w:t>
            </w:r>
          </w:p>
        </w:tc>
        <w:tc>
          <w:tcPr>
            <w:tcW w:w="2180" w:type="dxa"/>
            <w:vAlign w:val="bottom"/>
            <w:tcBorders>
              <w:bottom w:val="single" w:sz="8" w:color="3A4967"/>
            </w:tcBorders>
          </w:tcPr>
          <w:p>
            <w:pPr>
              <w:jc w:val="right"/>
              <w:ind w:right="57"/>
              <w:spacing w:after="0"/>
              <w:rPr>
                <w:sz w:val="20"/>
                <w:szCs w:val="20"/>
                <w:color w:val="auto"/>
              </w:rPr>
            </w:pPr>
            <w:r>
              <w:rPr>
                <w:rFonts w:ascii="Arial" w:cs="Arial" w:eastAsia="Arial" w:hAnsi="Arial"/>
                <w:sz w:val="17"/>
                <w:szCs w:val="17"/>
                <w:b w:val="1"/>
                <w:bCs w:val="1"/>
                <w:color w:val="3A4967"/>
              </w:rPr>
              <w:t>$</w:t>
            </w:r>
          </w:p>
        </w:tc>
        <w:tc>
          <w:tcPr>
            <w:tcW w:w="1020" w:type="dxa"/>
            <w:vAlign w:val="bottom"/>
            <w:tcBorders>
              <w:bottom w:val="single" w:sz="8" w:color="3A4967"/>
            </w:tcBorders>
          </w:tcPr>
          <w:p>
            <w:pPr>
              <w:jc w:val="right"/>
              <w:ind w:right="15"/>
              <w:spacing w:after="0"/>
              <w:rPr>
                <w:sz w:val="20"/>
                <w:szCs w:val="20"/>
                <w:color w:val="auto"/>
              </w:rPr>
            </w:pPr>
            <w:r>
              <w:rPr>
                <w:rFonts w:ascii="Arial" w:cs="Arial" w:eastAsia="Arial" w:hAnsi="Arial"/>
                <w:sz w:val="17"/>
                <w:szCs w:val="17"/>
                <w:b w:val="1"/>
                <w:bCs w:val="1"/>
                <w:color w:val="3A4967"/>
              </w:rPr>
              <w:t>616,242</w:t>
            </w:r>
          </w:p>
        </w:tc>
        <w:tc>
          <w:tcPr>
            <w:tcW w:w="640" w:type="dxa"/>
            <w:vAlign w:val="bottom"/>
            <w:tcBorders>
              <w:bottom w:val="single" w:sz="8" w:color="3A4967"/>
            </w:tcBorders>
          </w:tcPr>
          <w:p>
            <w:pPr>
              <w:jc w:val="right"/>
              <w:ind w:right="57"/>
              <w:spacing w:after="0"/>
              <w:rPr>
                <w:sz w:val="20"/>
                <w:szCs w:val="20"/>
                <w:color w:val="auto"/>
              </w:rPr>
            </w:pPr>
            <w:r>
              <w:rPr>
                <w:rFonts w:ascii="Arial" w:cs="Arial" w:eastAsia="Arial" w:hAnsi="Arial"/>
                <w:sz w:val="17"/>
                <w:szCs w:val="17"/>
                <w:b w:val="1"/>
                <w:bCs w:val="1"/>
                <w:color w:val="3A4967"/>
              </w:rPr>
              <w:t>$</w:t>
            </w:r>
          </w:p>
        </w:tc>
        <w:tc>
          <w:tcPr>
            <w:tcW w:w="9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642,509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-1817370</wp:posOffset>
            </wp:positionV>
            <wp:extent cx="6470015" cy="16344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470015" cy="1634490"/>
                    </a:xfrm>
                    <a:prstGeom prst="rect">
                      <a:avLst/>
                    </a:prstGeom>
                    <a:noFill/>
                  </pic:spPr>
                </pic:pic>
              </a:graphicData>
            </a:graphic>
          </wp:anchor>
        </w:drawing>
      </w:r>
    </w:p>
    <w:p>
      <w:pPr>
        <w:spacing w:after="0" w:line="108" w:lineRule="exact"/>
        <w:rPr>
          <w:sz w:val="20"/>
          <w:szCs w:val="20"/>
          <w:color w:val="auto"/>
        </w:rPr>
      </w:pPr>
    </w:p>
    <w:p>
      <w:pPr>
        <w:jc w:val="both"/>
        <w:ind w:left="400"/>
        <w:spacing w:after="0" w:line="267" w:lineRule="auto"/>
        <w:rPr>
          <w:sz w:val="20"/>
          <w:szCs w:val="20"/>
          <w:color w:val="auto"/>
        </w:rPr>
      </w:pPr>
      <w:r>
        <w:rPr>
          <w:rFonts w:ascii="Arial" w:cs="Arial" w:eastAsia="Arial" w:hAnsi="Arial"/>
          <w:sz w:val="18"/>
          <w:szCs w:val="18"/>
          <w:color w:val="3A4967"/>
        </w:rPr>
        <w:t>The Company recorded depreciation expense related to these assets of $93.2 million, $87.9 million, and $81.1 million, in fiscal years 2024, 2023, and 2022, respectively.</w:t>
      </w:r>
    </w:p>
    <w:p>
      <w:pPr>
        <w:sectPr>
          <w:pgSz w:w="11880" w:h="15481" w:orient="portrait"/>
          <w:cols w:equalWidth="0" w:num="1">
            <w:col w:w="10580"/>
          </w:cols>
          <w:pgMar w:left="460" w:top="579" w:right="841" w:bottom="0" w:gutter="0" w:footer="0" w:header="0"/>
        </w:sectPr>
      </w:pP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Impairment of Assets</w:t>
      </w:r>
    </w:p>
    <w:p>
      <w:pPr>
        <w:spacing w:after="0" w:line="118"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3A4967"/>
        </w:rPr>
        <w:t>The Company evaluates its assets for impairment when events indicate that an asset or asset group may have suffered impairment. During fiscal years 2024, 2023, and 2022, the Company recorded impairment charges on brewery equipment and other brewery related assets classified as property, plant, and equipment of $7.2 million, $5.0 million, and $2.6 million, respectively.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G. Leases</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3A4967"/>
        </w:rPr>
        <w:t>The Company has various lease agreements in place for facilities and equipment. Terms of these leases include, in some instances, scheduled rent increases, renewals, purchase options, and maintenance costs, and vary by lease. These lease obligations expire at various dates through 2034. As the rate implicit in each lease is not readily determinable, the Company uses its incremental borrowing rate based on information available at lease commencement to determine the present value of the lease payments. Leases with an initial term of 12 months or less (“short-term leases”) are not recorded on the balance sheet and are recognized on a straight-line basis over the lease term. Total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A4967"/>
        </w:rPr>
        <w:t>right-of-use (“ROU”) assets and lease liabilities were as follows at:</w:t>
      </w:r>
    </w:p>
    <w:p>
      <w:pPr>
        <w:spacing w:after="0" w:line="200"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36" w:lineRule="exact"/>
        <w:rPr>
          <w:sz w:val="20"/>
          <w:szCs w:val="20"/>
          <w:color w:val="auto"/>
        </w:rPr>
      </w:pPr>
    </w:p>
    <w:tbl>
      <w:tblPr>
        <w:tblLayout w:type="fixed"/>
        <w:tblInd w:w="400" w:type="dxa"/>
        <w:tblCellMar>
          <w:top w:w="0" w:type="dxa"/>
          <w:left w:w="0" w:type="dxa"/>
          <w:bottom w:w="0" w:type="dxa"/>
          <w:right w:w="0" w:type="dxa"/>
        </w:tblCellMar>
      </w:tblPr>
      <w:tr>
        <w:trPr>
          <w:trHeight w:val="198"/>
        </w:trPr>
        <w:tc>
          <w:tcPr>
            <w:tcW w:w="2760" w:type="dxa"/>
            <w:vAlign w:val="bottom"/>
          </w:tcPr>
          <w:p>
            <w:pPr>
              <w:spacing w:after="0"/>
              <w:rPr>
                <w:sz w:val="17"/>
                <w:szCs w:val="17"/>
                <w:color w:val="auto"/>
              </w:rPr>
            </w:pPr>
          </w:p>
        </w:tc>
        <w:tc>
          <w:tcPr>
            <w:tcW w:w="3760" w:type="dxa"/>
            <w:vAlign w:val="bottom"/>
          </w:tcPr>
          <w:p>
            <w:pPr>
              <w:ind w:left="80"/>
              <w:spacing w:after="0"/>
              <w:rPr>
                <w:sz w:val="20"/>
                <w:szCs w:val="20"/>
                <w:color w:val="auto"/>
              </w:rPr>
            </w:pPr>
            <w:r>
              <w:rPr>
                <w:rFonts w:ascii="Arial" w:cs="Arial" w:eastAsia="Arial" w:hAnsi="Arial"/>
                <w:sz w:val="16"/>
                <w:szCs w:val="16"/>
                <w:b w:val="1"/>
                <w:bCs w:val="1"/>
                <w:color w:val="3A4967"/>
              </w:rPr>
              <w:t>Classification</w:t>
            </w:r>
          </w:p>
        </w:tc>
        <w:tc>
          <w:tcPr>
            <w:tcW w:w="1120" w:type="dxa"/>
            <w:vAlign w:val="bottom"/>
          </w:tcPr>
          <w:p>
            <w:pPr>
              <w:spacing w:after="0"/>
              <w:rPr>
                <w:sz w:val="17"/>
                <w:szCs w:val="17"/>
                <w:color w:val="auto"/>
              </w:rPr>
            </w:pPr>
          </w:p>
        </w:tc>
        <w:tc>
          <w:tcPr>
            <w:tcW w:w="1760" w:type="dxa"/>
            <w:vAlign w:val="bottom"/>
            <w:gridSpan w:val="2"/>
          </w:tcPr>
          <w:p>
            <w:pPr>
              <w:jc w:val="right"/>
              <w:ind w:right="598"/>
              <w:spacing w:after="0"/>
              <w:rPr>
                <w:sz w:val="20"/>
                <w:szCs w:val="20"/>
                <w:color w:val="auto"/>
              </w:rPr>
            </w:pPr>
            <w:r>
              <w:rPr>
                <w:rFonts w:ascii="Arial" w:cs="Arial" w:eastAsia="Arial" w:hAnsi="Arial"/>
                <w:sz w:val="16"/>
                <w:szCs w:val="16"/>
                <w:b w:val="1"/>
                <w:bCs w:val="1"/>
                <w:color w:val="3A4967"/>
              </w:rPr>
              <w:t>Leases</w:t>
            </w:r>
          </w:p>
        </w:tc>
        <w:tc>
          <w:tcPr>
            <w:tcW w:w="780" w:type="dxa"/>
            <w:vAlign w:val="bottom"/>
          </w:tcPr>
          <w:p>
            <w:pPr>
              <w:spacing w:after="0"/>
              <w:rPr>
                <w:sz w:val="17"/>
                <w:szCs w:val="17"/>
                <w:color w:val="auto"/>
              </w:rPr>
            </w:pPr>
          </w:p>
        </w:tc>
      </w:tr>
      <w:tr>
        <w:trPr>
          <w:trHeight w:val="36"/>
        </w:trPr>
        <w:tc>
          <w:tcPr>
            <w:tcW w:w="2760" w:type="dxa"/>
            <w:vAlign w:val="bottom"/>
            <w:tcBorders>
              <w:bottom w:val="single" w:sz="8" w:color="3A4967"/>
            </w:tcBorders>
          </w:tcPr>
          <w:p>
            <w:pPr>
              <w:spacing w:after="0"/>
              <w:rPr>
                <w:sz w:val="3"/>
                <w:szCs w:val="3"/>
                <w:color w:val="auto"/>
              </w:rPr>
            </w:pPr>
          </w:p>
        </w:tc>
        <w:tc>
          <w:tcPr>
            <w:tcW w:w="3760" w:type="dxa"/>
            <w:vAlign w:val="bottom"/>
            <w:tcBorders>
              <w:bottom w:val="single" w:sz="8" w:color="3A4967"/>
            </w:tcBorders>
          </w:tcPr>
          <w:p>
            <w:pPr>
              <w:spacing w:after="0"/>
              <w:rPr>
                <w:sz w:val="3"/>
                <w:szCs w:val="3"/>
                <w:color w:val="auto"/>
              </w:rPr>
            </w:pPr>
          </w:p>
        </w:tc>
        <w:tc>
          <w:tcPr>
            <w:tcW w:w="1960" w:type="dxa"/>
            <w:vAlign w:val="bottom"/>
            <w:tcBorders>
              <w:bottom w:val="single" w:sz="8" w:color="3A4967"/>
            </w:tcBorders>
            <w:gridSpan w:val="2"/>
          </w:tcPr>
          <w:p>
            <w:pPr>
              <w:spacing w:after="0"/>
              <w:rPr>
                <w:sz w:val="3"/>
                <w:szCs w:val="3"/>
                <w:color w:val="auto"/>
              </w:rPr>
            </w:pPr>
          </w:p>
        </w:tc>
        <w:tc>
          <w:tcPr>
            <w:tcW w:w="1700" w:type="dxa"/>
            <w:vAlign w:val="bottom"/>
            <w:tcBorders>
              <w:bottom w:val="single" w:sz="8" w:color="3A4967"/>
            </w:tcBorders>
            <w:gridSpan w:val="2"/>
          </w:tcPr>
          <w:p>
            <w:pPr>
              <w:spacing w:after="0"/>
              <w:rPr>
                <w:sz w:val="3"/>
                <w:szCs w:val="3"/>
                <w:color w:val="auto"/>
              </w:rPr>
            </w:pPr>
          </w:p>
        </w:tc>
      </w:tr>
      <w:tr>
        <w:trPr>
          <w:trHeight w:val="218"/>
        </w:trPr>
        <w:tc>
          <w:tcPr>
            <w:tcW w:w="276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3760" w:type="dxa"/>
            <w:vAlign w:val="bottom"/>
          </w:tcPr>
          <w:p>
            <w:pPr>
              <w:spacing w:after="0"/>
              <w:rPr>
                <w:sz w:val="18"/>
                <w:szCs w:val="18"/>
                <w:color w:val="auto"/>
              </w:rPr>
            </w:pPr>
          </w:p>
        </w:tc>
        <w:tc>
          <w:tcPr>
            <w:tcW w:w="1960" w:type="dxa"/>
            <w:vAlign w:val="bottom"/>
            <w:gridSpan w:val="2"/>
          </w:tcPr>
          <w:p>
            <w:pPr>
              <w:jc w:val="right"/>
              <w:ind w:right="56"/>
              <w:spacing w:after="0"/>
              <w:rPr>
                <w:sz w:val="20"/>
                <w:szCs w:val="20"/>
                <w:color w:val="auto"/>
              </w:rPr>
            </w:pPr>
            <w:r>
              <w:rPr>
                <w:rFonts w:ascii="Arial" w:cs="Arial" w:eastAsia="Arial" w:hAnsi="Arial"/>
                <w:sz w:val="16"/>
                <w:szCs w:val="16"/>
                <w:b w:val="1"/>
                <w:bCs w:val="1"/>
                <w:color w:val="3A4967"/>
              </w:rPr>
              <w:t>December 28, 2024</w:t>
            </w: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30, 2023</w:t>
            </w:r>
          </w:p>
        </w:tc>
      </w:tr>
      <w:tr>
        <w:trPr>
          <w:trHeight w:val="36"/>
        </w:trPr>
        <w:tc>
          <w:tcPr>
            <w:tcW w:w="2760" w:type="dxa"/>
            <w:vAlign w:val="bottom"/>
            <w:tcBorders>
              <w:bottom w:val="single" w:sz="8" w:color="3A4967"/>
            </w:tcBorders>
          </w:tcPr>
          <w:p>
            <w:pPr>
              <w:spacing w:after="0"/>
              <w:rPr>
                <w:sz w:val="3"/>
                <w:szCs w:val="3"/>
                <w:color w:val="auto"/>
              </w:rPr>
            </w:pPr>
          </w:p>
        </w:tc>
        <w:tc>
          <w:tcPr>
            <w:tcW w:w="3760" w:type="dxa"/>
            <w:vAlign w:val="bottom"/>
            <w:tcBorders>
              <w:bottom w:val="single" w:sz="8" w:color="3A4967"/>
            </w:tcBorders>
          </w:tcPr>
          <w:p>
            <w:pPr>
              <w:spacing w:after="0"/>
              <w:rPr>
                <w:sz w:val="3"/>
                <w:szCs w:val="3"/>
                <w:color w:val="auto"/>
              </w:rPr>
            </w:pPr>
          </w:p>
        </w:tc>
        <w:tc>
          <w:tcPr>
            <w:tcW w:w="11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2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r>
      <w:tr>
        <w:trPr>
          <w:trHeight w:val="229"/>
        </w:trPr>
        <w:tc>
          <w:tcPr>
            <w:tcW w:w="2760" w:type="dxa"/>
            <w:vAlign w:val="bottom"/>
          </w:tcPr>
          <w:p>
            <w:pPr>
              <w:ind w:left="80"/>
              <w:spacing w:after="0"/>
              <w:rPr>
                <w:sz w:val="20"/>
                <w:szCs w:val="20"/>
                <w:color w:val="auto"/>
              </w:rPr>
            </w:pPr>
            <w:r>
              <w:rPr>
                <w:rFonts w:ascii="Arial" w:cs="Arial" w:eastAsia="Arial" w:hAnsi="Arial"/>
                <w:sz w:val="17"/>
                <w:szCs w:val="17"/>
                <w:b w:val="1"/>
                <w:bCs w:val="1"/>
                <w:color w:val="3A4967"/>
              </w:rPr>
              <w:t>Right-of-use assets</w:t>
            </w:r>
          </w:p>
        </w:tc>
        <w:tc>
          <w:tcPr>
            <w:tcW w:w="3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87"/>
        </w:trPr>
        <w:tc>
          <w:tcPr>
            <w:tcW w:w="2760" w:type="dxa"/>
            <w:vAlign w:val="bottom"/>
          </w:tcPr>
          <w:p>
            <w:pPr>
              <w:ind w:left="220"/>
              <w:spacing w:after="0"/>
              <w:rPr>
                <w:sz w:val="20"/>
                <w:szCs w:val="20"/>
                <w:color w:val="auto"/>
              </w:rPr>
            </w:pPr>
            <w:r>
              <w:rPr>
                <w:rFonts w:ascii="Arial" w:cs="Arial" w:eastAsia="Arial" w:hAnsi="Arial"/>
                <w:sz w:val="17"/>
                <w:szCs w:val="17"/>
                <w:color w:val="3A4967"/>
              </w:rPr>
              <w:t>Operating lease assets</w:t>
            </w:r>
          </w:p>
        </w:tc>
        <w:tc>
          <w:tcPr>
            <w:tcW w:w="3760" w:type="dxa"/>
            <w:vAlign w:val="bottom"/>
          </w:tcPr>
          <w:p>
            <w:pPr>
              <w:ind w:left="80"/>
              <w:spacing w:after="0"/>
              <w:rPr>
                <w:sz w:val="20"/>
                <w:szCs w:val="20"/>
                <w:color w:val="auto"/>
              </w:rPr>
            </w:pPr>
            <w:r>
              <w:rPr>
                <w:rFonts w:ascii="Arial" w:cs="Arial" w:eastAsia="Arial" w:hAnsi="Arial"/>
                <w:sz w:val="17"/>
                <w:szCs w:val="17"/>
                <w:color w:val="3A4967"/>
              </w:rPr>
              <w:t>Operating right-of-use assets</w:t>
            </w:r>
          </w:p>
        </w:tc>
        <w:tc>
          <w:tcPr>
            <w:tcW w:w="1120" w:type="dxa"/>
            <w:vAlign w:val="bottom"/>
          </w:tcPr>
          <w:p>
            <w:pPr>
              <w:jc w:val="right"/>
              <w:ind w:right="98"/>
              <w:spacing w:after="0"/>
              <w:rPr>
                <w:sz w:val="20"/>
                <w:szCs w:val="20"/>
                <w:color w:val="auto"/>
              </w:rPr>
            </w:pPr>
            <w:r>
              <w:rPr>
                <w:rFonts w:ascii="Arial" w:cs="Arial" w:eastAsia="Arial" w:hAnsi="Arial"/>
                <w:sz w:val="17"/>
                <w:szCs w:val="17"/>
                <w:color w:val="3A4967"/>
              </w:rPr>
              <w:t>$</w:t>
            </w:r>
          </w:p>
        </w:tc>
        <w:tc>
          <w:tcPr>
            <w:tcW w:w="840" w:type="dxa"/>
            <w:vAlign w:val="bottom"/>
          </w:tcPr>
          <w:p>
            <w:pPr>
              <w:jc w:val="right"/>
              <w:ind w:right="56"/>
              <w:spacing w:after="0"/>
              <w:rPr>
                <w:sz w:val="20"/>
                <w:szCs w:val="20"/>
                <w:color w:val="auto"/>
              </w:rPr>
            </w:pPr>
            <w:r>
              <w:rPr>
                <w:rFonts w:ascii="Arial" w:cs="Arial" w:eastAsia="Arial" w:hAnsi="Arial"/>
                <w:sz w:val="17"/>
                <w:szCs w:val="17"/>
                <w:color w:val="3A4967"/>
              </w:rPr>
              <w:t>27,837</w:t>
            </w:r>
          </w:p>
        </w:tc>
        <w:tc>
          <w:tcPr>
            <w:tcW w:w="920" w:type="dxa"/>
            <w:vAlign w:val="bottom"/>
          </w:tcPr>
          <w:p>
            <w:pPr>
              <w:jc w:val="right"/>
              <w:ind w:right="98"/>
              <w:spacing w:after="0"/>
              <w:rPr>
                <w:sz w:val="20"/>
                <w:szCs w:val="20"/>
                <w:color w:val="auto"/>
              </w:rPr>
            </w:pPr>
            <w:r>
              <w:rPr>
                <w:rFonts w:ascii="Arial" w:cs="Arial" w:eastAsia="Arial" w:hAnsi="Arial"/>
                <w:sz w:val="17"/>
                <w:szCs w:val="17"/>
                <w:color w:val="3A4967"/>
              </w:rPr>
              <w:t>$</w:t>
            </w:r>
          </w:p>
        </w:tc>
        <w:tc>
          <w:tcPr>
            <w:tcW w:w="780" w:type="dxa"/>
            <w:vAlign w:val="bottom"/>
          </w:tcPr>
          <w:p>
            <w:pPr>
              <w:jc w:val="right"/>
              <w:spacing w:after="0"/>
              <w:rPr>
                <w:sz w:val="20"/>
                <w:szCs w:val="20"/>
                <w:color w:val="auto"/>
              </w:rPr>
            </w:pPr>
            <w:r>
              <w:rPr>
                <w:rFonts w:ascii="Arial" w:cs="Arial" w:eastAsia="Arial" w:hAnsi="Arial"/>
                <w:sz w:val="17"/>
                <w:szCs w:val="17"/>
                <w:color w:val="3A4967"/>
              </w:rPr>
              <w:t>35,559</w:t>
            </w:r>
          </w:p>
        </w:tc>
      </w:tr>
      <w:tr>
        <w:trPr>
          <w:trHeight w:val="281"/>
        </w:trPr>
        <w:tc>
          <w:tcPr>
            <w:tcW w:w="2760" w:type="dxa"/>
            <w:vAlign w:val="bottom"/>
          </w:tcPr>
          <w:p>
            <w:pPr>
              <w:ind w:left="220"/>
              <w:spacing w:after="0"/>
              <w:rPr>
                <w:sz w:val="20"/>
                <w:szCs w:val="20"/>
                <w:color w:val="auto"/>
              </w:rPr>
            </w:pPr>
            <w:r>
              <w:rPr>
                <w:rFonts w:ascii="Arial" w:cs="Arial" w:eastAsia="Arial" w:hAnsi="Arial"/>
                <w:sz w:val="17"/>
                <w:szCs w:val="17"/>
                <w:color w:val="3A4967"/>
              </w:rPr>
              <w:t>Finance lease assets</w:t>
            </w:r>
          </w:p>
        </w:tc>
        <w:tc>
          <w:tcPr>
            <w:tcW w:w="3760" w:type="dxa"/>
            <w:vAlign w:val="bottom"/>
          </w:tcPr>
          <w:p>
            <w:pPr>
              <w:ind w:left="80"/>
              <w:spacing w:after="0"/>
              <w:rPr>
                <w:sz w:val="20"/>
                <w:szCs w:val="20"/>
                <w:color w:val="auto"/>
              </w:rPr>
            </w:pPr>
            <w:r>
              <w:rPr>
                <w:rFonts w:ascii="Arial" w:cs="Arial" w:eastAsia="Arial" w:hAnsi="Arial"/>
                <w:sz w:val="17"/>
                <w:szCs w:val="17"/>
                <w:color w:val="3A4967"/>
              </w:rPr>
              <w:t>Property, plant, and equipment, net</w:t>
            </w:r>
          </w:p>
        </w:tc>
        <w:tc>
          <w:tcPr>
            <w:tcW w:w="112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3A4967"/>
              </w:rPr>
              <w:t>2,818</w:t>
            </w:r>
          </w:p>
        </w:tc>
        <w:tc>
          <w:tcPr>
            <w:tcW w:w="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3A4967"/>
              </w:rPr>
              <w:t>2,680</w:t>
            </w:r>
          </w:p>
        </w:tc>
      </w:tr>
      <w:tr>
        <w:trPr>
          <w:trHeight w:val="283"/>
        </w:trPr>
        <w:tc>
          <w:tcPr>
            <w:tcW w:w="2760" w:type="dxa"/>
            <w:vAlign w:val="bottom"/>
          </w:tcPr>
          <w:p>
            <w:pPr>
              <w:ind w:left="80"/>
              <w:spacing w:after="0"/>
              <w:rPr>
                <w:sz w:val="20"/>
                <w:szCs w:val="20"/>
                <w:color w:val="auto"/>
              </w:rPr>
            </w:pPr>
            <w:r>
              <w:rPr>
                <w:rFonts w:ascii="Arial" w:cs="Arial" w:eastAsia="Arial" w:hAnsi="Arial"/>
                <w:sz w:val="17"/>
                <w:szCs w:val="17"/>
                <w:b w:val="1"/>
                <w:bCs w:val="1"/>
                <w:color w:val="3A4967"/>
              </w:rPr>
              <w:t>Lease Liabilities</w:t>
            </w:r>
          </w:p>
        </w:tc>
        <w:tc>
          <w:tcPr>
            <w:tcW w:w="3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7"/>
        </w:trPr>
        <w:tc>
          <w:tcPr>
            <w:tcW w:w="2760" w:type="dxa"/>
            <w:vAlign w:val="bottom"/>
          </w:tcPr>
          <w:p>
            <w:pPr>
              <w:ind w:left="80"/>
              <w:spacing w:after="0"/>
              <w:rPr>
                <w:sz w:val="20"/>
                <w:szCs w:val="20"/>
                <w:color w:val="auto"/>
              </w:rPr>
            </w:pPr>
            <w:r>
              <w:rPr>
                <w:rFonts w:ascii="Arial" w:cs="Arial" w:eastAsia="Arial" w:hAnsi="Arial"/>
                <w:sz w:val="17"/>
                <w:szCs w:val="17"/>
                <w:color w:val="3A4967"/>
              </w:rPr>
              <w:t>Current</w:t>
            </w:r>
          </w:p>
        </w:tc>
        <w:tc>
          <w:tcPr>
            <w:tcW w:w="3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9"/>
        </w:trPr>
        <w:tc>
          <w:tcPr>
            <w:tcW w:w="2760" w:type="dxa"/>
            <w:vAlign w:val="bottom"/>
          </w:tcPr>
          <w:p>
            <w:pPr>
              <w:ind w:left="220"/>
              <w:spacing w:after="0"/>
              <w:rPr>
                <w:sz w:val="20"/>
                <w:szCs w:val="20"/>
                <w:color w:val="auto"/>
              </w:rPr>
            </w:pPr>
            <w:r>
              <w:rPr>
                <w:rFonts w:ascii="Arial" w:cs="Arial" w:eastAsia="Arial" w:hAnsi="Arial"/>
                <w:sz w:val="17"/>
                <w:szCs w:val="17"/>
                <w:color w:val="3A4967"/>
              </w:rPr>
              <w:t>Operating lease liabilities</w:t>
            </w:r>
          </w:p>
        </w:tc>
        <w:tc>
          <w:tcPr>
            <w:tcW w:w="3760" w:type="dxa"/>
            <w:vAlign w:val="bottom"/>
          </w:tcPr>
          <w:p>
            <w:pPr>
              <w:ind w:left="80"/>
              <w:spacing w:after="0"/>
              <w:rPr>
                <w:sz w:val="20"/>
                <w:szCs w:val="20"/>
                <w:color w:val="auto"/>
              </w:rPr>
            </w:pPr>
            <w:r>
              <w:rPr>
                <w:rFonts w:ascii="Arial" w:cs="Arial" w:eastAsia="Arial" w:hAnsi="Arial"/>
                <w:sz w:val="17"/>
                <w:szCs w:val="17"/>
                <w:color w:val="3A4967"/>
              </w:rPr>
              <w:t>Current operating lease liabilities</w:t>
            </w:r>
          </w:p>
        </w:tc>
        <w:tc>
          <w:tcPr>
            <w:tcW w:w="112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3A4967"/>
              </w:rPr>
              <w:t>5,735</w:t>
            </w:r>
          </w:p>
        </w:tc>
        <w:tc>
          <w:tcPr>
            <w:tcW w:w="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3A4967"/>
              </w:rPr>
              <w:t>9,113</w:t>
            </w:r>
          </w:p>
        </w:tc>
      </w:tr>
      <w:tr>
        <w:trPr>
          <w:trHeight w:val="289"/>
        </w:trPr>
        <w:tc>
          <w:tcPr>
            <w:tcW w:w="2760" w:type="dxa"/>
            <w:vAlign w:val="bottom"/>
          </w:tcPr>
          <w:p>
            <w:pPr>
              <w:ind w:left="220"/>
              <w:spacing w:after="0"/>
              <w:rPr>
                <w:sz w:val="20"/>
                <w:szCs w:val="20"/>
                <w:color w:val="auto"/>
              </w:rPr>
            </w:pPr>
            <w:r>
              <w:rPr>
                <w:rFonts w:ascii="Arial" w:cs="Arial" w:eastAsia="Arial" w:hAnsi="Arial"/>
                <w:sz w:val="17"/>
                <w:szCs w:val="17"/>
                <w:color w:val="3A4967"/>
              </w:rPr>
              <w:t>Finance lease liabilities</w:t>
            </w:r>
          </w:p>
        </w:tc>
        <w:tc>
          <w:tcPr>
            <w:tcW w:w="3760" w:type="dxa"/>
            <w:vAlign w:val="bottom"/>
          </w:tcPr>
          <w:p>
            <w:pPr>
              <w:ind w:left="80"/>
              <w:spacing w:after="0"/>
              <w:rPr>
                <w:sz w:val="20"/>
                <w:szCs w:val="20"/>
                <w:color w:val="auto"/>
              </w:rPr>
            </w:pPr>
            <w:r>
              <w:rPr>
                <w:rFonts w:ascii="Arial" w:cs="Arial" w:eastAsia="Arial" w:hAnsi="Arial"/>
                <w:sz w:val="17"/>
                <w:szCs w:val="17"/>
                <w:color w:val="3A4967"/>
              </w:rPr>
              <w:t>Accrued expenses and other current liabilities</w:t>
            </w:r>
          </w:p>
        </w:tc>
        <w:tc>
          <w:tcPr>
            <w:tcW w:w="112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3A4967"/>
              </w:rPr>
              <w:t>1,904</w:t>
            </w:r>
          </w:p>
        </w:tc>
        <w:tc>
          <w:tcPr>
            <w:tcW w:w="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3A4967"/>
              </w:rPr>
              <w:t>1,257</w:t>
            </w:r>
          </w:p>
        </w:tc>
      </w:tr>
      <w:tr>
        <w:trPr>
          <w:trHeight w:val="289"/>
        </w:trPr>
        <w:tc>
          <w:tcPr>
            <w:tcW w:w="2760" w:type="dxa"/>
            <w:vAlign w:val="bottom"/>
          </w:tcPr>
          <w:p>
            <w:pPr>
              <w:ind w:left="80"/>
              <w:spacing w:after="0"/>
              <w:rPr>
                <w:sz w:val="20"/>
                <w:szCs w:val="20"/>
                <w:color w:val="auto"/>
              </w:rPr>
            </w:pPr>
            <w:r>
              <w:rPr>
                <w:rFonts w:ascii="Arial" w:cs="Arial" w:eastAsia="Arial" w:hAnsi="Arial"/>
                <w:sz w:val="17"/>
                <w:szCs w:val="17"/>
                <w:color w:val="3A4967"/>
              </w:rPr>
              <w:t>Non-current</w:t>
            </w:r>
          </w:p>
        </w:tc>
        <w:tc>
          <w:tcPr>
            <w:tcW w:w="3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1"/>
        </w:trPr>
        <w:tc>
          <w:tcPr>
            <w:tcW w:w="2760" w:type="dxa"/>
            <w:vAlign w:val="bottom"/>
          </w:tcPr>
          <w:p>
            <w:pPr>
              <w:ind w:left="220"/>
              <w:spacing w:after="0"/>
              <w:rPr>
                <w:sz w:val="20"/>
                <w:szCs w:val="20"/>
                <w:color w:val="auto"/>
              </w:rPr>
            </w:pPr>
            <w:r>
              <w:rPr>
                <w:rFonts w:ascii="Arial" w:cs="Arial" w:eastAsia="Arial" w:hAnsi="Arial"/>
                <w:sz w:val="17"/>
                <w:szCs w:val="17"/>
                <w:color w:val="3A4967"/>
              </w:rPr>
              <w:t>Operating lease liabilities</w:t>
            </w:r>
          </w:p>
        </w:tc>
        <w:tc>
          <w:tcPr>
            <w:tcW w:w="3760" w:type="dxa"/>
            <w:vAlign w:val="bottom"/>
          </w:tcPr>
          <w:p>
            <w:pPr>
              <w:ind w:left="80"/>
              <w:spacing w:after="0"/>
              <w:rPr>
                <w:sz w:val="20"/>
                <w:szCs w:val="20"/>
                <w:color w:val="auto"/>
              </w:rPr>
            </w:pPr>
            <w:r>
              <w:rPr>
                <w:rFonts w:ascii="Arial" w:cs="Arial" w:eastAsia="Arial" w:hAnsi="Arial"/>
                <w:sz w:val="17"/>
                <w:szCs w:val="17"/>
                <w:color w:val="3A4967"/>
              </w:rPr>
              <w:t>Non-current operating lease liabilities</w:t>
            </w:r>
          </w:p>
        </w:tc>
        <w:tc>
          <w:tcPr>
            <w:tcW w:w="112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3A4967"/>
              </w:rPr>
              <w:t>30,205</w:t>
            </w:r>
          </w:p>
        </w:tc>
        <w:tc>
          <w:tcPr>
            <w:tcW w:w="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3A4967"/>
              </w:rPr>
              <w:t>36,161</w:t>
            </w:r>
          </w:p>
        </w:tc>
      </w:tr>
      <w:tr>
        <w:trPr>
          <w:trHeight w:val="289"/>
        </w:trPr>
        <w:tc>
          <w:tcPr>
            <w:tcW w:w="2760" w:type="dxa"/>
            <w:vAlign w:val="bottom"/>
          </w:tcPr>
          <w:p>
            <w:pPr>
              <w:ind w:left="220"/>
              <w:spacing w:after="0"/>
              <w:rPr>
                <w:sz w:val="20"/>
                <w:szCs w:val="20"/>
                <w:color w:val="auto"/>
              </w:rPr>
            </w:pPr>
            <w:r>
              <w:rPr>
                <w:rFonts w:ascii="Arial" w:cs="Arial" w:eastAsia="Arial" w:hAnsi="Arial"/>
                <w:sz w:val="17"/>
                <w:szCs w:val="17"/>
                <w:color w:val="3A4967"/>
              </w:rPr>
              <w:t>Finance lease liabilities</w:t>
            </w:r>
          </w:p>
        </w:tc>
        <w:tc>
          <w:tcPr>
            <w:tcW w:w="3760" w:type="dxa"/>
            <w:vAlign w:val="bottom"/>
          </w:tcPr>
          <w:p>
            <w:pPr>
              <w:ind w:left="80"/>
              <w:spacing w:after="0"/>
              <w:rPr>
                <w:sz w:val="20"/>
                <w:szCs w:val="20"/>
                <w:color w:val="auto"/>
              </w:rPr>
            </w:pPr>
            <w:r>
              <w:rPr>
                <w:rFonts w:ascii="Arial" w:cs="Arial" w:eastAsia="Arial" w:hAnsi="Arial"/>
                <w:sz w:val="17"/>
                <w:szCs w:val="17"/>
                <w:color w:val="3A4967"/>
              </w:rPr>
              <w:t>Other liabilities</w:t>
            </w:r>
          </w:p>
        </w:tc>
        <w:tc>
          <w:tcPr>
            <w:tcW w:w="112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7"/>
                <w:szCs w:val="17"/>
                <w:color w:val="3A4967"/>
              </w:rPr>
              <w:t>936</w:t>
            </w:r>
          </w:p>
        </w:tc>
        <w:tc>
          <w:tcPr>
            <w:tcW w:w="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3A4967"/>
              </w:rPr>
              <w:t>1,451</w:t>
            </w:r>
          </w:p>
        </w:tc>
      </w:tr>
      <w:tr>
        <w:trPr>
          <w:trHeight w:val="40"/>
        </w:trPr>
        <w:tc>
          <w:tcPr>
            <w:tcW w:w="2760" w:type="dxa"/>
            <w:vAlign w:val="bottom"/>
            <w:tcBorders>
              <w:bottom w:val="single" w:sz="8" w:color="3A4967"/>
            </w:tcBorders>
          </w:tcPr>
          <w:p>
            <w:pPr>
              <w:spacing w:after="0"/>
              <w:rPr>
                <w:sz w:val="3"/>
                <w:szCs w:val="3"/>
                <w:color w:val="auto"/>
              </w:rPr>
            </w:pPr>
          </w:p>
        </w:tc>
        <w:tc>
          <w:tcPr>
            <w:tcW w:w="3760" w:type="dxa"/>
            <w:vAlign w:val="bottom"/>
            <w:tcBorders>
              <w:bottom w:val="single" w:sz="8" w:color="3A4967"/>
            </w:tcBorders>
          </w:tcPr>
          <w:p>
            <w:pPr>
              <w:spacing w:after="0"/>
              <w:rPr>
                <w:sz w:val="3"/>
                <w:szCs w:val="3"/>
                <w:color w:val="auto"/>
              </w:rPr>
            </w:pPr>
          </w:p>
        </w:tc>
        <w:tc>
          <w:tcPr>
            <w:tcW w:w="11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2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1181100</wp:posOffset>
            </wp:positionV>
            <wp:extent cx="2584450" cy="1917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84450" cy="19177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-1838960</wp:posOffset>
            </wp:positionV>
            <wp:extent cx="6492875" cy="166052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492875" cy="166052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46</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56" w:name="page57"/>
    <w:bookmarkEnd w:id="56"/>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3A4967"/>
        </w:rPr>
        <w:t>The gross value and accumulated depreciation of ROU assets related to finance leases were as follows at: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60" w:type="dxa"/>
            <w:vAlign w:val="bottom"/>
            <w:gridSpan w:val="2"/>
          </w:tcPr>
          <w:p>
            <w:pPr>
              <w:jc w:val="right"/>
              <w:ind w:right="157"/>
              <w:spacing w:after="0"/>
              <w:rPr>
                <w:sz w:val="20"/>
                <w:szCs w:val="20"/>
                <w:color w:val="auto"/>
              </w:rPr>
            </w:pPr>
            <w:r>
              <w:rPr>
                <w:rFonts w:ascii="Arial" w:cs="Arial" w:eastAsia="Arial" w:hAnsi="Arial"/>
                <w:sz w:val="16"/>
                <w:szCs w:val="16"/>
                <w:b w:val="1"/>
                <w:bCs w:val="1"/>
                <w:color w:val="3A4967"/>
              </w:rPr>
              <w:t>Finance Leases</w:t>
            </w:r>
          </w:p>
        </w:tc>
        <w:tc>
          <w:tcPr>
            <w:tcW w:w="820" w:type="dxa"/>
            <w:vAlign w:val="bottom"/>
          </w:tcPr>
          <w:p>
            <w:pPr>
              <w:spacing w:after="0"/>
              <w:rPr>
                <w:sz w:val="17"/>
                <w:szCs w:val="17"/>
                <w:color w:val="auto"/>
              </w:rPr>
            </w:pPr>
          </w:p>
        </w:tc>
      </w:tr>
      <w:tr>
        <w:trPr>
          <w:trHeight w:val="36"/>
        </w:trPr>
        <w:tc>
          <w:tcPr>
            <w:tcW w:w="4480" w:type="dxa"/>
            <w:vAlign w:val="bottom"/>
            <w:tcBorders>
              <w:bottom w:val="single" w:sz="8" w:color="3A4967"/>
            </w:tcBorders>
          </w:tcPr>
          <w:p>
            <w:pPr>
              <w:spacing w:after="0"/>
              <w:rPr>
                <w:sz w:val="3"/>
                <w:szCs w:val="3"/>
                <w:color w:val="auto"/>
              </w:rPr>
            </w:pPr>
          </w:p>
        </w:tc>
        <w:tc>
          <w:tcPr>
            <w:tcW w:w="4100" w:type="dxa"/>
            <w:vAlign w:val="bottom"/>
            <w:tcBorders>
              <w:bottom w:val="single" w:sz="8" w:color="3A4967"/>
            </w:tcBorders>
            <w:gridSpan w:val="2"/>
          </w:tcPr>
          <w:p>
            <w:pPr>
              <w:spacing w:after="0"/>
              <w:rPr>
                <w:sz w:val="3"/>
                <w:szCs w:val="3"/>
                <w:color w:val="auto"/>
              </w:rPr>
            </w:pPr>
          </w:p>
        </w:tc>
        <w:tc>
          <w:tcPr>
            <w:tcW w:w="1600" w:type="dxa"/>
            <w:vAlign w:val="bottom"/>
            <w:tcBorders>
              <w:bottom w:val="single" w:sz="8" w:color="3A4967"/>
            </w:tcBorders>
            <w:gridSpan w:val="2"/>
          </w:tcPr>
          <w:p>
            <w:pPr>
              <w:spacing w:after="0"/>
              <w:rPr>
                <w:sz w:val="3"/>
                <w:szCs w:val="3"/>
                <w:color w:val="auto"/>
              </w:rPr>
            </w:pPr>
          </w:p>
        </w:tc>
      </w:tr>
      <w:tr>
        <w:trPr>
          <w:trHeight w:val="218"/>
        </w:trPr>
        <w:tc>
          <w:tcPr>
            <w:tcW w:w="448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4100" w:type="dxa"/>
            <w:vAlign w:val="bottom"/>
            <w:gridSpan w:val="2"/>
          </w:tcPr>
          <w:p>
            <w:pPr>
              <w:jc w:val="right"/>
              <w:ind w:right="36"/>
              <w:spacing w:after="0"/>
              <w:rPr>
                <w:sz w:val="20"/>
                <w:szCs w:val="20"/>
                <w:color w:val="auto"/>
              </w:rPr>
            </w:pPr>
            <w:r>
              <w:rPr>
                <w:rFonts w:ascii="Arial" w:cs="Arial" w:eastAsia="Arial" w:hAnsi="Arial"/>
                <w:sz w:val="16"/>
                <w:szCs w:val="16"/>
                <w:b w:val="1"/>
                <w:bCs w:val="1"/>
                <w:color w:val="3A4967"/>
              </w:rPr>
              <w:t>December 28, 2024</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30, 2023</w:t>
            </w:r>
          </w:p>
        </w:tc>
      </w:tr>
      <w:tr>
        <w:trPr>
          <w:trHeight w:val="36"/>
        </w:trPr>
        <w:tc>
          <w:tcPr>
            <w:tcW w:w="4480" w:type="dxa"/>
            <w:vAlign w:val="bottom"/>
            <w:tcBorders>
              <w:bottom w:val="single" w:sz="8" w:color="3A4967"/>
            </w:tcBorders>
          </w:tcPr>
          <w:p>
            <w:pPr>
              <w:spacing w:after="0"/>
              <w:rPr>
                <w:sz w:val="3"/>
                <w:szCs w:val="3"/>
                <w:color w:val="auto"/>
              </w:rPr>
            </w:pPr>
          </w:p>
        </w:tc>
        <w:tc>
          <w:tcPr>
            <w:tcW w:w="322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820" w:type="dxa"/>
            <w:vAlign w:val="bottom"/>
            <w:tcBorders>
              <w:bottom w:val="single" w:sz="8" w:color="3A4967"/>
            </w:tcBorders>
          </w:tcPr>
          <w:p>
            <w:pPr>
              <w:spacing w:after="0"/>
              <w:rPr>
                <w:sz w:val="3"/>
                <w:szCs w:val="3"/>
                <w:color w:val="auto"/>
              </w:rPr>
            </w:pPr>
          </w:p>
        </w:tc>
      </w:tr>
      <w:tr>
        <w:trPr>
          <w:trHeight w:val="223"/>
        </w:trPr>
        <w:tc>
          <w:tcPr>
            <w:tcW w:w="4480" w:type="dxa"/>
            <w:vAlign w:val="bottom"/>
          </w:tcPr>
          <w:p>
            <w:pPr>
              <w:ind w:left="80"/>
              <w:spacing w:after="0"/>
              <w:rPr>
                <w:sz w:val="20"/>
                <w:szCs w:val="20"/>
                <w:color w:val="auto"/>
              </w:rPr>
            </w:pPr>
            <w:r>
              <w:rPr>
                <w:rFonts w:ascii="Arial" w:cs="Arial" w:eastAsia="Arial" w:hAnsi="Arial"/>
                <w:sz w:val="17"/>
                <w:szCs w:val="17"/>
                <w:color w:val="3A4967"/>
              </w:rPr>
              <w:t>Gross value</w:t>
            </w:r>
          </w:p>
        </w:tc>
        <w:tc>
          <w:tcPr>
            <w:tcW w:w="3220" w:type="dxa"/>
            <w:vAlign w:val="bottom"/>
          </w:tcPr>
          <w:p>
            <w:pPr>
              <w:jc w:val="right"/>
              <w:ind w:right="157"/>
              <w:spacing w:after="0"/>
              <w:rPr>
                <w:sz w:val="20"/>
                <w:szCs w:val="20"/>
                <w:color w:val="auto"/>
              </w:rPr>
            </w:pPr>
            <w:r>
              <w:rPr>
                <w:rFonts w:ascii="Arial" w:cs="Arial" w:eastAsia="Arial" w:hAnsi="Arial"/>
                <w:sz w:val="17"/>
                <w:szCs w:val="17"/>
                <w:color w:val="3A4967"/>
              </w:rPr>
              <w:t>$</w:t>
            </w:r>
          </w:p>
        </w:tc>
        <w:tc>
          <w:tcPr>
            <w:tcW w:w="880" w:type="dxa"/>
            <w:vAlign w:val="bottom"/>
          </w:tcPr>
          <w:p>
            <w:pPr>
              <w:jc w:val="right"/>
              <w:ind w:right="36"/>
              <w:spacing w:after="0"/>
              <w:rPr>
                <w:sz w:val="20"/>
                <w:szCs w:val="20"/>
                <w:color w:val="auto"/>
              </w:rPr>
            </w:pPr>
            <w:r>
              <w:rPr>
                <w:rFonts w:ascii="Arial" w:cs="Arial" w:eastAsia="Arial" w:hAnsi="Arial"/>
                <w:sz w:val="17"/>
                <w:szCs w:val="17"/>
                <w:color w:val="3A4967"/>
              </w:rPr>
              <w:t>5,316</w:t>
            </w:r>
          </w:p>
        </w:tc>
        <w:tc>
          <w:tcPr>
            <w:tcW w:w="780" w:type="dxa"/>
            <w:vAlign w:val="bottom"/>
          </w:tcPr>
          <w:p>
            <w:pPr>
              <w:jc w:val="right"/>
              <w:ind w:right="157"/>
              <w:spacing w:after="0"/>
              <w:rPr>
                <w:sz w:val="20"/>
                <w:szCs w:val="20"/>
                <w:color w:val="auto"/>
              </w:rPr>
            </w:pPr>
            <w:r>
              <w:rPr>
                <w:rFonts w:ascii="Arial" w:cs="Arial" w:eastAsia="Arial" w:hAnsi="Arial"/>
                <w:sz w:val="17"/>
                <w:szCs w:val="17"/>
                <w:color w:val="3A4967"/>
              </w:rPr>
              <w:t>$</w:t>
            </w:r>
          </w:p>
        </w:tc>
        <w:tc>
          <w:tcPr>
            <w:tcW w:w="820" w:type="dxa"/>
            <w:vAlign w:val="bottom"/>
          </w:tcPr>
          <w:p>
            <w:pPr>
              <w:jc w:val="right"/>
              <w:spacing w:after="0"/>
              <w:rPr>
                <w:sz w:val="20"/>
                <w:szCs w:val="20"/>
                <w:color w:val="auto"/>
              </w:rPr>
            </w:pPr>
            <w:r>
              <w:rPr>
                <w:rFonts w:ascii="Arial" w:cs="Arial" w:eastAsia="Arial" w:hAnsi="Arial"/>
                <w:sz w:val="17"/>
                <w:szCs w:val="17"/>
                <w:color w:val="3A4967"/>
              </w:rPr>
              <w:t>6,134</w:t>
            </w:r>
          </w:p>
        </w:tc>
      </w:tr>
      <w:tr>
        <w:trPr>
          <w:trHeight w:val="281"/>
        </w:trPr>
        <w:tc>
          <w:tcPr>
            <w:tcW w:w="4480" w:type="dxa"/>
            <w:vAlign w:val="bottom"/>
          </w:tcPr>
          <w:p>
            <w:pPr>
              <w:ind w:left="80"/>
              <w:spacing w:after="0"/>
              <w:rPr>
                <w:sz w:val="20"/>
                <w:szCs w:val="20"/>
                <w:color w:val="auto"/>
              </w:rPr>
            </w:pPr>
            <w:r>
              <w:rPr>
                <w:rFonts w:ascii="Arial" w:cs="Arial" w:eastAsia="Arial" w:hAnsi="Arial"/>
                <w:sz w:val="17"/>
                <w:szCs w:val="17"/>
                <w:color w:val="3A4967"/>
              </w:rPr>
              <w:t>Accumulated amortization</w:t>
            </w:r>
          </w:p>
        </w:tc>
        <w:tc>
          <w:tcPr>
            <w:tcW w:w="3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(2,498)</w:t>
            </w:r>
          </w:p>
        </w:tc>
        <w:tc>
          <w:tcPr>
            <w:tcW w:w="7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(3,454)</w:t>
            </w:r>
          </w:p>
        </w:tc>
      </w:tr>
      <w:tr>
        <w:trPr>
          <w:trHeight w:val="35"/>
        </w:trPr>
        <w:tc>
          <w:tcPr>
            <w:tcW w:w="4480" w:type="dxa"/>
            <w:vAlign w:val="bottom"/>
            <w:tcBorders>
              <w:bottom w:val="single" w:sz="8" w:color="3A4967"/>
            </w:tcBorders>
          </w:tcPr>
          <w:p>
            <w:pPr>
              <w:spacing w:after="0"/>
              <w:rPr>
                <w:sz w:val="3"/>
                <w:szCs w:val="3"/>
                <w:color w:val="auto"/>
              </w:rPr>
            </w:pPr>
          </w:p>
        </w:tc>
        <w:tc>
          <w:tcPr>
            <w:tcW w:w="322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820" w:type="dxa"/>
            <w:vAlign w:val="bottom"/>
            <w:tcBorders>
              <w:bottom w:val="single" w:sz="8" w:color="3A4967"/>
            </w:tcBorders>
          </w:tcPr>
          <w:p>
            <w:pPr>
              <w:spacing w:after="0"/>
              <w:rPr>
                <w:sz w:val="3"/>
                <w:szCs w:val="3"/>
                <w:color w:val="auto"/>
              </w:rPr>
            </w:pPr>
          </w:p>
        </w:tc>
      </w:tr>
      <w:tr>
        <w:trPr>
          <w:trHeight w:val="266"/>
        </w:trPr>
        <w:tc>
          <w:tcPr>
            <w:tcW w:w="448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CARRYING VALUE</w:t>
            </w:r>
          </w:p>
        </w:tc>
        <w:tc>
          <w:tcPr>
            <w:tcW w:w="3220" w:type="dxa"/>
            <w:vAlign w:val="bottom"/>
            <w:tcBorders>
              <w:bottom w:val="single" w:sz="8" w:color="3A4967"/>
            </w:tcBorders>
          </w:tcPr>
          <w:p>
            <w:pPr>
              <w:jc w:val="right"/>
              <w:ind w:right="157"/>
              <w:spacing w:after="0"/>
              <w:rPr>
                <w:sz w:val="20"/>
                <w:szCs w:val="20"/>
                <w:color w:val="auto"/>
              </w:rPr>
            </w:pPr>
            <w:r>
              <w:rPr>
                <w:rFonts w:ascii="Arial" w:cs="Arial" w:eastAsia="Arial" w:hAnsi="Arial"/>
                <w:sz w:val="17"/>
                <w:szCs w:val="17"/>
                <w:b w:val="1"/>
                <w:bCs w:val="1"/>
                <w:color w:val="3A4967"/>
              </w:rPr>
              <w:t>$</w:t>
            </w:r>
          </w:p>
        </w:tc>
        <w:tc>
          <w:tcPr>
            <w:tcW w:w="880" w:type="dxa"/>
            <w:vAlign w:val="bottom"/>
            <w:tcBorders>
              <w:bottom w:val="single" w:sz="8" w:color="3A4967"/>
            </w:tcBorders>
          </w:tcPr>
          <w:p>
            <w:pPr>
              <w:jc w:val="right"/>
              <w:ind w:right="36"/>
              <w:spacing w:after="0"/>
              <w:rPr>
                <w:sz w:val="20"/>
                <w:szCs w:val="20"/>
                <w:color w:val="auto"/>
              </w:rPr>
            </w:pPr>
            <w:r>
              <w:rPr>
                <w:rFonts w:ascii="Arial" w:cs="Arial" w:eastAsia="Arial" w:hAnsi="Arial"/>
                <w:sz w:val="17"/>
                <w:szCs w:val="17"/>
                <w:b w:val="1"/>
                <w:bCs w:val="1"/>
                <w:color w:val="3A4967"/>
              </w:rPr>
              <w:t>2,818</w:t>
            </w:r>
          </w:p>
        </w:tc>
        <w:tc>
          <w:tcPr>
            <w:tcW w:w="780" w:type="dxa"/>
            <w:vAlign w:val="bottom"/>
            <w:tcBorders>
              <w:bottom w:val="single" w:sz="8" w:color="3A4967"/>
            </w:tcBorders>
          </w:tcPr>
          <w:p>
            <w:pPr>
              <w:jc w:val="right"/>
              <w:ind w:right="157"/>
              <w:spacing w:after="0"/>
              <w:rPr>
                <w:sz w:val="20"/>
                <w:szCs w:val="20"/>
                <w:color w:val="auto"/>
              </w:rPr>
            </w:pPr>
            <w:r>
              <w:rPr>
                <w:rFonts w:ascii="Arial" w:cs="Arial" w:eastAsia="Arial" w:hAnsi="Arial"/>
                <w:sz w:val="17"/>
                <w:szCs w:val="17"/>
                <w:b w:val="1"/>
                <w:bCs w:val="1"/>
                <w:color w:val="3A4967"/>
              </w:rPr>
              <w:t>$</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2,680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-553085</wp:posOffset>
            </wp:positionV>
            <wp:extent cx="6479540" cy="5486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479540" cy="54864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3A4967"/>
        </w:rPr>
        <w:t>Components of lease cost for the fiscal year-ended are as follows at: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80" w:type="dxa"/>
            <w:vAlign w:val="bottom"/>
            <w:gridSpan w:val="3"/>
          </w:tcPr>
          <w:p>
            <w:pPr>
              <w:jc w:val="right"/>
              <w:ind w:right="354"/>
              <w:spacing w:after="0"/>
              <w:rPr>
                <w:sz w:val="20"/>
                <w:szCs w:val="20"/>
                <w:color w:val="auto"/>
              </w:rPr>
            </w:pPr>
            <w:r>
              <w:rPr>
                <w:rFonts w:ascii="Arial" w:cs="Arial" w:eastAsia="Arial" w:hAnsi="Arial"/>
                <w:sz w:val="16"/>
                <w:szCs w:val="16"/>
                <w:b w:val="1"/>
                <w:bCs w:val="1"/>
                <w:color w:val="3A4967"/>
              </w:rPr>
              <w:t>Fiscal years ended</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7"/>
        </w:trPr>
        <w:tc>
          <w:tcPr>
            <w:tcW w:w="4180" w:type="dxa"/>
            <w:vAlign w:val="bottom"/>
            <w:tcBorders>
              <w:bottom w:val="single" w:sz="8" w:color="3A4967"/>
            </w:tcBorders>
          </w:tcPr>
          <w:p>
            <w:pPr>
              <w:spacing w:after="0"/>
              <w:rPr>
                <w:sz w:val="3"/>
                <w:szCs w:val="3"/>
                <w:color w:val="auto"/>
              </w:rPr>
            </w:pPr>
          </w:p>
        </w:tc>
        <w:tc>
          <w:tcPr>
            <w:tcW w:w="1080" w:type="dxa"/>
            <w:vAlign w:val="bottom"/>
            <w:tcBorders>
              <w:bottom w:val="single" w:sz="8" w:color="3A4967"/>
            </w:tcBorders>
          </w:tcPr>
          <w:p>
            <w:pPr>
              <w:spacing w:after="0"/>
              <w:rPr>
                <w:sz w:val="3"/>
                <w:szCs w:val="3"/>
                <w:color w:val="auto"/>
              </w:rPr>
            </w:pPr>
          </w:p>
        </w:tc>
        <w:tc>
          <w:tcPr>
            <w:tcW w:w="1640" w:type="dxa"/>
            <w:vAlign w:val="bottom"/>
            <w:tcBorders>
              <w:bottom w:val="single" w:sz="8" w:color="3A4967"/>
            </w:tcBorders>
          </w:tcPr>
          <w:p>
            <w:pPr>
              <w:spacing w:after="0"/>
              <w:rPr>
                <w:sz w:val="3"/>
                <w:szCs w:val="3"/>
                <w:color w:val="auto"/>
              </w:rPr>
            </w:pPr>
          </w:p>
        </w:tc>
        <w:tc>
          <w:tcPr>
            <w:tcW w:w="1640" w:type="dxa"/>
            <w:vAlign w:val="bottom"/>
            <w:tcBorders>
              <w:bottom w:val="single" w:sz="8" w:color="3A4967"/>
            </w:tcBorders>
            <w:gridSpan w:val="2"/>
          </w:tcPr>
          <w:p>
            <w:pPr>
              <w:spacing w:after="0"/>
              <w:rPr>
                <w:sz w:val="3"/>
                <w:szCs w:val="3"/>
                <w:color w:val="auto"/>
              </w:rPr>
            </w:pPr>
          </w:p>
        </w:tc>
        <w:tc>
          <w:tcPr>
            <w:tcW w:w="1640" w:type="dxa"/>
            <w:vAlign w:val="bottom"/>
            <w:tcBorders>
              <w:bottom w:val="single" w:sz="8" w:color="3A4967"/>
            </w:tcBorders>
            <w:gridSpan w:val="2"/>
          </w:tcPr>
          <w:p>
            <w:pPr>
              <w:spacing w:after="0"/>
              <w:rPr>
                <w:sz w:val="3"/>
                <w:szCs w:val="3"/>
                <w:color w:val="auto"/>
              </w:rPr>
            </w:pPr>
          </w:p>
        </w:tc>
      </w:tr>
      <w:tr>
        <w:trPr>
          <w:trHeight w:val="232"/>
        </w:trPr>
        <w:tc>
          <w:tcPr>
            <w:tcW w:w="418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10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3A4967"/>
              </w:rPr>
              <w:t>December 28, 2024</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30, 2023</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31, 2022</w:t>
            </w:r>
          </w:p>
        </w:tc>
      </w:tr>
      <w:tr>
        <w:trPr>
          <w:trHeight w:val="37"/>
        </w:trPr>
        <w:tc>
          <w:tcPr>
            <w:tcW w:w="4180" w:type="dxa"/>
            <w:vAlign w:val="bottom"/>
            <w:tcBorders>
              <w:bottom w:val="single" w:sz="8" w:color="3A4967"/>
            </w:tcBorders>
          </w:tcPr>
          <w:p>
            <w:pPr>
              <w:spacing w:after="0"/>
              <w:rPr>
                <w:sz w:val="3"/>
                <w:szCs w:val="3"/>
                <w:color w:val="auto"/>
              </w:rPr>
            </w:pPr>
          </w:p>
        </w:tc>
        <w:tc>
          <w:tcPr>
            <w:tcW w:w="1080" w:type="dxa"/>
            <w:vAlign w:val="bottom"/>
            <w:tcBorders>
              <w:bottom w:val="single" w:sz="8" w:color="3A4967"/>
            </w:tcBorders>
          </w:tcPr>
          <w:p>
            <w:pPr>
              <w:spacing w:after="0"/>
              <w:rPr>
                <w:sz w:val="3"/>
                <w:szCs w:val="3"/>
                <w:color w:val="auto"/>
              </w:rPr>
            </w:pPr>
          </w:p>
        </w:tc>
        <w:tc>
          <w:tcPr>
            <w:tcW w:w="164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r>
      <w:tr>
        <w:trPr>
          <w:trHeight w:val="221"/>
        </w:trPr>
        <w:tc>
          <w:tcPr>
            <w:tcW w:w="4180" w:type="dxa"/>
            <w:vAlign w:val="bottom"/>
          </w:tcPr>
          <w:p>
            <w:pPr>
              <w:ind w:left="80"/>
              <w:spacing w:after="0"/>
              <w:rPr>
                <w:sz w:val="20"/>
                <w:szCs w:val="20"/>
                <w:color w:val="auto"/>
              </w:rPr>
            </w:pPr>
            <w:r>
              <w:rPr>
                <w:rFonts w:ascii="Arial" w:cs="Arial" w:eastAsia="Arial" w:hAnsi="Arial"/>
                <w:sz w:val="17"/>
                <w:szCs w:val="17"/>
                <w:color w:val="3A4967"/>
              </w:rPr>
              <w:t>Operating lease cost:</w:t>
            </w:r>
          </w:p>
        </w:tc>
        <w:tc>
          <w:tcPr>
            <w:tcW w:w="1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81"/>
        </w:trPr>
        <w:tc>
          <w:tcPr>
            <w:tcW w:w="4180" w:type="dxa"/>
            <w:vAlign w:val="bottom"/>
          </w:tcPr>
          <w:p>
            <w:pPr>
              <w:ind w:left="220"/>
              <w:spacing w:after="0"/>
              <w:rPr>
                <w:sz w:val="20"/>
                <w:szCs w:val="20"/>
                <w:color w:val="auto"/>
              </w:rPr>
            </w:pPr>
            <w:r>
              <w:rPr>
                <w:rFonts w:ascii="Arial" w:cs="Arial" w:eastAsia="Arial" w:hAnsi="Arial"/>
                <w:sz w:val="17"/>
                <w:szCs w:val="17"/>
                <w:color w:val="3A4967"/>
              </w:rPr>
              <w:t>Amortization of right-of-use assets</w:t>
            </w:r>
          </w:p>
        </w:tc>
        <w:tc>
          <w:tcPr>
            <w:tcW w:w="1080" w:type="dxa"/>
            <w:vAlign w:val="bottom"/>
          </w:tcPr>
          <w:p>
            <w:pPr>
              <w:jc w:val="right"/>
              <w:spacing w:after="0"/>
              <w:rPr>
                <w:sz w:val="20"/>
                <w:szCs w:val="20"/>
                <w:color w:val="auto"/>
              </w:rPr>
            </w:pPr>
            <w:r>
              <w:rPr>
                <w:rFonts w:ascii="Arial" w:cs="Arial" w:eastAsia="Arial" w:hAnsi="Arial"/>
                <w:sz w:val="17"/>
                <w:szCs w:val="17"/>
                <w:color w:val="3A4967"/>
              </w:rPr>
              <w:t>$</w:t>
            </w:r>
          </w:p>
        </w:tc>
        <w:tc>
          <w:tcPr>
            <w:tcW w:w="1640" w:type="dxa"/>
            <w:vAlign w:val="bottom"/>
          </w:tcPr>
          <w:p>
            <w:pPr>
              <w:jc w:val="right"/>
              <w:spacing w:after="0"/>
              <w:rPr>
                <w:sz w:val="20"/>
                <w:szCs w:val="20"/>
                <w:color w:val="auto"/>
              </w:rPr>
            </w:pPr>
            <w:r>
              <w:rPr>
                <w:rFonts w:ascii="Arial" w:cs="Arial" w:eastAsia="Arial" w:hAnsi="Arial"/>
                <w:sz w:val="17"/>
                <w:szCs w:val="17"/>
                <w:color w:val="3A4967"/>
              </w:rPr>
              <w:t>9,420</w:t>
            </w:r>
          </w:p>
        </w:tc>
        <w:tc>
          <w:tcPr>
            <w:tcW w:w="840" w:type="dxa"/>
            <w:vAlign w:val="bottom"/>
          </w:tcPr>
          <w:p>
            <w:pPr>
              <w:jc w:val="right"/>
              <w:ind w:right="195"/>
              <w:spacing w:after="0"/>
              <w:rPr>
                <w:sz w:val="20"/>
                <w:szCs w:val="20"/>
                <w:color w:val="auto"/>
              </w:rPr>
            </w:pPr>
            <w:r>
              <w:rPr>
                <w:rFonts w:ascii="Arial" w:cs="Arial" w:eastAsia="Arial" w:hAnsi="Arial"/>
                <w:sz w:val="17"/>
                <w:szCs w:val="17"/>
                <w:color w:val="3A4967"/>
              </w:rPr>
              <w:t>$</w:t>
            </w:r>
          </w:p>
        </w:tc>
        <w:tc>
          <w:tcPr>
            <w:tcW w:w="800" w:type="dxa"/>
            <w:vAlign w:val="bottom"/>
          </w:tcPr>
          <w:p>
            <w:pPr>
              <w:jc w:val="right"/>
              <w:spacing w:after="0"/>
              <w:rPr>
                <w:sz w:val="20"/>
                <w:szCs w:val="20"/>
                <w:color w:val="auto"/>
              </w:rPr>
            </w:pPr>
            <w:r>
              <w:rPr>
                <w:rFonts w:ascii="Arial" w:cs="Arial" w:eastAsia="Arial" w:hAnsi="Arial"/>
                <w:sz w:val="17"/>
                <w:szCs w:val="17"/>
                <w:color w:val="3A4967"/>
              </w:rPr>
              <w:t>8,339</w:t>
            </w:r>
          </w:p>
        </w:tc>
        <w:tc>
          <w:tcPr>
            <w:tcW w:w="800" w:type="dxa"/>
            <w:vAlign w:val="bottom"/>
          </w:tcPr>
          <w:p>
            <w:pPr>
              <w:jc w:val="right"/>
              <w:ind w:right="135"/>
              <w:spacing w:after="0"/>
              <w:rPr>
                <w:sz w:val="20"/>
                <w:szCs w:val="20"/>
                <w:color w:val="auto"/>
              </w:rPr>
            </w:pPr>
            <w:r>
              <w:rPr>
                <w:rFonts w:ascii="Arial" w:cs="Arial" w:eastAsia="Arial" w:hAnsi="Arial"/>
                <w:sz w:val="17"/>
                <w:szCs w:val="17"/>
                <w:color w:val="3A4967"/>
              </w:rPr>
              <w:t>$</w:t>
            </w:r>
          </w:p>
        </w:tc>
        <w:tc>
          <w:tcPr>
            <w:tcW w:w="840" w:type="dxa"/>
            <w:vAlign w:val="bottom"/>
          </w:tcPr>
          <w:p>
            <w:pPr>
              <w:jc w:val="right"/>
              <w:spacing w:after="0"/>
              <w:rPr>
                <w:sz w:val="20"/>
                <w:szCs w:val="20"/>
                <w:color w:val="auto"/>
              </w:rPr>
            </w:pPr>
            <w:r>
              <w:rPr>
                <w:rFonts w:ascii="Arial" w:cs="Arial" w:eastAsia="Arial" w:hAnsi="Arial"/>
                <w:sz w:val="17"/>
                <w:szCs w:val="17"/>
                <w:color w:val="3A4967"/>
              </w:rPr>
              <w:t>9,978</w:t>
            </w:r>
          </w:p>
        </w:tc>
      </w:tr>
      <w:tr>
        <w:trPr>
          <w:trHeight w:val="281"/>
        </w:trPr>
        <w:tc>
          <w:tcPr>
            <w:tcW w:w="4180" w:type="dxa"/>
            <w:vAlign w:val="bottom"/>
          </w:tcPr>
          <w:p>
            <w:pPr>
              <w:ind w:left="220"/>
              <w:spacing w:after="0"/>
              <w:rPr>
                <w:sz w:val="20"/>
                <w:szCs w:val="20"/>
                <w:color w:val="auto"/>
              </w:rPr>
            </w:pPr>
            <w:r>
              <w:rPr>
                <w:rFonts w:ascii="Arial" w:cs="Arial" w:eastAsia="Arial" w:hAnsi="Arial"/>
                <w:sz w:val="17"/>
                <w:szCs w:val="17"/>
                <w:color w:val="3A4967"/>
              </w:rPr>
              <w:t>Variable lease costs not included in liability</w:t>
            </w:r>
          </w:p>
        </w:tc>
        <w:tc>
          <w:tcPr>
            <w:tcW w:w="10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3A4967"/>
              </w:rPr>
              <w:t>561</w:t>
            </w:r>
          </w:p>
        </w:tc>
        <w:tc>
          <w:tcPr>
            <w:tcW w:w="8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3A4967"/>
              </w:rPr>
              <w:t>606</w:t>
            </w: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702</w:t>
            </w:r>
          </w:p>
        </w:tc>
      </w:tr>
      <w:tr>
        <w:trPr>
          <w:trHeight w:val="281"/>
        </w:trPr>
        <w:tc>
          <w:tcPr>
            <w:tcW w:w="4180" w:type="dxa"/>
            <w:vAlign w:val="bottom"/>
          </w:tcPr>
          <w:p>
            <w:pPr>
              <w:ind w:left="80"/>
              <w:spacing w:after="0"/>
              <w:rPr>
                <w:sz w:val="20"/>
                <w:szCs w:val="20"/>
                <w:color w:val="auto"/>
              </w:rPr>
            </w:pPr>
            <w:r>
              <w:rPr>
                <w:rFonts w:ascii="Arial" w:cs="Arial" w:eastAsia="Arial" w:hAnsi="Arial"/>
                <w:sz w:val="17"/>
                <w:szCs w:val="17"/>
                <w:color w:val="3A4967"/>
              </w:rPr>
              <w:t>Total operating lease cost</w:t>
            </w:r>
          </w:p>
        </w:tc>
        <w:tc>
          <w:tcPr>
            <w:tcW w:w="1080" w:type="dxa"/>
            <w:vAlign w:val="bottom"/>
          </w:tcPr>
          <w:p>
            <w:pPr>
              <w:jc w:val="right"/>
              <w:spacing w:after="0"/>
              <w:rPr>
                <w:sz w:val="20"/>
                <w:szCs w:val="20"/>
                <w:color w:val="auto"/>
              </w:rPr>
            </w:pPr>
            <w:r>
              <w:rPr>
                <w:rFonts w:ascii="Arial" w:cs="Arial" w:eastAsia="Arial" w:hAnsi="Arial"/>
                <w:sz w:val="17"/>
                <w:szCs w:val="17"/>
                <w:color w:val="3A4967"/>
              </w:rPr>
              <w:t>$</w:t>
            </w:r>
          </w:p>
        </w:tc>
        <w:tc>
          <w:tcPr>
            <w:tcW w:w="1640" w:type="dxa"/>
            <w:vAlign w:val="bottom"/>
          </w:tcPr>
          <w:p>
            <w:pPr>
              <w:jc w:val="right"/>
              <w:spacing w:after="0"/>
              <w:rPr>
                <w:sz w:val="20"/>
                <w:szCs w:val="20"/>
                <w:color w:val="auto"/>
              </w:rPr>
            </w:pPr>
            <w:r>
              <w:rPr>
                <w:rFonts w:ascii="Arial" w:cs="Arial" w:eastAsia="Arial" w:hAnsi="Arial"/>
                <w:sz w:val="17"/>
                <w:szCs w:val="17"/>
                <w:color w:val="3A4967"/>
              </w:rPr>
              <w:t>9,981</w:t>
            </w:r>
          </w:p>
        </w:tc>
        <w:tc>
          <w:tcPr>
            <w:tcW w:w="840" w:type="dxa"/>
            <w:vAlign w:val="bottom"/>
          </w:tcPr>
          <w:p>
            <w:pPr>
              <w:jc w:val="right"/>
              <w:ind w:right="195"/>
              <w:spacing w:after="0"/>
              <w:rPr>
                <w:sz w:val="20"/>
                <w:szCs w:val="20"/>
                <w:color w:val="auto"/>
              </w:rPr>
            </w:pPr>
            <w:r>
              <w:rPr>
                <w:rFonts w:ascii="Arial" w:cs="Arial" w:eastAsia="Arial" w:hAnsi="Arial"/>
                <w:sz w:val="17"/>
                <w:szCs w:val="17"/>
                <w:color w:val="3A4967"/>
              </w:rPr>
              <w:t>$</w:t>
            </w:r>
          </w:p>
        </w:tc>
        <w:tc>
          <w:tcPr>
            <w:tcW w:w="800" w:type="dxa"/>
            <w:vAlign w:val="bottom"/>
          </w:tcPr>
          <w:p>
            <w:pPr>
              <w:jc w:val="right"/>
              <w:spacing w:after="0"/>
              <w:rPr>
                <w:sz w:val="20"/>
                <w:szCs w:val="20"/>
                <w:color w:val="auto"/>
              </w:rPr>
            </w:pPr>
            <w:r>
              <w:rPr>
                <w:rFonts w:ascii="Arial" w:cs="Arial" w:eastAsia="Arial" w:hAnsi="Arial"/>
                <w:sz w:val="17"/>
                <w:szCs w:val="17"/>
                <w:color w:val="3A4967"/>
              </w:rPr>
              <w:t>8,945</w:t>
            </w:r>
          </w:p>
        </w:tc>
        <w:tc>
          <w:tcPr>
            <w:tcW w:w="800" w:type="dxa"/>
            <w:vAlign w:val="bottom"/>
          </w:tcPr>
          <w:p>
            <w:pPr>
              <w:jc w:val="right"/>
              <w:ind w:right="135"/>
              <w:spacing w:after="0"/>
              <w:rPr>
                <w:sz w:val="20"/>
                <w:szCs w:val="20"/>
                <w:color w:val="auto"/>
              </w:rPr>
            </w:pPr>
            <w:r>
              <w:rPr>
                <w:rFonts w:ascii="Arial" w:cs="Arial" w:eastAsia="Arial" w:hAnsi="Arial"/>
                <w:sz w:val="17"/>
                <w:szCs w:val="17"/>
                <w:color w:val="3A4967"/>
              </w:rPr>
              <w:t>$</w:t>
            </w:r>
          </w:p>
        </w:tc>
        <w:tc>
          <w:tcPr>
            <w:tcW w:w="840" w:type="dxa"/>
            <w:vAlign w:val="bottom"/>
          </w:tcPr>
          <w:p>
            <w:pPr>
              <w:jc w:val="right"/>
              <w:spacing w:after="0"/>
              <w:rPr>
                <w:sz w:val="20"/>
                <w:szCs w:val="20"/>
                <w:color w:val="auto"/>
              </w:rPr>
            </w:pPr>
            <w:r>
              <w:rPr>
                <w:rFonts w:ascii="Arial" w:cs="Arial" w:eastAsia="Arial" w:hAnsi="Arial"/>
                <w:sz w:val="17"/>
                <w:szCs w:val="17"/>
                <w:color w:val="3A4967"/>
              </w:rPr>
              <w:t>10,680</w:t>
            </w:r>
          </w:p>
        </w:tc>
      </w:tr>
      <w:tr>
        <w:trPr>
          <w:trHeight w:val="281"/>
        </w:trPr>
        <w:tc>
          <w:tcPr>
            <w:tcW w:w="4180" w:type="dxa"/>
            <w:vAlign w:val="bottom"/>
          </w:tcPr>
          <w:p>
            <w:pPr>
              <w:ind w:left="80"/>
              <w:spacing w:after="0"/>
              <w:rPr>
                <w:sz w:val="20"/>
                <w:szCs w:val="20"/>
                <w:color w:val="auto"/>
              </w:rPr>
            </w:pPr>
            <w:r>
              <w:rPr>
                <w:rFonts w:ascii="Arial" w:cs="Arial" w:eastAsia="Arial" w:hAnsi="Arial"/>
                <w:sz w:val="17"/>
                <w:szCs w:val="17"/>
                <w:color w:val="3A4967"/>
              </w:rPr>
              <w:t>Finance lease cost:</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1"/>
        </w:trPr>
        <w:tc>
          <w:tcPr>
            <w:tcW w:w="4180" w:type="dxa"/>
            <w:vAlign w:val="bottom"/>
          </w:tcPr>
          <w:p>
            <w:pPr>
              <w:ind w:left="220"/>
              <w:spacing w:after="0"/>
              <w:rPr>
                <w:sz w:val="20"/>
                <w:szCs w:val="20"/>
                <w:color w:val="auto"/>
              </w:rPr>
            </w:pPr>
            <w:r>
              <w:rPr>
                <w:rFonts w:ascii="Arial" w:cs="Arial" w:eastAsia="Arial" w:hAnsi="Arial"/>
                <w:sz w:val="17"/>
                <w:szCs w:val="17"/>
                <w:color w:val="3A4967"/>
              </w:rPr>
              <w:t>Amortization of right-of-use assets</w:t>
            </w:r>
          </w:p>
        </w:tc>
        <w:tc>
          <w:tcPr>
            <w:tcW w:w="1080" w:type="dxa"/>
            <w:vAlign w:val="bottom"/>
          </w:tcPr>
          <w:p>
            <w:pPr>
              <w:jc w:val="right"/>
              <w:spacing w:after="0"/>
              <w:rPr>
                <w:sz w:val="20"/>
                <w:szCs w:val="20"/>
                <w:color w:val="auto"/>
              </w:rPr>
            </w:pPr>
            <w:r>
              <w:rPr>
                <w:rFonts w:ascii="Arial" w:cs="Arial" w:eastAsia="Arial" w:hAnsi="Arial"/>
                <w:sz w:val="17"/>
                <w:szCs w:val="17"/>
                <w:color w:val="3A4967"/>
              </w:rPr>
              <w:t>$</w:t>
            </w:r>
          </w:p>
        </w:tc>
        <w:tc>
          <w:tcPr>
            <w:tcW w:w="1640" w:type="dxa"/>
            <w:vAlign w:val="bottom"/>
          </w:tcPr>
          <w:p>
            <w:pPr>
              <w:jc w:val="right"/>
              <w:spacing w:after="0"/>
              <w:rPr>
                <w:sz w:val="20"/>
                <w:szCs w:val="20"/>
                <w:color w:val="auto"/>
              </w:rPr>
            </w:pPr>
            <w:r>
              <w:rPr>
                <w:rFonts w:ascii="Arial" w:cs="Arial" w:eastAsia="Arial" w:hAnsi="Arial"/>
                <w:sz w:val="17"/>
                <w:szCs w:val="17"/>
                <w:color w:val="3A4967"/>
              </w:rPr>
              <w:t>1,624</w:t>
            </w:r>
          </w:p>
        </w:tc>
        <w:tc>
          <w:tcPr>
            <w:tcW w:w="840" w:type="dxa"/>
            <w:vAlign w:val="bottom"/>
          </w:tcPr>
          <w:p>
            <w:pPr>
              <w:jc w:val="right"/>
              <w:ind w:right="195"/>
              <w:spacing w:after="0"/>
              <w:rPr>
                <w:sz w:val="20"/>
                <w:szCs w:val="20"/>
                <w:color w:val="auto"/>
              </w:rPr>
            </w:pPr>
            <w:r>
              <w:rPr>
                <w:rFonts w:ascii="Arial" w:cs="Arial" w:eastAsia="Arial" w:hAnsi="Arial"/>
                <w:sz w:val="17"/>
                <w:szCs w:val="17"/>
                <w:color w:val="3A4967"/>
              </w:rPr>
              <w:t>$</w:t>
            </w:r>
          </w:p>
        </w:tc>
        <w:tc>
          <w:tcPr>
            <w:tcW w:w="800" w:type="dxa"/>
            <w:vAlign w:val="bottom"/>
          </w:tcPr>
          <w:p>
            <w:pPr>
              <w:jc w:val="right"/>
              <w:spacing w:after="0"/>
              <w:rPr>
                <w:sz w:val="20"/>
                <w:szCs w:val="20"/>
                <w:color w:val="auto"/>
              </w:rPr>
            </w:pPr>
            <w:r>
              <w:rPr>
                <w:rFonts w:ascii="Arial" w:cs="Arial" w:eastAsia="Arial" w:hAnsi="Arial"/>
                <w:sz w:val="17"/>
                <w:szCs w:val="17"/>
                <w:color w:val="3A4967"/>
              </w:rPr>
              <w:t>1,568</w:t>
            </w:r>
          </w:p>
        </w:tc>
        <w:tc>
          <w:tcPr>
            <w:tcW w:w="800" w:type="dxa"/>
            <w:vAlign w:val="bottom"/>
          </w:tcPr>
          <w:p>
            <w:pPr>
              <w:jc w:val="right"/>
              <w:ind w:right="135"/>
              <w:spacing w:after="0"/>
              <w:rPr>
                <w:sz w:val="20"/>
                <w:szCs w:val="20"/>
                <w:color w:val="auto"/>
              </w:rPr>
            </w:pPr>
            <w:r>
              <w:rPr>
                <w:rFonts w:ascii="Arial" w:cs="Arial" w:eastAsia="Arial" w:hAnsi="Arial"/>
                <w:sz w:val="17"/>
                <w:szCs w:val="17"/>
                <w:color w:val="3A4967"/>
              </w:rPr>
              <w:t>$</w:t>
            </w:r>
          </w:p>
        </w:tc>
        <w:tc>
          <w:tcPr>
            <w:tcW w:w="840" w:type="dxa"/>
            <w:vAlign w:val="bottom"/>
          </w:tcPr>
          <w:p>
            <w:pPr>
              <w:jc w:val="right"/>
              <w:spacing w:after="0"/>
              <w:rPr>
                <w:sz w:val="20"/>
                <w:szCs w:val="20"/>
                <w:color w:val="auto"/>
              </w:rPr>
            </w:pPr>
            <w:r>
              <w:rPr>
                <w:rFonts w:ascii="Arial" w:cs="Arial" w:eastAsia="Arial" w:hAnsi="Arial"/>
                <w:sz w:val="17"/>
                <w:szCs w:val="17"/>
                <w:color w:val="3A4967"/>
              </w:rPr>
              <w:t>1,590</w:t>
            </w:r>
          </w:p>
        </w:tc>
      </w:tr>
      <w:tr>
        <w:trPr>
          <w:trHeight w:val="281"/>
        </w:trPr>
        <w:tc>
          <w:tcPr>
            <w:tcW w:w="4180" w:type="dxa"/>
            <w:vAlign w:val="bottom"/>
          </w:tcPr>
          <w:p>
            <w:pPr>
              <w:ind w:left="220"/>
              <w:spacing w:after="0"/>
              <w:rPr>
                <w:sz w:val="20"/>
                <w:szCs w:val="20"/>
                <w:color w:val="auto"/>
              </w:rPr>
            </w:pPr>
            <w:r>
              <w:rPr>
                <w:rFonts w:ascii="Arial" w:cs="Arial" w:eastAsia="Arial" w:hAnsi="Arial"/>
                <w:sz w:val="17"/>
                <w:szCs w:val="17"/>
                <w:color w:val="3A4967"/>
              </w:rPr>
              <w:t>Interest on lease liabilities</w:t>
            </w:r>
          </w:p>
        </w:tc>
        <w:tc>
          <w:tcPr>
            <w:tcW w:w="10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3A4967"/>
              </w:rPr>
              <w:t>222</w:t>
            </w:r>
          </w:p>
        </w:tc>
        <w:tc>
          <w:tcPr>
            <w:tcW w:w="8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3A4967"/>
              </w:rPr>
              <w:t>138</w:t>
            </w: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71</w:t>
            </w:r>
          </w:p>
        </w:tc>
      </w:tr>
      <w:tr>
        <w:trPr>
          <w:trHeight w:val="37"/>
        </w:trPr>
        <w:tc>
          <w:tcPr>
            <w:tcW w:w="4180" w:type="dxa"/>
            <w:vAlign w:val="bottom"/>
            <w:tcBorders>
              <w:bottom w:val="single" w:sz="8" w:color="3A4967"/>
            </w:tcBorders>
          </w:tcPr>
          <w:p>
            <w:pPr>
              <w:spacing w:after="0"/>
              <w:rPr>
                <w:sz w:val="3"/>
                <w:szCs w:val="3"/>
                <w:color w:val="auto"/>
              </w:rPr>
            </w:pPr>
          </w:p>
        </w:tc>
        <w:tc>
          <w:tcPr>
            <w:tcW w:w="1080" w:type="dxa"/>
            <w:vAlign w:val="bottom"/>
            <w:tcBorders>
              <w:bottom w:val="single" w:sz="8" w:color="3A4967"/>
            </w:tcBorders>
          </w:tcPr>
          <w:p>
            <w:pPr>
              <w:spacing w:after="0"/>
              <w:rPr>
                <w:sz w:val="3"/>
                <w:szCs w:val="3"/>
                <w:color w:val="auto"/>
              </w:rPr>
            </w:pPr>
          </w:p>
        </w:tc>
        <w:tc>
          <w:tcPr>
            <w:tcW w:w="164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r>
      <w:tr>
        <w:trPr>
          <w:trHeight w:val="279"/>
        </w:trPr>
        <w:tc>
          <w:tcPr>
            <w:tcW w:w="418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Total finance lease cost</w:t>
            </w:r>
          </w:p>
        </w:tc>
        <w:tc>
          <w:tcPr>
            <w:tcW w:w="1080" w:type="dxa"/>
            <w:vAlign w:val="bottom"/>
            <w:tcBorders>
              <w:bottom w:val="single" w:sz="8" w:color="3A4967"/>
            </w:tcBorders>
          </w:tcPr>
          <w:p>
            <w:pPr>
              <w:jc w:val="right"/>
              <w:spacing w:after="0"/>
              <w:rPr>
                <w:sz w:val="20"/>
                <w:szCs w:val="20"/>
                <w:color w:val="auto"/>
              </w:rPr>
            </w:pPr>
            <w:r>
              <w:rPr>
                <w:rFonts w:ascii="Arial" w:cs="Arial" w:eastAsia="Arial" w:hAnsi="Arial"/>
                <w:sz w:val="18"/>
                <w:szCs w:val="18"/>
                <w:b w:val="1"/>
                <w:bCs w:val="1"/>
                <w:color w:val="3A4967"/>
              </w:rPr>
              <w:t>$</w:t>
            </w:r>
          </w:p>
        </w:tc>
        <w:tc>
          <w:tcPr>
            <w:tcW w:w="1640" w:type="dxa"/>
            <w:vAlign w:val="bottom"/>
            <w:tcBorders>
              <w:bottom w:val="single" w:sz="8" w:color="3A4967"/>
            </w:tcBorders>
          </w:tcPr>
          <w:p>
            <w:pPr>
              <w:jc w:val="right"/>
              <w:spacing w:after="0"/>
              <w:rPr>
                <w:sz w:val="20"/>
                <w:szCs w:val="20"/>
                <w:color w:val="auto"/>
              </w:rPr>
            </w:pPr>
            <w:r>
              <w:rPr>
                <w:rFonts w:ascii="Arial" w:cs="Arial" w:eastAsia="Arial" w:hAnsi="Arial"/>
                <w:sz w:val="18"/>
                <w:szCs w:val="18"/>
                <w:b w:val="1"/>
                <w:bCs w:val="1"/>
                <w:color w:val="3A4967"/>
              </w:rPr>
              <w:t>1,846</w:t>
            </w:r>
          </w:p>
        </w:tc>
        <w:tc>
          <w:tcPr>
            <w:tcW w:w="840" w:type="dxa"/>
            <w:vAlign w:val="bottom"/>
            <w:tcBorders>
              <w:bottom w:val="single" w:sz="8" w:color="3A4967"/>
            </w:tcBorders>
          </w:tcPr>
          <w:p>
            <w:pPr>
              <w:jc w:val="right"/>
              <w:ind w:right="195"/>
              <w:spacing w:after="0"/>
              <w:rPr>
                <w:sz w:val="20"/>
                <w:szCs w:val="20"/>
                <w:color w:val="auto"/>
              </w:rPr>
            </w:pPr>
            <w:r>
              <w:rPr>
                <w:rFonts w:ascii="Arial" w:cs="Arial" w:eastAsia="Arial" w:hAnsi="Arial"/>
                <w:sz w:val="18"/>
                <w:szCs w:val="18"/>
                <w:b w:val="1"/>
                <w:bCs w:val="1"/>
                <w:color w:val="3A4967"/>
              </w:rPr>
              <w:t>$</w:t>
            </w:r>
          </w:p>
        </w:tc>
        <w:tc>
          <w:tcPr>
            <w:tcW w:w="800" w:type="dxa"/>
            <w:vAlign w:val="bottom"/>
            <w:tcBorders>
              <w:bottom w:val="single" w:sz="8" w:color="3A4967"/>
            </w:tcBorders>
          </w:tcPr>
          <w:p>
            <w:pPr>
              <w:jc w:val="right"/>
              <w:spacing w:after="0"/>
              <w:rPr>
                <w:sz w:val="20"/>
                <w:szCs w:val="20"/>
                <w:color w:val="auto"/>
              </w:rPr>
            </w:pPr>
            <w:r>
              <w:rPr>
                <w:rFonts w:ascii="Arial" w:cs="Arial" w:eastAsia="Arial" w:hAnsi="Arial"/>
                <w:sz w:val="18"/>
                <w:szCs w:val="18"/>
                <w:b w:val="1"/>
                <w:bCs w:val="1"/>
                <w:color w:val="3A4967"/>
              </w:rPr>
              <w:t>1,706</w:t>
            </w:r>
          </w:p>
        </w:tc>
        <w:tc>
          <w:tcPr>
            <w:tcW w:w="800" w:type="dxa"/>
            <w:vAlign w:val="bottom"/>
            <w:tcBorders>
              <w:bottom w:val="single" w:sz="8" w:color="3A4967"/>
            </w:tcBorders>
          </w:tcPr>
          <w:p>
            <w:pPr>
              <w:jc w:val="right"/>
              <w:ind w:right="135"/>
              <w:spacing w:after="0"/>
              <w:rPr>
                <w:sz w:val="20"/>
                <w:szCs w:val="20"/>
                <w:color w:val="auto"/>
              </w:rPr>
            </w:pPr>
            <w:r>
              <w:rPr>
                <w:rFonts w:ascii="Arial" w:cs="Arial" w:eastAsia="Arial" w:hAnsi="Arial"/>
                <w:sz w:val="18"/>
                <w:szCs w:val="18"/>
                <w:b w:val="1"/>
                <w:bCs w:val="1"/>
                <w:color w:val="3A4967"/>
              </w:rPr>
              <w:t>$</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8"/>
                <w:szCs w:val="18"/>
                <w:b w:val="1"/>
                <w:bCs w:val="1"/>
                <w:color w:val="3A4967"/>
              </w:rPr>
              <w:t>1,661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-1462405</wp:posOffset>
            </wp:positionV>
            <wp:extent cx="6494780" cy="12827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494780" cy="1282700"/>
                    </a:xfrm>
                    <a:prstGeom prst="rect">
                      <a:avLst/>
                    </a:prstGeom>
                    <a:noFill/>
                  </pic:spPr>
                </pic:pic>
              </a:graphicData>
            </a:graphic>
          </wp:anchor>
        </w:drawing>
      </w:r>
    </w:p>
    <w:p>
      <w:pPr>
        <w:spacing w:after="0" w:line="108"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3A4967"/>
        </w:rPr>
        <w:t>Additionally, during 2024, 2023 and 2022, the Company recorded losses on disposals of right-of use assets of $0.2 million in 2024 and impairment charges of $0.4 million and $0.2 million in 2023 and 2022, respectively, included within other expenses, net within the Company’s consolidated statements of comprehensive income.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3A4967"/>
        </w:rPr>
        <w:t>Maturities of lease liabilities as of December 28, 2024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340" w:type="dxa"/>
            <w:vAlign w:val="bottom"/>
            <w:gridSpan w:val="2"/>
          </w:tcPr>
          <w:p>
            <w:pPr>
              <w:jc w:val="right"/>
              <w:ind w:right="418"/>
              <w:spacing w:after="0"/>
              <w:rPr>
                <w:sz w:val="20"/>
                <w:szCs w:val="20"/>
                <w:color w:val="auto"/>
              </w:rPr>
            </w:pPr>
            <w:r>
              <w:rPr>
                <w:rFonts w:ascii="Arial" w:cs="Arial" w:eastAsia="Arial" w:hAnsi="Arial"/>
                <w:sz w:val="16"/>
                <w:szCs w:val="16"/>
                <w:b w:val="1"/>
                <w:bCs w:val="1"/>
                <w:color w:val="3A4967"/>
              </w:rPr>
              <w:t>Weighted- Average Remaining</w:t>
            </w:r>
          </w:p>
        </w:tc>
      </w:tr>
      <w:tr>
        <w:trPr>
          <w:trHeight w:val="198"/>
        </w:trPr>
        <w:tc>
          <w:tcPr>
            <w:tcW w:w="3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40" w:type="dxa"/>
            <w:vAlign w:val="bottom"/>
            <w:gridSpan w:val="2"/>
          </w:tcPr>
          <w:p>
            <w:pPr>
              <w:jc w:val="right"/>
              <w:ind w:right="1078"/>
              <w:spacing w:after="0"/>
              <w:rPr>
                <w:sz w:val="20"/>
                <w:szCs w:val="20"/>
                <w:color w:val="auto"/>
              </w:rPr>
            </w:pPr>
            <w:r>
              <w:rPr>
                <w:rFonts w:ascii="Arial" w:cs="Arial" w:eastAsia="Arial" w:hAnsi="Arial"/>
                <w:sz w:val="16"/>
                <w:szCs w:val="16"/>
                <w:b w:val="1"/>
                <w:bCs w:val="1"/>
                <w:color w:val="3A4967"/>
              </w:rPr>
              <w:t>Term in Years</w:t>
            </w:r>
          </w:p>
        </w:tc>
      </w:tr>
      <w:tr>
        <w:trPr>
          <w:trHeight w:val="36"/>
        </w:trPr>
        <w:tc>
          <w:tcPr>
            <w:tcW w:w="3260" w:type="dxa"/>
            <w:vAlign w:val="bottom"/>
          </w:tcPr>
          <w:p>
            <w:pPr>
              <w:spacing w:after="0"/>
              <w:rPr>
                <w:sz w:val="3"/>
                <w:szCs w:val="3"/>
                <w:color w:val="auto"/>
              </w:rPr>
            </w:pPr>
          </w:p>
        </w:tc>
        <w:tc>
          <w:tcPr>
            <w:tcW w:w="2060" w:type="dxa"/>
            <w:vAlign w:val="bottom"/>
            <w:gridSpan w:val="2"/>
          </w:tcPr>
          <w:p>
            <w:pPr>
              <w:spacing w:after="0"/>
              <w:rPr>
                <w:sz w:val="3"/>
                <w:szCs w:val="3"/>
                <w:color w:val="auto"/>
              </w:rPr>
            </w:pPr>
          </w:p>
        </w:tc>
        <w:tc>
          <w:tcPr>
            <w:tcW w:w="1500" w:type="dxa"/>
            <w:vAlign w:val="bottom"/>
            <w:gridSpan w:val="2"/>
          </w:tcPr>
          <w:p>
            <w:pPr>
              <w:spacing w:after="0"/>
              <w:rPr>
                <w:sz w:val="3"/>
                <w:szCs w:val="3"/>
                <w:color w:val="auto"/>
              </w:rPr>
            </w:pPr>
          </w:p>
        </w:tc>
        <w:tc>
          <w:tcPr>
            <w:tcW w:w="1840" w:type="dxa"/>
            <w:vAlign w:val="bottom"/>
            <w:tcBorders>
              <w:bottom w:val="single" w:sz="8" w:color="3A4967"/>
            </w:tcBorders>
          </w:tcPr>
          <w:p>
            <w:pPr>
              <w:spacing w:after="0"/>
              <w:rPr>
                <w:sz w:val="3"/>
                <w:szCs w:val="3"/>
                <w:color w:val="auto"/>
              </w:rPr>
            </w:pPr>
          </w:p>
        </w:tc>
        <w:tc>
          <w:tcPr>
            <w:tcW w:w="1500" w:type="dxa"/>
            <w:vAlign w:val="bottom"/>
            <w:tcBorders>
              <w:bottom w:val="single" w:sz="8" w:color="3A4967"/>
            </w:tcBorders>
          </w:tcPr>
          <w:p>
            <w:pPr>
              <w:spacing w:after="0"/>
              <w:rPr>
                <w:sz w:val="3"/>
                <w:szCs w:val="3"/>
                <w:color w:val="auto"/>
              </w:rPr>
            </w:pPr>
          </w:p>
        </w:tc>
      </w:tr>
      <w:tr>
        <w:trPr>
          <w:trHeight w:val="224"/>
        </w:trPr>
        <w:tc>
          <w:tcPr>
            <w:tcW w:w="326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2060" w:type="dxa"/>
            <w:vAlign w:val="bottom"/>
            <w:gridSpan w:val="2"/>
          </w:tcPr>
          <w:p>
            <w:pPr>
              <w:jc w:val="right"/>
              <w:ind w:right="235"/>
              <w:spacing w:after="0"/>
              <w:rPr>
                <w:sz w:val="20"/>
                <w:szCs w:val="20"/>
                <w:color w:val="auto"/>
              </w:rPr>
            </w:pPr>
            <w:r>
              <w:rPr>
                <w:rFonts w:ascii="Arial" w:cs="Arial" w:eastAsia="Arial" w:hAnsi="Arial"/>
                <w:sz w:val="16"/>
                <w:szCs w:val="16"/>
                <w:b w:val="1"/>
                <w:bCs w:val="1"/>
                <w:color w:val="3A4967"/>
              </w:rPr>
              <w:t>Operating Leases</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3A4967"/>
              </w:rPr>
              <w:t>Finance Leases</w:t>
            </w:r>
          </w:p>
        </w:tc>
        <w:tc>
          <w:tcPr>
            <w:tcW w:w="1840" w:type="dxa"/>
            <w:vAlign w:val="bottom"/>
          </w:tcPr>
          <w:p>
            <w:pPr>
              <w:jc w:val="right"/>
              <w:ind w:right="159"/>
              <w:spacing w:after="0"/>
              <w:rPr>
                <w:sz w:val="20"/>
                <w:szCs w:val="20"/>
                <w:color w:val="auto"/>
              </w:rPr>
            </w:pPr>
            <w:r>
              <w:rPr>
                <w:rFonts w:ascii="Arial" w:cs="Arial" w:eastAsia="Arial" w:hAnsi="Arial"/>
                <w:sz w:val="16"/>
                <w:szCs w:val="16"/>
                <w:b w:val="1"/>
                <w:bCs w:val="1"/>
                <w:color w:val="3A4967"/>
              </w:rPr>
              <w:t>Operating Leases</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3A4967"/>
              </w:rPr>
              <w:t>Finance Leases</w:t>
            </w:r>
          </w:p>
        </w:tc>
      </w:tr>
      <w:tr>
        <w:trPr>
          <w:trHeight w:val="36"/>
        </w:trPr>
        <w:tc>
          <w:tcPr>
            <w:tcW w:w="3260" w:type="dxa"/>
            <w:vAlign w:val="bottom"/>
            <w:tcBorders>
              <w:bottom w:val="single" w:sz="8" w:color="3A4967"/>
            </w:tcBorders>
          </w:tcPr>
          <w:p>
            <w:pPr>
              <w:spacing w:after="0"/>
              <w:rPr>
                <w:sz w:val="3"/>
                <w:szCs w:val="3"/>
                <w:color w:val="auto"/>
              </w:rPr>
            </w:pPr>
          </w:p>
        </w:tc>
        <w:tc>
          <w:tcPr>
            <w:tcW w:w="860" w:type="dxa"/>
            <w:vAlign w:val="bottom"/>
            <w:tcBorders>
              <w:bottom w:val="single" w:sz="8" w:color="3A4967"/>
            </w:tcBorders>
          </w:tcPr>
          <w:p>
            <w:pPr>
              <w:spacing w:after="0"/>
              <w:rPr>
                <w:sz w:val="3"/>
                <w:szCs w:val="3"/>
                <w:color w:val="auto"/>
              </w:rPr>
            </w:pPr>
          </w:p>
        </w:tc>
        <w:tc>
          <w:tcPr>
            <w:tcW w:w="1200" w:type="dxa"/>
            <w:vAlign w:val="bottom"/>
            <w:tcBorders>
              <w:bottom w:val="single" w:sz="8" w:color="3A4967"/>
            </w:tcBorders>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820" w:type="dxa"/>
            <w:vAlign w:val="bottom"/>
            <w:tcBorders>
              <w:bottom w:val="single" w:sz="8" w:color="3A4967"/>
            </w:tcBorders>
          </w:tcPr>
          <w:p>
            <w:pPr>
              <w:spacing w:after="0"/>
              <w:rPr>
                <w:sz w:val="3"/>
                <w:szCs w:val="3"/>
                <w:color w:val="auto"/>
              </w:rPr>
            </w:pPr>
          </w:p>
        </w:tc>
        <w:tc>
          <w:tcPr>
            <w:tcW w:w="1840" w:type="dxa"/>
            <w:vAlign w:val="bottom"/>
            <w:tcBorders>
              <w:bottom w:val="single" w:sz="8" w:color="3A4967"/>
            </w:tcBorders>
          </w:tcPr>
          <w:p>
            <w:pPr>
              <w:spacing w:after="0"/>
              <w:rPr>
                <w:sz w:val="3"/>
                <w:szCs w:val="3"/>
                <w:color w:val="auto"/>
              </w:rPr>
            </w:pPr>
          </w:p>
        </w:tc>
        <w:tc>
          <w:tcPr>
            <w:tcW w:w="1500" w:type="dxa"/>
            <w:vAlign w:val="bottom"/>
            <w:tcBorders>
              <w:bottom w:val="single" w:sz="8" w:color="3A4967"/>
            </w:tcBorders>
          </w:tcPr>
          <w:p>
            <w:pPr>
              <w:spacing w:after="0"/>
              <w:rPr>
                <w:sz w:val="3"/>
                <w:szCs w:val="3"/>
                <w:color w:val="auto"/>
              </w:rPr>
            </w:pPr>
          </w:p>
        </w:tc>
      </w:tr>
      <w:tr>
        <w:trPr>
          <w:trHeight w:val="227"/>
        </w:trPr>
        <w:tc>
          <w:tcPr>
            <w:tcW w:w="3260" w:type="dxa"/>
            <w:vAlign w:val="bottom"/>
          </w:tcPr>
          <w:p>
            <w:pPr>
              <w:ind w:left="80"/>
              <w:spacing w:after="0"/>
              <w:rPr>
                <w:sz w:val="20"/>
                <w:szCs w:val="20"/>
                <w:color w:val="auto"/>
              </w:rPr>
            </w:pPr>
            <w:r>
              <w:rPr>
                <w:rFonts w:ascii="Arial" w:cs="Arial" w:eastAsia="Arial" w:hAnsi="Arial"/>
                <w:sz w:val="17"/>
                <w:szCs w:val="17"/>
                <w:color w:val="3A4967"/>
              </w:rPr>
              <w:t>2025</w:t>
            </w:r>
          </w:p>
        </w:tc>
        <w:tc>
          <w:tcPr>
            <w:tcW w:w="860" w:type="dxa"/>
            <w:vAlign w:val="bottom"/>
          </w:tcPr>
          <w:p>
            <w:pPr>
              <w:jc w:val="right"/>
              <w:ind w:right="157"/>
              <w:spacing w:after="0"/>
              <w:rPr>
                <w:sz w:val="20"/>
                <w:szCs w:val="20"/>
                <w:color w:val="auto"/>
              </w:rPr>
            </w:pPr>
            <w:r>
              <w:rPr>
                <w:rFonts w:ascii="Arial" w:cs="Arial" w:eastAsia="Arial" w:hAnsi="Arial"/>
                <w:sz w:val="17"/>
                <w:szCs w:val="17"/>
                <w:color w:val="3A4967"/>
              </w:rPr>
              <w:t>$</w:t>
            </w:r>
          </w:p>
        </w:tc>
        <w:tc>
          <w:tcPr>
            <w:tcW w:w="1200" w:type="dxa"/>
            <w:vAlign w:val="bottom"/>
          </w:tcPr>
          <w:p>
            <w:pPr>
              <w:jc w:val="right"/>
              <w:ind w:right="235"/>
              <w:spacing w:after="0"/>
              <w:rPr>
                <w:sz w:val="20"/>
                <w:szCs w:val="20"/>
                <w:color w:val="auto"/>
              </w:rPr>
            </w:pPr>
            <w:r>
              <w:rPr>
                <w:rFonts w:ascii="Arial" w:cs="Arial" w:eastAsia="Arial" w:hAnsi="Arial"/>
                <w:sz w:val="17"/>
                <w:szCs w:val="17"/>
                <w:color w:val="3A4967"/>
              </w:rPr>
              <w:t>6,885</w:t>
            </w:r>
          </w:p>
        </w:tc>
        <w:tc>
          <w:tcPr>
            <w:tcW w:w="680" w:type="dxa"/>
            <w:vAlign w:val="bottom"/>
          </w:tcPr>
          <w:p>
            <w:pPr>
              <w:jc w:val="right"/>
              <w:ind w:right="217"/>
              <w:spacing w:after="0"/>
              <w:rPr>
                <w:sz w:val="20"/>
                <w:szCs w:val="20"/>
                <w:color w:val="auto"/>
              </w:rPr>
            </w:pPr>
            <w:r>
              <w:rPr>
                <w:rFonts w:ascii="Arial" w:cs="Arial" w:eastAsia="Arial" w:hAnsi="Arial"/>
                <w:sz w:val="17"/>
                <w:szCs w:val="17"/>
                <w:color w:val="3A4967"/>
              </w:rPr>
              <w:t>$</w:t>
            </w:r>
          </w:p>
        </w:tc>
        <w:tc>
          <w:tcPr>
            <w:tcW w:w="820" w:type="dxa"/>
            <w:vAlign w:val="bottom"/>
          </w:tcPr>
          <w:p>
            <w:pPr>
              <w:jc w:val="right"/>
              <w:spacing w:after="0"/>
              <w:rPr>
                <w:sz w:val="20"/>
                <w:szCs w:val="20"/>
                <w:color w:val="auto"/>
              </w:rPr>
            </w:pPr>
            <w:r>
              <w:rPr>
                <w:rFonts w:ascii="Arial" w:cs="Arial" w:eastAsia="Arial" w:hAnsi="Arial"/>
                <w:sz w:val="17"/>
                <w:szCs w:val="17"/>
                <w:color w:val="3A4967"/>
              </w:rPr>
              <w:t>1,852</w:t>
            </w:r>
          </w:p>
        </w:tc>
        <w:tc>
          <w:tcPr>
            <w:tcW w:w="18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89"/>
        </w:trPr>
        <w:tc>
          <w:tcPr>
            <w:tcW w:w="3260" w:type="dxa"/>
            <w:vAlign w:val="bottom"/>
          </w:tcPr>
          <w:p>
            <w:pPr>
              <w:ind w:left="80"/>
              <w:spacing w:after="0"/>
              <w:rPr>
                <w:sz w:val="20"/>
                <w:szCs w:val="20"/>
                <w:color w:val="auto"/>
              </w:rPr>
            </w:pPr>
            <w:r>
              <w:rPr>
                <w:rFonts w:ascii="Arial" w:cs="Arial" w:eastAsia="Arial" w:hAnsi="Arial"/>
                <w:sz w:val="17"/>
                <w:szCs w:val="17"/>
                <w:color w:val="3A4967"/>
              </w:rPr>
              <w:t>2026</w:t>
            </w:r>
          </w:p>
        </w:tc>
        <w:tc>
          <w:tcPr>
            <w:tcW w:w="860" w:type="dxa"/>
            <w:vAlign w:val="bottom"/>
          </w:tcPr>
          <w:p>
            <w:pPr>
              <w:spacing w:after="0"/>
              <w:rPr>
                <w:sz w:val="24"/>
                <w:szCs w:val="24"/>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3A4967"/>
              </w:rPr>
              <w:t>6,670</w:t>
            </w:r>
          </w:p>
        </w:tc>
        <w:tc>
          <w:tcPr>
            <w:tcW w:w="6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1,132</w:t>
            </w: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9"/>
        </w:trPr>
        <w:tc>
          <w:tcPr>
            <w:tcW w:w="3260" w:type="dxa"/>
            <w:vAlign w:val="bottom"/>
          </w:tcPr>
          <w:p>
            <w:pPr>
              <w:ind w:left="80"/>
              <w:spacing w:after="0"/>
              <w:rPr>
                <w:sz w:val="20"/>
                <w:szCs w:val="20"/>
                <w:color w:val="auto"/>
              </w:rPr>
            </w:pPr>
            <w:r>
              <w:rPr>
                <w:rFonts w:ascii="Arial" w:cs="Arial" w:eastAsia="Arial" w:hAnsi="Arial"/>
                <w:sz w:val="17"/>
                <w:szCs w:val="17"/>
                <w:color w:val="3A4967"/>
              </w:rPr>
              <w:t>2027</w:t>
            </w:r>
          </w:p>
        </w:tc>
        <w:tc>
          <w:tcPr>
            <w:tcW w:w="860" w:type="dxa"/>
            <w:vAlign w:val="bottom"/>
          </w:tcPr>
          <w:p>
            <w:pPr>
              <w:spacing w:after="0"/>
              <w:rPr>
                <w:sz w:val="24"/>
                <w:szCs w:val="24"/>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3A4967"/>
              </w:rPr>
              <w:t>6,122</w:t>
            </w:r>
          </w:p>
        </w:tc>
        <w:tc>
          <w:tcPr>
            <w:tcW w:w="6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8</w:t>
            </w: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9"/>
        </w:trPr>
        <w:tc>
          <w:tcPr>
            <w:tcW w:w="3260" w:type="dxa"/>
            <w:vAlign w:val="bottom"/>
          </w:tcPr>
          <w:p>
            <w:pPr>
              <w:ind w:left="80"/>
              <w:spacing w:after="0"/>
              <w:rPr>
                <w:sz w:val="20"/>
                <w:szCs w:val="20"/>
                <w:color w:val="auto"/>
              </w:rPr>
            </w:pPr>
            <w:r>
              <w:rPr>
                <w:rFonts w:ascii="Arial" w:cs="Arial" w:eastAsia="Arial" w:hAnsi="Arial"/>
                <w:sz w:val="17"/>
                <w:szCs w:val="17"/>
                <w:color w:val="3A4967"/>
              </w:rPr>
              <w:t>2028</w:t>
            </w:r>
          </w:p>
        </w:tc>
        <w:tc>
          <w:tcPr>
            <w:tcW w:w="860" w:type="dxa"/>
            <w:vAlign w:val="bottom"/>
          </w:tcPr>
          <w:p>
            <w:pPr>
              <w:spacing w:after="0"/>
              <w:rPr>
                <w:sz w:val="24"/>
                <w:szCs w:val="24"/>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3A4967"/>
              </w:rPr>
              <w:t>6,039</w:t>
            </w:r>
          </w:p>
        </w:tc>
        <w:tc>
          <w:tcPr>
            <w:tcW w:w="6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w:t>
            </w: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9"/>
        </w:trPr>
        <w:tc>
          <w:tcPr>
            <w:tcW w:w="3260" w:type="dxa"/>
            <w:vAlign w:val="bottom"/>
          </w:tcPr>
          <w:p>
            <w:pPr>
              <w:ind w:left="80"/>
              <w:spacing w:after="0"/>
              <w:rPr>
                <w:sz w:val="20"/>
                <w:szCs w:val="20"/>
                <w:color w:val="auto"/>
              </w:rPr>
            </w:pPr>
            <w:r>
              <w:rPr>
                <w:rFonts w:ascii="Arial" w:cs="Arial" w:eastAsia="Arial" w:hAnsi="Arial"/>
                <w:sz w:val="17"/>
                <w:szCs w:val="17"/>
                <w:color w:val="3A4967"/>
              </w:rPr>
              <w:t>2029</w:t>
            </w:r>
          </w:p>
        </w:tc>
        <w:tc>
          <w:tcPr>
            <w:tcW w:w="860" w:type="dxa"/>
            <w:vAlign w:val="bottom"/>
          </w:tcPr>
          <w:p>
            <w:pPr>
              <w:spacing w:after="0"/>
              <w:rPr>
                <w:sz w:val="24"/>
                <w:szCs w:val="24"/>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3A4967"/>
              </w:rPr>
              <w:t>4,522</w:t>
            </w:r>
          </w:p>
        </w:tc>
        <w:tc>
          <w:tcPr>
            <w:tcW w:w="6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w:t>
            </w: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9"/>
        </w:trPr>
        <w:tc>
          <w:tcPr>
            <w:tcW w:w="3260" w:type="dxa"/>
            <w:vAlign w:val="bottom"/>
          </w:tcPr>
          <w:p>
            <w:pPr>
              <w:ind w:left="80"/>
              <w:spacing w:after="0"/>
              <w:rPr>
                <w:sz w:val="20"/>
                <w:szCs w:val="20"/>
                <w:color w:val="auto"/>
              </w:rPr>
            </w:pPr>
            <w:r>
              <w:rPr>
                <w:rFonts w:ascii="Arial" w:cs="Arial" w:eastAsia="Arial" w:hAnsi="Arial"/>
                <w:sz w:val="17"/>
                <w:szCs w:val="17"/>
                <w:color w:val="3A4967"/>
              </w:rPr>
              <w:t>Thereafter</w:t>
            </w:r>
          </w:p>
        </w:tc>
        <w:tc>
          <w:tcPr>
            <w:tcW w:w="860" w:type="dxa"/>
            <w:vAlign w:val="bottom"/>
          </w:tcPr>
          <w:p>
            <w:pPr>
              <w:spacing w:after="0"/>
              <w:rPr>
                <w:sz w:val="24"/>
                <w:szCs w:val="24"/>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3A4967"/>
              </w:rPr>
              <w:t>10,224</w:t>
            </w:r>
          </w:p>
        </w:tc>
        <w:tc>
          <w:tcPr>
            <w:tcW w:w="6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w:t>
            </w: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2"/>
        </w:trPr>
        <w:tc>
          <w:tcPr>
            <w:tcW w:w="3260" w:type="dxa"/>
            <w:vAlign w:val="bottom"/>
            <w:tcBorders>
              <w:bottom w:val="single" w:sz="8" w:color="3A4967"/>
            </w:tcBorders>
          </w:tcPr>
          <w:p>
            <w:pPr>
              <w:spacing w:after="0"/>
              <w:rPr>
                <w:sz w:val="3"/>
                <w:szCs w:val="3"/>
                <w:color w:val="auto"/>
              </w:rPr>
            </w:pPr>
          </w:p>
        </w:tc>
        <w:tc>
          <w:tcPr>
            <w:tcW w:w="860" w:type="dxa"/>
            <w:vAlign w:val="bottom"/>
            <w:tcBorders>
              <w:bottom w:val="single" w:sz="8" w:color="3A4967"/>
            </w:tcBorders>
          </w:tcPr>
          <w:p>
            <w:pPr>
              <w:spacing w:after="0"/>
              <w:rPr>
                <w:sz w:val="3"/>
                <w:szCs w:val="3"/>
                <w:color w:val="auto"/>
              </w:rPr>
            </w:pPr>
          </w:p>
        </w:tc>
        <w:tc>
          <w:tcPr>
            <w:tcW w:w="1200" w:type="dxa"/>
            <w:vAlign w:val="bottom"/>
            <w:tcBorders>
              <w:bottom w:val="single" w:sz="8" w:color="3A4967"/>
            </w:tcBorders>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820" w:type="dxa"/>
            <w:vAlign w:val="bottom"/>
            <w:tcBorders>
              <w:bottom w:val="single" w:sz="8" w:color="3A4967"/>
            </w:tcBorders>
          </w:tcPr>
          <w:p>
            <w:pPr>
              <w:spacing w:after="0"/>
              <w:rPr>
                <w:sz w:val="3"/>
                <w:szCs w:val="3"/>
                <w:color w:val="auto"/>
              </w:rPr>
            </w:pPr>
          </w:p>
        </w:tc>
        <w:tc>
          <w:tcPr>
            <w:tcW w:w="1840" w:type="dxa"/>
            <w:vAlign w:val="bottom"/>
            <w:tcBorders>
              <w:bottom w:val="single" w:sz="8" w:color="3A4967"/>
            </w:tcBorders>
          </w:tcPr>
          <w:p>
            <w:pPr>
              <w:spacing w:after="0"/>
              <w:rPr>
                <w:sz w:val="3"/>
                <w:szCs w:val="3"/>
                <w:color w:val="auto"/>
              </w:rPr>
            </w:pPr>
          </w:p>
        </w:tc>
        <w:tc>
          <w:tcPr>
            <w:tcW w:w="1500" w:type="dxa"/>
            <w:vAlign w:val="bottom"/>
            <w:tcBorders>
              <w:bottom w:val="single" w:sz="8" w:color="3A4967"/>
            </w:tcBorders>
          </w:tcPr>
          <w:p>
            <w:pPr>
              <w:spacing w:after="0"/>
              <w:rPr>
                <w:sz w:val="3"/>
                <w:szCs w:val="3"/>
                <w:color w:val="auto"/>
              </w:rPr>
            </w:pPr>
          </w:p>
        </w:tc>
      </w:tr>
      <w:tr>
        <w:trPr>
          <w:trHeight w:val="226"/>
        </w:trPr>
        <w:tc>
          <w:tcPr>
            <w:tcW w:w="3260" w:type="dxa"/>
            <w:vAlign w:val="bottom"/>
          </w:tcPr>
          <w:p>
            <w:pPr>
              <w:ind w:left="80"/>
              <w:spacing w:after="0"/>
              <w:rPr>
                <w:sz w:val="20"/>
                <w:szCs w:val="20"/>
                <w:color w:val="auto"/>
              </w:rPr>
            </w:pPr>
            <w:r>
              <w:rPr>
                <w:rFonts w:ascii="Arial" w:cs="Arial" w:eastAsia="Arial" w:hAnsi="Arial"/>
                <w:sz w:val="17"/>
                <w:szCs w:val="17"/>
                <w:color w:val="3A4967"/>
              </w:rPr>
              <w:t>Total lease payments</w:t>
            </w:r>
          </w:p>
        </w:tc>
        <w:tc>
          <w:tcPr>
            <w:tcW w:w="860" w:type="dxa"/>
            <w:vAlign w:val="bottom"/>
          </w:tcPr>
          <w:p>
            <w:pPr>
              <w:spacing w:after="0"/>
              <w:rPr>
                <w:sz w:val="19"/>
                <w:szCs w:val="19"/>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3A4967"/>
              </w:rPr>
              <w:t>40,462</w:t>
            </w: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2,992</w:t>
            </w:r>
          </w:p>
        </w:tc>
        <w:tc>
          <w:tcPr>
            <w:tcW w:w="18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84"/>
        </w:trPr>
        <w:tc>
          <w:tcPr>
            <w:tcW w:w="3260" w:type="dxa"/>
            <w:vAlign w:val="bottom"/>
          </w:tcPr>
          <w:p>
            <w:pPr>
              <w:ind w:left="80"/>
              <w:spacing w:after="0"/>
              <w:rPr>
                <w:sz w:val="20"/>
                <w:szCs w:val="20"/>
                <w:color w:val="auto"/>
              </w:rPr>
            </w:pPr>
            <w:r>
              <w:rPr>
                <w:rFonts w:ascii="Arial" w:cs="Arial" w:eastAsia="Arial" w:hAnsi="Arial"/>
                <w:sz w:val="17"/>
                <w:szCs w:val="17"/>
                <w:color w:val="3A4967"/>
              </w:rPr>
              <w:t>Less imputed interest (based on 3.5%</w:t>
            </w: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8"/>
        </w:trPr>
        <w:tc>
          <w:tcPr>
            <w:tcW w:w="3260" w:type="dxa"/>
            <w:vAlign w:val="bottom"/>
          </w:tcPr>
          <w:p>
            <w:pPr>
              <w:ind w:left="80"/>
              <w:spacing w:after="0"/>
              <w:rPr>
                <w:sz w:val="20"/>
                <w:szCs w:val="20"/>
                <w:color w:val="auto"/>
              </w:rPr>
            </w:pPr>
            <w:r>
              <w:rPr>
                <w:rFonts w:ascii="Arial" w:cs="Arial" w:eastAsia="Arial" w:hAnsi="Arial"/>
                <w:sz w:val="17"/>
                <w:szCs w:val="17"/>
                <w:color w:val="3A4967"/>
              </w:rPr>
              <w:t>weighted-average discount rate)</w:t>
            </w:r>
          </w:p>
        </w:tc>
        <w:tc>
          <w:tcPr>
            <w:tcW w:w="860" w:type="dxa"/>
            <w:vAlign w:val="bottom"/>
          </w:tcPr>
          <w:p>
            <w:pPr>
              <w:spacing w:after="0"/>
              <w:rPr>
                <w:sz w:val="18"/>
                <w:szCs w:val="18"/>
                <w:color w:val="auto"/>
              </w:rPr>
            </w:pPr>
          </w:p>
        </w:tc>
        <w:tc>
          <w:tcPr>
            <w:tcW w:w="1200" w:type="dxa"/>
            <w:vAlign w:val="bottom"/>
          </w:tcPr>
          <w:p>
            <w:pPr>
              <w:jc w:val="right"/>
              <w:ind w:right="195"/>
              <w:spacing w:after="0"/>
              <w:rPr>
                <w:sz w:val="20"/>
                <w:szCs w:val="20"/>
                <w:color w:val="auto"/>
              </w:rPr>
            </w:pPr>
            <w:r>
              <w:rPr>
                <w:rFonts w:ascii="Arial" w:cs="Arial" w:eastAsia="Arial" w:hAnsi="Arial"/>
                <w:sz w:val="17"/>
                <w:szCs w:val="17"/>
                <w:color w:val="3A4967"/>
              </w:rPr>
              <w:t>(4,522)</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(152)</w:t>
            </w:r>
          </w:p>
        </w:tc>
        <w:tc>
          <w:tcPr>
            <w:tcW w:w="18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4"/>
        </w:trPr>
        <w:tc>
          <w:tcPr>
            <w:tcW w:w="3260" w:type="dxa"/>
            <w:vAlign w:val="bottom"/>
            <w:tcBorders>
              <w:bottom w:val="single" w:sz="8" w:color="3A4967"/>
            </w:tcBorders>
          </w:tcPr>
          <w:p>
            <w:pPr>
              <w:spacing w:after="0"/>
              <w:rPr>
                <w:sz w:val="2"/>
                <w:szCs w:val="2"/>
                <w:color w:val="auto"/>
              </w:rPr>
            </w:pPr>
          </w:p>
        </w:tc>
        <w:tc>
          <w:tcPr>
            <w:tcW w:w="860" w:type="dxa"/>
            <w:vAlign w:val="bottom"/>
            <w:tcBorders>
              <w:bottom w:val="single" w:sz="8" w:color="3A4967"/>
            </w:tcBorders>
          </w:tcPr>
          <w:p>
            <w:pPr>
              <w:spacing w:after="0"/>
              <w:rPr>
                <w:sz w:val="2"/>
                <w:szCs w:val="2"/>
                <w:color w:val="auto"/>
              </w:rPr>
            </w:pPr>
          </w:p>
        </w:tc>
        <w:tc>
          <w:tcPr>
            <w:tcW w:w="1200" w:type="dxa"/>
            <w:vAlign w:val="bottom"/>
            <w:tcBorders>
              <w:bottom w:val="single" w:sz="8" w:color="3A4967"/>
            </w:tcBorders>
          </w:tcPr>
          <w:p>
            <w:pPr>
              <w:spacing w:after="0"/>
              <w:rPr>
                <w:sz w:val="2"/>
                <w:szCs w:val="2"/>
                <w:color w:val="auto"/>
              </w:rPr>
            </w:pPr>
          </w:p>
        </w:tc>
        <w:tc>
          <w:tcPr>
            <w:tcW w:w="680" w:type="dxa"/>
            <w:vAlign w:val="bottom"/>
            <w:tcBorders>
              <w:bottom w:val="single" w:sz="8" w:color="3A4967"/>
            </w:tcBorders>
          </w:tcPr>
          <w:p>
            <w:pPr>
              <w:spacing w:after="0"/>
              <w:rPr>
                <w:sz w:val="2"/>
                <w:szCs w:val="2"/>
                <w:color w:val="auto"/>
              </w:rPr>
            </w:pPr>
          </w:p>
        </w:tc>
        <w:tc>
          <w:tcPr>
            <w:tcW w:w="820" w:type="dxa"/>
            <w:vAlign w:val="bottom"/>
            <w:tcBorders>
              <w:bottom w:val="single" w:sz="8" w:color="3A4967"/>
            </w:tcBorders>
          </w:tcPr>
          <w:p>
            <w:pPr>
              <w:spacing w:after="0"/>
              <w:rPr>
                <w:sz w:val="2"/>
                <w:szCs w:val="2"/>
                <w:color w:val="auto"/>
              </w:rPr>
            </w:pPr>
          </w:p>
        </w:tc>
        <w:tc>
          <w:tcPr>
            <w:tcW w:w="1840" w:type="dxa"/>
            <w:vAlign w:val="bottom"/>
            <w:tcBorders>
              <w:bottom w:val="single" w:sz="8" w:color="3A4967"/>
            </w:tcBorders>
          </w:tcPr>
          <w:p>
            <w:pPr>
              <w:spacing w:after="0"/>
              <w:rPr>
                <w:sz w:val="2"/>
                <w:szCs w:val="2"/>
                <w:color w:val="auto"/>
              </w:rPr>
            </w:pPr>
          </w:p>
        </w:tc>
        <w:tc>
          <w:tcPr>
            <w:tcW w:w="1500" w:type="dxa"/>
            <w:vAlign w:val="bottom"/>
            <w:tcBorders>
              <w:bottom w:val="single" w:sz="8" w:color="3A4967"/>
            </w:tcBorders>
          </w:tcPr>
          <w:p>
            <w:pPr>
              <w:spacing w:after="0"/>
              <w:rPr>
                <w:sz w:val="2"/>
                <w:szCs w:val="2"/>
                <w:color w:val="auto"/>
              </w:rPr>
            </w:pPr>
          </w:p>
        </w:tc>
      </w:tr>
      <w:tr>
        <w:trPr>
          <w:trHeight w:val="226"/>
        </w:trPr>
        <w:tc>
          <w:tcPr>
            <w:tcW w:w="3260" w:type="dxa"/>
            <w:vAlign w:val="bottom"/>
          </w:tcPr>
          <w:p>
            <w:pPr>
              <w:ind w:left="80"/>
              <w:spacing w:after="0"/>
              <w:rPr>
                <w:sz w:val="20"/>
                <w:szCs w:val="20"/>
                <w:color w:val="auto"/>
              </w:rPr>
            </w:pPr>
            <w:r>
              <w:rPr>
                <w:rFonts w:ascii="Arial" w:cs="Arial" w:eastAsia="Arial" w:hAnsi="Arial"/>
                <w:sz w:val="17"/>
                <w:szCs w:val="17"/>
                <w:b w:val="1"/>
                <w:bCs w:val="1"/>
                <w:color w:val="3A4967"/>
              </w:rPr>
              <w:t>PRESENT VALUE OF LEASE</w:t>
            </w:r>
          </w:p>
        </w:tc>
        <w:tc>
          <w:tcPr>
            <w:tcW w:w="860" w:type="dxa"/>
            <w:vAlign w:val="bottom"/>
          </w:tcPr>
          <w:p>
            <w:pPr>
              <w:jc w:val="right"/>
              <w:ind w:right="157"/>
              <w:spacing w:after="0"/>
              <w:rPr>
                <w:sz w:val="20"/>
                <w:szCs w:val="20"/>
                <w:color w:val="auto"/>
              </w:rPr>
            </w:pPr>
            <w:r>
              <w:rPr>
                <w:rFonts w:ascii="Arial" w:cs="Arial" w:eastAsia="Arial" w:hAnsi="Arial"/>
                <w:sz w:val="17"/>
                <w:szCs w:val="17"/>
                <w:b w:val="1"/>
                <w:bCs w:val="1"/>
                <w:color w:val="3A4967"/>
              </w:rPr>
              <w:t>$</w:t>
            </w:r>
          </w:p>
        </w:tc>
        <w:tc>
          <w:tcPr>
            <w:tcW w:w="1200" w:type="dxa"/>
            <w:vAlign w:val="bottom"/>
          </w:tcPr>
          <w:p>
            <w:pPr>
              <w:jc w:val="right"/>
              <w:ind w:right="315"/>
              <w:spacing w:after="0"/>
              <w:rPr>
                <w:sz w:val="20"/>
                <w:szCs w:val="20"/>
                <w:color w:val="auto"/>
              </w:rPr>
            </w:pPr>
            <w:r>
              <w:rPr>
                <w:rFonts w:ascii="Arial" w:cs="Arial" w:eastAsia="Arial" w:hAnsi="Arial"/>
                <w:sz w:val="17"/>
                <w:szCs w:val="17"/>
                <w:b w:val="1"/>
                <w:bCs w:val="1"/>
                <w:color w:val="3A4967"/>
              </w:rPr>
              <w:t>35,940</w:t>
            </w:r>
          </w:p>
        </w:tc>
        <w:tc>
          <w:tcPr>
            <w:tcW w:w="680" w:type="dxa"/>
            <w:vAlign w:val="bottom"/>
          </w:tcPr>
          <w:p>
            <w:pPr>
              <w:jc w:val="right"/>
              <w:ind w:right="217"/>
              <w:spacing w:after="0"/>
              <w:rPr>
                <w:sz w:val="20"/>
                <w:szCs w:val="20"/>
                <w:color w:val="auto"/>
              </w:rPr>
            </w:pPr>
            <w:r>
              <w:rPr>
                <w:rFonts w:ascii="Arial" w:cs="Arial" w:eastAsia="Arial" w:hAnsi="Arial"/>
                <w:sz w:val="17"/>
                <w:szCs w:val="17"/>
                <w:b w:val="1"/>
                <w:bCs w:val="1"/>
                <w:color w:val="3A4967"/>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3A4967"/>
              </w:rPr>
              <w:t>2,840</w:t>
            </w:r>
          </w:p>
        </w:tc>
        <w:tc>
          <w:tcPr>
            <w:tcW w:w="1840" w:type="dxa"/>
            <w:vAlign w:val="bottom"/>
          </w:tcPr>
          <w:p>
            <w:pPr>
              <w:jc w:val="right"/>
              <w:ind w:right="159"/>
              <w:spacing w:after="0"/>
              <w:rPr>
                <w:sz w:val="20"/>
                <w:szCs w:val="20"/>
                <w:color w:val="auto"/>
              </w:rPr>
            </w:pPr>
            <w:r>
              <w:rPr>
                <w:rFonts w:ascii="Arial" w:cs="Arial" w:eastAsia="Arial" w:hAnsi="Arial"/>
                <w:sz w:val="17"/>
                <w:szCs w:val="17"/>
                <w:b w:val="1"/>
                <w:bCs w:val="1"/>
                <w:color w:val="3A4967"/>
              </w:rPr>
              <w:t>6.6</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3A4967"/>
              </w:rPr>
              <w:t>1.7</w:t>
            </w:r>
          </w:p>
        </w:tc>
      </w:tr>
      <w:tr>
        <w:trPr>
          <w:trHeight w:val="246"/>
        </w:trPr>
        <w:tc>
          <w:tcPr>
            <w:tcW w:w="326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LIABILITIES</w:t>
            </w:r>
          </w:p>
        </w:tc>
        <w:tc>
          <w:tcPr>
            <w:tcW w:w="860" w:type="dxa"/>
            <w:vAlign w:val="bottom"/>
            <w:tcBorders>
              <w:bottom w:val="single" w:sz="8" w:color="3A4967"/>
            </w:tcBorders>
          </w:tcPr>
          <w:p>
            <w:pPr>
              <w:spacing w:after="0"/>
              <w:rPr>
                <w:sz w:val="21"/>
                <w:szCs w:val="21"/>
                <w:color w:val="auto"/>
              </w:rPr>
            </w:pPr>
          </w:p>
        </w:tc>
        <w:tc>
          <w:tcPr>
            <w:tcW w:w="1200" w:type="dxa"/>
            <w:vAlign w:val="bottom"/>
            <w:tcBorders>
              <w:bottom w:val="single" w:sz="8" w:color="3A4967"/>
            </w:tcBorders>
          </w:tcPr>
          <w:p>
            <w:pPr>
              <w:spacing w:after="0"/>
              <w:rPr>
                <w:sz w:val="21"/>
                <w:szCs w:val="21"/>
                <w:color w:val="auto"/>
              </w:rPr>
            </w:pPr>
          </w:p>
        </w:tc>
        <w:tc>
          <w:tcPr>
            <w:tcW w:w="680" w:type="dxa"/>
            <w:vAlign w:val="bottom"/>
            <w:tcBorders>
              <w:bottom w:val="single" w:sz="8" w:color="3A4967"/>
            </w:tcBorders>
          </w:tcPr>
          <w:p>
            <w:pPr>
              <w:spacing w:after="0"/>
              <w:rPr>
                <w:sz w:val="21"/>
                <w:szCs w:val="21"/>
                <w:color w:val="auto"/>
              </w:rPr>
            </w:pPr>
          </w:p>
        </w:tc>
        <w:tc>
          <w:tcPr>
            <w:tcW w:w="820" w:type="dxa"/>
            <w:vAlign w:val="bottom"/>
            <w:tcBorders>
              <w:bottom w:val="single" w:sz="8" w:color="3A4967"/>
            </w:tcBorders>
          </w:tcPr>
          <w:p>
            <w:pPr>
              <w:spacing w:after="0"/>
              <w:rPr>
                <w:sz w:val="21"/>
                <w:szCs w:val="21"/>
                <w:color w:val="auto"/>
              </w:rPr>
            </w:pPr>
          </w:p>
        </w:tc>
        <w:tc>
          <w:tcPr>
            <w:tcW w:w="1840" w:type="dxa"/>
            <w:vAlign w:val="bottom"/>
            <w:tcBorders>
              <w:bottom w:val="single" w:sz="8" w:color="3A4967"/>
            </w:tcBorders>
          </w:tcPr>
          <w:p>
            <w:pPr>
              <w:spacing w:after="0"/>
              <w:rPr>
                <w:sz w:val="21"/>
                <w:szCs w:val="21"/>
                <w:color w:val="auto"/>
              </w:rPr>
            </w:pPr>
          </w:p>
        </w:tc>
        <w:tc>
          <w:tcPr>
            <w:tcW w:w="1500" w:type="dxa"/>
            <w:vAlign w:val="bottom"/>
            <w:tcBorders>
              <w:bottom w:val="single" w:sz="8" w:color="3A4967"/>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-1923415</wp:posOffset>
            </wp:positionV>
            <wp:extent cx="6486525" cy="1924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486525" cy="192405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H. Goodwill and Intangible Assets</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The Company has recorded intangible assets with indefinite lives and goodwill for which impairment testing is required at least annually or more frequently if events or circumstances indicate that these assets might be impaired. The Company performs its annual impairment tests and re-evaluates the useful lives of other intangible assets with indefinite lives at the annual impairment test measurement date in the third quarter of each fiscal year or when circumstances arise that indicate a possible impairment or change in useful life might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228600</wp:posOffset>
            </wp:positionV>
            <wp:extent cx="2584450" cy="1917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Goodwill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3A4967"/>
        </w:rPr>
        <w:t>No impairment of goodwill was recorded in any period.</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Intangible assets</w:t>
      </w:r>
    </w:p>
    <w:p>
      <w:pPr>
        <w:spacing w:after="0" w:line="118" w:lineRule="exact"/>
        <w:rPr>
          <w:sz w:val="20"/>
          <w:szCs w:val="20"/>
          <w:color w:val="auto"/>
        </w:rPr>
      </w:pPr>
    </w:p>
    <w:p>
      <w:pPr>
        <w:jc w:val="both"/>
        <w:ind w:right="380"/>
        <w:spacing w:after="0" w:line="294" w:lineRule="auto"/>
        <w:rPr>
          <w:sz w:val="20"/>
          <w:szCs w:val="20"/>
          <w:color w:val="auto"/>
        </w:rPr>
      </w:pPr>
      <w:r>
        <w:rPr>
          <w:rFonts w:ascii="Arial" w:cs="Arial" w:eastAsia="Arial" w:hAnsi="Arial"/>
          <w:sz w:val="16"/>
          <w:szCs w:val="16"/>
          <w:color w:val="3A4967"/>
        </w:rPr>
        <w:t>The Company’s annual impairment testing occurs as of September 1 each year. During fiscal 2024, the Company evaluated the continuing negative trends of the Dogfish Head brand, including declining sales resulting from increased competition and updated its long-term financial forecasts for the Dogfish Head brand. These</w:t>
      </w:r>
    </w:p>
    <w:p>
      <w:pPr>
        <w:spacing w:after="0" w:line="272"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230"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57" w:name="page58"/>
    <w:bookmarkEnd w:id="57"/>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00"/>
        <w:spacing w:after="0" w:line="287" w:lineRule="auto"/>
        <w:rPr>
          <w:sz w:val="20"/>
          <w:szCs w:val="20"/>
          <w:color w:val="auto"/>
        </w:rPr>
      </w:pPr>
      <w:r>
        <w:rPr>
          <w:rFonts w:ascii="Arial" w:cs="Arial" w:eastAsia="Arial" w:hAnsi="Arial"/>
          <w:sz w:val="16"/>
          <w:szCs w:val="16"/>
          <w:color w:val="3A4967"/>
        </w:rPr>
        <w:t>updated forecasts for the brand included reductions in revenues from the continuing negative trends in the brands’ beer products and the overall slowing craft beer industry sector and flat revenue projections from the brands’ canned cocktail products. As a result of performing this assessment, the Dogfish Head trademark asset with a carrying value of $55.6 million was written down to its estimated fair value of $14.4 million, resulting in an impairment of $41.2 million which was recorded during the third quarter of 2024. As a result of the continued declining trends in the brand, the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The Company’s intangible assets were as follows as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Company re-assessed the remaining useful life of the trademark asset and changed the remaining useful life from an indefinite life to a 10 year life at the end of the third quarter of 2024. Additionally, during the third quarter of 2024, an impairment of $1.4 million was recorded on other intangible assets. During fiscal 2023, an impairment of $15.8 million was recorded to reduce the carrying value of the Dogfish Head trademark asset from $71.4 million to $55.6 million.</w:t>
      </w:r>
    </w:p>
    <w:p>
      <w:pPr>
        <w:spacing w:after="0" w:line="725"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93" w:lineRule="exact"/>
        <w:rPr>
          <w:sz w:val="20"/>
          <w:szCs w:val="20"/>
          <w:color w:val="auto"/>
        </w:rPr>
      </w:pPr>
    </w:p>
    <w:tbl>
      <w:tblPr>
        <w:tblLayout w:type="fixed"/>
        <w:tblInd w:w="400" w:type="dxa"/>
        <w:tblCellMar>
          <w:top w:w="0" w:type="dxa"/>
          <w:left w:w="0" w:type="dxa"/>
          <w:bottom w:w="0" w:type="dxa"/>
          <w:right w:w="0" w:type="dxa"/>
        </w:tblCellMar>
      </w:tblPr>
      <w:tr>
        <w:trPr>
          <w:trHeight w:val="198"/>
        </w:trPr>
        <w:tc>
          <w:tcPr>
            <w:tcW w:w="2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3A4967"/>
              </w:rPr>
              <w:t>December 28, 2024</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3"/>
          </w:tcPr>
          <w:p>
            <w:pPr>
              <w:jc w:val="center"/>
              <w:spacing w:after="0"/>
              <w:rPr>
                <w:sz w:val="20"/>
                <w:szCs w:val="20"/>
                <w:color w:val="auto"/>
              </w:rPr>
            </w:pPr>
            <w:r>
              <w:rPr>
                <w:rFonts w:ascii="Arial" w:cs="Arial" w:eastAsia="Arial" w:hAnsi="Arial"/>
                <w:sz w:val="16"/>
                <w:szCs w:val="16"/>
                <w:b w:val="1"/>
                <w:bCs w:val="1"/>
                <w:color w:val="3A4967"/>
              </w:rPr>
              <w:t>December 30, 2023</w:t>
            </w:r>
          </w:p>
        </w:tc>
        <w:tc>
          <w:tcPr>
            <w:tcW w:w="800" w:type="dxa"/>
            <w:vAlign w:val="bottom"/>
          </w:tcPr>
          <w:p>
            <w:pPr>
              <w:spacing w:after="0"/>
              <w:rPr>
                <w:sz w:val="17"/>
                <w:szCs w:val="17"/>
                <w:color w:val="auto"/>
              </w:rPr>
            </w:pPr>
          </w:p>
        </w:tc>
      </w:tr>
      <w:tr>
        <w:trPr>
          <w:trHeight w:val="36"/>
        </w:trPr>
        <w:tc>
          <w:tcPr>
            <w:tcW w:w="2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Borders>
              <w:bottom w:val="single" w:sz="8" w:color="3A4967"/>
            </w:tcBorders>
          </w:tcPr>
          <w:p>
            <w:pPr>
              <w:spacing w:after="0"/>
              <w:rPr>
                <w:sz w:val="3"/>
                <w:szCs w:val="3"/>
                <w:color w:val="auto"/>
              </w:rPr>
            </w:pPr>
          </w:p>
        </w:tc>
        <w:tc>
          <w:tcPr>
            <w:tcW w:w="82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6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240" w:type="dxa"/>
            <w:vAlign w:val="bottom"/>
            <w:tcBorders>
              <w:bottom w:val="single" w:sz="8" w:color="3A4967"/>
            </w:tcBorders>
          </w:tcPr>
          <w:p>
            <w:pPr>
              <w:spacing w:after="0"/>
              <w:rPr>
                <w:sz w:val="3"/>
                <w:szCs w:val="3"/>
                <w:color w:val="auto"/>
              </w:rPr>
            </w:pPr>
          </w:p>
        </w:tc>
        <w:tc>
          <w:tcPr>
            <w:tcW w:w="1120" w:type="dxa"/>
            <w:vAlign w:val="bottom"/>
            <w:tcBorders>
              <w:bottom w:val="single" w:sz="8" w:color="3A4967"/>
            </w:tcBorders>
          </w:tcPr>
          <w:p>
            <w:pPr>
              <w:spacing w:after="0"/>
              <w:rPr>
                <w:sz w:val="3"/>
                <w:szCs w:val="3"/>
                <w:color w:val="auto"/>
              </w:rPr>
            </w:pPr>
          </w:p>
        </w:tc>
        <w:tc>
          <w:tcPr>
            <w:tcW w:w="2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r>
      <w:tr>
        <w:trPr>
          <w:trHeight w:val="261"/>
        </w:trPr>
        <w:tc>
          <w:tcPr>
            <w:tcW w:w="24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Estimated</w:t>
            </w: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3A4967"/>
              </w:rPr>
              <w:t>Gross</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3A4967"/>
              </w:rPr>
              <w:t>Gross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92"/>
        </w:trPr>
        <w:tc>
          <w:tcPr>
            <w:tcW w:w="2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Useful</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3A4967"/>
              </w:rPr>
              <w:t>Carrying</w:t>
            </w:r>
          </w:p>
        </w:tc>
        <w:tc>
          <w:tcPr>
            <w:tcW w:w="1220" w:type="dxa"/>
            <w:vAlign w:val="bottom"/>
            <w:gridSpan w:val="2"/>
          </w:tcPr>
          <w:p>
            <w:pPr>
              <w:jc w:val="right"/>
              <w:ind w:right="35"/>
              <w:spacing w:after="0"/>
              <w:rPr>
                <w:sz w:val="20"/>
                <w:szCs w:val="20"/>
                <w:color w:val="auto"/>
              </w:rPr>
            </w:pPr>
            <w:r>
              <w:rPr>
                <w:rFonts w:ascii="Arial" w:cs="Arial" w:eastAsia="Arial" w:hAnsi="Arial"/>
                <w:sz w:val="16"/>
                <w:szCs w:val="16"/>
                <w:b w:val="1"/>
                <w:bCs w:val="1"/>
                <w:color w:val="3A4967"/>
              </w:rPr>
              <w:t>Accumulated</w:t>
            </w: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3A4967"/>
              </w:rPr>
              <w:t>Net Book</w:t>
            </w:r>
          </w:p>
        </w:tc>
        <w:tc>
          <w:tcPr>
            <w:tcW w:w="2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3A4967"/>
              </w:rPr>
              <w:t>Carrying</w:t>
            </w:r>
          </w:p>
        </w:tc>
        <w:tc>
          <w:tcPr>
            <w:tcW w:w="240" w:type="dxa"/>
            <w:vAlign w:val="bottom"/>
          </w:tcPr>
          <w:p>
            <w:pPr>
              <w:spacing w:after="0"/>
              <w:rPr>
                <w:sz w:val="16"/>
                <w:szCs w:val="16"/>
                <w:color w:val="auto"/>
              </w:rPr>
            </w:pPr>
          </w:p>
        </w:tc>
        <w:tc>
          <w:tcPr>
            <w:tcW w:w="1120" w:type="dxa"/>
            <w:vAlign w:val="bottom"/>
          </w:tcPr>
          <w:p>
            <w:pPr>
              <w:jc w:val="center"/>
              <w:ind w:right="37"/>
              <w:spacing w:after="0"/>
              <w:rPr>
                <w:sz w:val="20"/>
                <w:szCs w:val="20"/>
                <w:color w:val="auto"/>
              </w:rPr>
            </w:pPr>
            <w:r>
              <w:rPr>
                <w:rFonts w:ascii="Arial" w:cs="Arial" w:eastAsia="Arial" w:hAnsi="Arial"/>
                <w:sz w:val="16"/>
                <w:szCs w:val="16"/>
                <w:b w:val="1"/>
                <w:bCs w:val="1"/>
                <w:color w:val="3A4967"/>
                <w:w w:val="99"/>
              </w:rPr>
              <w:t>Accumulated</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3A4967"/>
                <w:w w:val="99"/>
              </w:rPr>
              <w:t>Net Book</w:t>
            </w:r>
          </w:p>
        </w:tc>
      </w:tr>
      <w:tr>
        <w:trPr>
          <w:trHeight w:val="198"/>
        </w:trPr>
        <w:tc>
          <w:tcPr>
            <w:tcW w:w="246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w w:val="98"/>
              </w:rPr>
              <w:t>Life (Years)</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3A4967"/>
              </w:rPr>
              <w:t>Value</w:t>
            </w:r>
          </w:p>
        </w:tc>
        <w:tc>
          <w:tcPr>
            <w:tcW w:w="1220" w:type="dxa"/>
            <w:vAlign w:val="bottom"/>
            <w:gridSpan w:val="2"/>
          </w:tcPr>
          <w:p>
            <w:pPr>
              <w:jc w:val="right"/>
              <w:ind w:right="35"/>
              <w:spacing w:after="0"/>
              <w:rPr>
                <w:sz w:val="20"/>
                <w:szCs w:val="20"/>
                <w:color w:val="auto"/>
              </w:rPr>
            </w:pPr>
            <w:r>
              <w:rPr>
                <w:rFonts w:ascii="Arial" w:cs="Arial" w:eastAsia="Arial" w:hAnsi="Arial"/>
                <w:sz w:val="16"/>
                <w:szCs w:val="16"/>
                <w:b w:val="1"/>
                <w:bCs w:val="1"/>
                <w:color w:val="3A4967"/>
              </w:rPr>
              <w:t>Amortization</w:t>
            </w: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3A4967"/>
              </w:rPr>
              <w:t>Value</w:t>
            </w:r>
          </w:p>
        </w:tc>
        <w:tc>
          <w:tcPr>
            <w:tcW w:w="2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3A4967"/>
              </w:rPr>
              <w:t>Value</w:t>
            </w:r>
          </w:p>
        </w:tc>
        <w:tc>
          <w:tcPr>
            <w:tcW w:w="240" w:type="dxa"/>
            <w:vAlign w:val="bottom"/>
          </w:tcPr>
          <w:p>
            <w:pPr>
              <w:spacing w:after="0"/>
              <w:rPr>
                <w:sz w:val="17"/>
                <w:szCs w:val="17"/>
                <w:color w:val="auto"/>
              </w:rPr>
            </w:pPr>
          </w:p>
        </w:tc>
        <w:tc>
          <w:tcPr>
            <w:tcW w:w="1120" w:type="dxa"/>
            <w:vAlign w:val="bottom"/>
          </w:tcPr>
          <w:p>
            <w:pPr>
              <w:jc w:val="center"/>
              <w:ind w:right="17"/>
              <w:spacing w:after="0"/>
              <w:rPr>
                <w:sz w:val="20"/>
                <w:szCs w:val="20"/>
                <w:color w:val="auto"/>
              </w:rPr>
            </w:pPr>
            <w:r>
              <w:rPr>
                <w:rFonts w:ascii="Arial" w:cs="Arial" w:eastAsia="Arial" w:hAnsi="Arial"/>
                <w:sz w:val="16"/>
                <w:szCs w:val="16"/>
                <w:b w:val="1"/>
                <w:bCs w:val="1"/>
                <w:color w:val="3A4967"/>
              </w:rPr>
              <w:t>Amortization</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3A4967"/>
              </w:rPr>
              <w:t>Value</w:t>
            </w:r>
          </w:p>
        </w:tc>
      </w:tr>
      <w:tr>
        <w:trPr>
          <w:trHeight w:val="36"/>
        </w:trPr>
        <w:tc>
          <w:tcPr>
            <w:tcW w:w="246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340" w:type="dxa"/>
            <w:vAlign w:val="bottom"/>
            <w:tcBorders>
              <w:bottom w:val="single" w:sz="8" w:color="3A4967"/>
            </w:tcBorders>
          </w:tcPr>
          <w:p>
            <w:pPr>
              <w:spacing w:after="0"/>
              <w:rPr>
                <w:sz w:val="3"/>
                <w:szCs w:val="3"/>
                <w:color w:val="auto"/>
              </w:rPr>
            </w:pPr>
          </w:p>
        </w:tc>
        <w:tc>
          <w:tcPr>
            <w:tcW w:w="82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6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c>
          <w:tcPr>
            <w:tcW w:w="80" w:type="dxa"/>
            <w:vAlign w:val="bottom"/>
            <w:tcBorders>
              <w:bottom w:val="single" w:sz="8" w:color="3A4967"/>
            </w:tcBorders>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760" w:type="dxa"/>
            <w:vAlign w:val="bottom"/>
            <w:tcBorders>
              <w:bottom w:val="single" w:sz="8" w:color="3A4967"/>
            </w:tcBorders>
          </w:tcPr>
          <w:p>
            <w:pPr>
              <w:spacing w:after="0"/>
              <w:rPr>
                <w:sz w:val="3"/>
                <w:szCs w:val="3"/>
                <w:color w:val="auto"/>
              </w:rPr>
            </w:pPr>
          </w:p>
        </w:tc>
        <w:tc>
          <w:tcPr>
            <w:tcW w:w="20" w:type="dxa"/>
            <w:vAlign w:val="bottom"/>
            <w:tcBorders>
              <w:bottom w:val="single" w:sz="8" w:color="3A4967"/>
            </w:tcBorders>
          </w:tcPr>
          <w:p>
            <w:pPr>
              <w:spacing w:after="0"/>
              <w:rPr>
                <w:sz w:val="3"/>
                <w:szCs w:val="3"/>
                <w:color w:val="auto"/>
              </w:rPr>
            </w:pPr>
          </w:p>
        </w:tc>
        <w:tc>
          <w:tcPr>
            <w:tcW w:w="240" w:type="dxa"/>
            <w:vAlign w:val="bottom"/>
            <w:tcBorders>
              <w:bottom w:val="single" w:sz="8" w:color="3A4967"/>
            </w:tcBorders>
          </w:tcPr>
          <w:p>
            <w:pPr>
              <w:spacing w:after="0"/>
              <w:rPr>
                <w:sz w:val="3"/>
                <w:szCs w:val="3"/>
                <w:color w:val="auto"/>
              </w:rPr>
            </w:pPr>
          </w:p>
        </w:tc>
        <w:tc>
          <w:tcPr>
            <w:tcW w:w="1120" w:type="dxa"/>
            <w:vAlign w:val="bottom"/>
            <w:tcBorders>
              <w:bottom w:val="single" w:sz="8" w:color="3A4967"/>
            </w:tcBorders>
          </w:tcPr>
          <w:p>
            <w:pPr>
              <w:spacing w:after="0"/>
              <w:rPr>
                <w:sz w:val="3"/>
                <w:szCs w:val="3"/>
                <w:color w:val="auto"/>
              </w:rPr>
            </w:pPr>
          </w:p>
        </w:tc>
        <w:tc>
          <w:tcPr>
            <w:tcW w:w="2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r>
      <w:tr>
        <w:trPr>
          <w:trHeight w:val="227"/>
        </w:trPr>
        <w:tc>
          <w:tcPr>
            <w:tcW w:w="2460" w:type="dxa"/>
            <w:vAlign w:val="bottom"/>
          </w:tcPr>
          <w:p>
            <w:pPr>
              <w:ind w:left="80"/>
              <w:spacing w:after="0"/>
              <w:rPr>
                <w:sz w:val="20"/>
                <w:szCs w:val="20"/>
                <w:color w:val="auto"/>
              </w:rPr>
            </w:pPr>
            <w:r>
              <w:rPr>
                <w:rFonts w:ascii="Arial" w:cs="Arial" w:eastAsia="Arial" w:hAnsi="Arial"/>
                <w:sz w:val="17"/>
                <w:szCs w:val="17"/>
                <w:color w:val="3A4967"/>
              </w:rPr>
              <w:t>Customer relationships</w:t>
            </w:r>
          </w:p>
        </w:tc>
        <w:tc>
          <w:tcPr>
            <w:tcW w:w="940" w:type="dxa"/>
            <w:vAlign w:val="bottom"/>
          </w:tcPr>
          <w:p>
            <w:pPr>
              <w:jc w:val="right"/>
              <w:spacing w:after="0"/>
              <w:rPr>
                <w:sz w:val="20"/>
                <w:szCs w:val="20"/>
                <w:color w:val="auto"/>
              </w:rPr>
            </w:pPr>
            <w:r>
              <w:rPr>
                <w:rFonts w:ascii="Arial" w:cs="Arial" w:eastAsia="Arial" w:hAnsi="Arial"/>
                <w:sz w:val="17"/>
                <w:szCs w:val="17"/>
                <w:color w:val="3A4967"/>
              </w:rPr>
              <w:t>15</w:t>
            </w:r>
          </w:p>
        </w:tc>
        <w:tc>
          <w:tcPr>
            <w:tcW w:w="340" w:type="dxa"/>
            <w:vAlign w:val="bottom"/>
          </w:tcPr>
          <w:p>
            <w:pPr>
              <w:jc w:val="right"/>
              <w:ind w:right="15"/>
              <w:spacing w:after="0"/>
              <w:rPr>
                <w:sz w:val="20"/>
                <w:szCs w:val="20"/>
                <w:color w:val="auto"/>
              </w:rPr>
            </w:pPr>
            <w:r>
              <w:rPr>
                <w:rFonts w:ascii="Arial" w:cs="Arial" w:eastAsia="Arial" w:hAnsi="Arial"/>
                <w:sz w:val="17"/>
                <w:szCs w:val="17"/>
                <w:color w:val="3A4967"/>
              </w:rPr>
              <w:t>$</w:t>
            </w:r>
          </w:p>
        </w:tc>
        <w:tc>
          <w:tcPr>
            <w:tcW w:w="820" w:type="dxa"/>
            <w:vAlign w:val="bottom"/>
          </w:tcPr>
          <w:p>
            <w:pPr>
              <w:jc w:val="right"/>
              <w:spacing w:after="0"/>
              <w:rPr>
                <w:sz w:val="20"/>
                <w:szCs w:val="20"/>
                <w:color w:val="auto"/>
              </w:rPr>
            </w:pPr>
            <w:r>
              <w:rPr>
                <w:rFonts w:ascii="Arial" w:cs="Arial" w:eastAsia="Arial" w:hAnsi="Arial"/>
                <w:sz w:val="17"/>
                <w:szCs w:val="17"/>
                <w:color w:val="3A4967"/>
              </w:rPr>
              <w:t>3,800</w:t>
            </w:r>
          </w:p>
        </w:tc>
        <w:tc>
          <w:tcPr>
            <w:tcW w:w="380" w:type="dxa"/>
            <w:vAlign w:val="bottom"/>
          </w:tcPr>
          <w:p>
            <w:pPr>
              <w:jc w:val="right"/>
              <w:ind w:right="118"/>
              <w:spacing w:after="0"/>
              <w:rPr>
                <w:sz w:val="20"/>
                <w:szCs w:val="20"/>
                <w:color w:val="auto"/>
              </w:rPr>
            </w:pPr>
            <w:r>
              <w:rPr>
                <w:rFonts w:ascii="Arial" w:cs="Arial" w:eastAsia="Arial" w:hAnsi="Arial"/>
                <w:sz w:val="17"/>
                <w:szCs w:val="17"/>
                <w:color w:val="3A4967"/>
              </w:rPr>
              <w:t>$</w:t>
            </w:r>
          </w:p>
        </w:tc>
        <w:tc>
          <w:tcPr>
            <w:tcW w:w="840" w:type="dxa"/>
            <w:vAlign w:val="bottom"/>
          </w:tcPr>
          <w:p>
            <w:pPr>
              <w:jc w:val="right"/>
              <w:spacing w:after="0"/>
              <w:rPr>
                <w:sz w:val="20"/>
                <w:szCs w:val="20"/>
                <w:color w:val="auto"/>
              </w:rPr>
            </w:pPr>
            <w:r>
              <w:rPr>
                <w:rFonts w:ascii="Arial" w:cs="Arial" w:eastAsia="Arial" w:hAnsi="Arial"/>
                <w:sz w:val="17"/>
                <w:szCs w:val="17"/>
                <w:color w:val="3A4967"/>
              </w:rPr>
              <w:t>(1,394)</w:t>
            </w:r>
          </w:p>
        </w:tc>
        <w:tc>
          <w:tcPr>
            <w:tcW w:w="160" w:type="dxa"/>
            <w:vAlign w:val="bottom"/>
          </w:tcPr>
          <w:p>
            <w:pPr>
              <w:jc w:val="right"/>
              <w:spacing w:after="0"/>
              <w:rPr>
                <w:sz w:val="20"/>
                <w:szCs w:val="20"/>
                <w:color w:val="auto"/>
              </w:rPr>
            </w:pPr>
            <w:r>
              <w:rPr>
                <w:rFonts w:ascii="Arial" w:cs="Arial" w:eastAsia="Arial" w:hAnsi="Arial"/>
                <w:sz w:val="17"/>
                <w:szCs w:val="17"/>
                <w:color w:val="3A4967"/>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3A4967"/>
              </w:rPr>
              <w:t>2,406</w:t>
            </w:r>
          </w:p>
        </w:tc>
        <w:tc>
          <w:tcPr>
            <w:tcW w:w="260" w:type="dxa"/>
            <w:vAlign w:val="bottom"/>
          </w:tcPr>
          <w:p>
            <w:pPr>
              <w:jc w:val="right"/>
              <w:ind w:right="15"/>
              <w:spacing w:after="0"/>
              <w:rPr>
                <w:sz w:val="20"/>
                <w:szCs w:val="20"/>
                <w:color w:val="auto"/>
              </w:rPr>
            </w:pPr>
            <w:r>
              <w:rPr>
                <w:rFonts w:ascii="Arial" w:cs="Arial" w:eastAsia="Arial" w:hAnsi="Arial"/>
                <w:sz w:val="17"/>
                <w:szCs w:val="17"/>
                <w:color w:val="3A4967"/>
              </w:rPr>
              <w:t>$</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3A4967"/>
              </w:rPr>
              <w:t>3,800</w:t>
            </w:r>
          </w:p>
        </w:tc>
        <w:tc>
          <w:tcPr>
            <w:tcW w:w="240" w:type="dxa"/>
            <w:vAlign w:val="bottom"/>
          </w:tcPr>
          <w:p>
            <w:pPr>
              <w:jc w:val="right"/>
              <w:spacing w:after="0"/>
              <w:rPr>
                <w:sz w:val="20"/>
                <w:szCs w:val="20"/>
                <w:color w:val="auto"/>
              </w:rPr>
            </w:pPr>
            <w:r>
              <w:rPr>
                <w:rFonts w:ascii="Arial" w:cs="Arial" w:eastAsia="Arial" w:hAnsi="Arial"/>
                <w:sz w:val="17"/>
                <w:szCs w:val="17"/>
                <w:color w:val="3A4967"/>
              </w:rPr>
              <w:t>$</w:t>
            </w:r>
          </w:p>
        </w:tc>
        <w:tc>
          <w:tcPr>
            <w:tcW w:w="1120" w:type="dxa"/>
            <w:vAlign w:val="bottom"/>
          </w:tcPr>
          <w:p>
            <w:pPr>
              <w:jc w:val="right"/>
              <w:spacing w:after="0"/>
              <w:rPr>
                <w:sz w:val="20"/>
                <w:szCs w:val="20"/>
                <w:color w:val="auto"/>
              </w:rPr>
            </w:pPr>
            <w:r>
              <w:rPr>
                <w:rFonts w:ascii="Arial" w:cs="Arial" w:eastAsia="Arial" w:hAnsi="Arial"/>
                <w:sz w:val="17"/>
                <w:szCs w:val="17"/>
                <w:color w:val="3A4967"/>
              </w:rPr>
              <w:t>(1,140)</w:t>
            </w:r>
          </w:p>
        </w:tc>
        <w:tc>
          <w:tcPr>
            <w:tcW w:w="200" w:type="dxa"/>
            <w:vAlign w:val="bottom"/>
          </w:tcPr>
          <w:p>
            <w:pPr>
              <w:jc w:val="right"/>
              <w:spacing w:after="0"/>
              <w:rPr>
                <w:sz w:val="20"/>
                <w:szCs w:val="20"/>
                <w:color w:val="auto"/>
              </w:rPr>
            </w:pPr>
            <w:r>
              <w:rPr>
                <w:rFonts w:ascii="Arial" w:cs="Arial" w:eastAsia="Arial" w:hAnsi="Arial"/>
                <w:sz w:val="17"/>
                <w:szCs w:val="17"/>
                <w:color w:val="3A4967"/>
              </w:rPr>
              <w:t>$</w:t>
            </w:r>
          </w:p>
        </w:tc>
        <w:tc>
          <w:tcPr>
            <w:tcW w:w="800" w:type="dxa"/>
            <w:vAlign w:val="bottom"/>
          </w:tcPr>
          <w:p>
            <w:pPr>
              <w:jc w:val="right"/>
              <w:spacing w:after="0"/>
              <w:rPr>
                <w:sz w:val="20"/>
                <w:szCs w:val="20"/>
                <w:color w:val="auto"/>
              </w:rPr>
            </w:pPr>
            <w:r>
              <w:rPr>
                <w:rFonts w:ascii="Arial" w:cs="Arial" w:eastAsia="Arial" w:hAnsi="Arial"/>
                <w:sz w:val="17"/>
                <w:szCs w:val="17"/>
                <w:color w:val="3A4967"/>
              </w:rPr>
              <w:t>2,660</w:t>
            </w:r>
          </w:p>
        </w:tc>
      </w:tr>
      <w:tr>
        <w:trPr>
          <w:trHeight w:val="281"/>
        </w:trPr>
        <w:tc>
          <w:tcPr>
            <w:tcW w:w="2460" w:type="dxa"/>
            <w:vAlign w:val="bottom"/>
          </w:tcPr>
          <w:p>
            <w:pPr>
              <w:ind w:left="80"/>
              <w:spacing w:after="0"/>
              <w:rPr>
                <w:sz w:val="20"/>
                <w:szCs w:val="20"/>
                <w:color w:val="auto"/>
              </w:rPr>
            </w:pPr>
            <w:r>
              <w:rPr>
                <w:rFonts w:ascii="Arial" w:cs="Arial" w:eastAsia="Arial" w:hAnsi="Arial"/>
                <w:sz w:val="17"/>
                <w:szCs w:val="17"/>
                <w:color w:val="3A4967"/>
              </w:rPr>
              <w:t>Trademarks</w:t>
            </w:r>
          </w:p>
        </w:tc>
        <w:tc>
          <w:tcPr>
            <w:tcW w:w="940" w:type="dxa"/>
            <w:vAlign w:val="bottom"/>
          </w:tcPr>
          <w:p>
            <w:pPr>
              <w:jc w:val="right"/>
              <w:spacing w:after="0"/>
              <w:rPr>
                <w:sz w:val="20"/>
                <w:szCs w:val="20"/>
                <w:color w:val="auto"/>
              </w:rPr>
            </w:pPr>
            <w:r>
              <w:rPr>
                <w:rFonts w:ascii="Arial" w:cs="Arial" w:eastAsia="Arial" w:hAnsi="Arial"/>
                <w:sz w:val="17"/>
                <w:szCs w:val="17"/>
                <w:color w:val="3A4967"/>
              </w:rPr>
              <w:t>10*</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3A4967"/>
              </w:rPr>
              <w:t>14,400</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(360)</w:t>
            </w:r>
          </w:p>
        </w:tc>
        <w:tc>
          <w:tcPr>
            <w:tcW w:w="16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3A4967"/>
              </w:rPr>
              <w:t>14,040</w:t>
            </w:r>
          </w:p>
        </w:tc>
        <w:tc>
          <w:tcPr>
            <w:tcW w:w="26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3A4967"/>
              </w:rPr>
              <w:t>56,984</w:t>
            </w:r>
          </w:p>
        </w:tc>
        <w:tc>
          <w:tcPr>
            <w:tcW w:w="240" w:type="dxa"/>
            <w:vAlign w:val="bottom"/>
          </w:tcPr>
          <w:p>
            <w:pPr>
              <w:spacing w:after="0"/>
              <w:rPr>
                <w:sz w:val="24"/>
                <w:szCs w:val="24"/>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3A4967"/>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3A4967"/>
              </w:rPr>
              <w:t>56,984</w:t>
            </w:r>
          </w:p>
        </w:tc>
      </w:tr>
      <w:tr>
        <w:trPr>
          <w:trHeight w:val="35"/>
        </w:trPr>
        <w:tc>
          <w:tcPr>
            <w:tcW w:w="246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340" w:type="dxa"/>
            <w:vAlign w:val="bottom"/>
            <w:tcBorders>
              <w:bottom w:val="single" w:sz="8" w:color="3A4967"/>
            </w:tcBorders>
          </w:tcPr>
          <w:p>
            <w:pPr>
              <w:spacing w:after="0"/>
              <w:rPr>
                <w:sz w:val="3"/>
                <w:szCs w:val="3"/>
                <w:color w:val="auto"/>
              </w:rPr>
            </w:pPr>
          </w:p>
        </w:tc>
        <w:tc>
          <w:tcPr>
            <w:tcW w:w="82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160" w:type="dxa"/>
            <w:vAlign w:val="bottom"/>
            <w:tcBorders>
              <w:bottom w:val="single" w:sz="8" w:color="3A4967"/>
            </w:tcBorders>
          </w:tcPr>
          <w:p>
            <w:pPr>
              <w:spacing w:after="0"/>
              <w:rPr>
                <w:sz w:val="3"/>
                <w:szCs w:val="3"/>
                <w:color w:val="auto"/>
              </w:rPr>
            </w:pPr>
          </w:p>
        </w:tc>
        <w:tc>
          <w:tcPr>
            <w:tcW w:w="820" w:type="dxa"/>
            <w:vAlign w:val="bottom"/>
            <w:tcBorders>
              <w:bottom w:val="single" w:sz="8" w:color="3A4967"/>
            </w:tcBorders>
            <w:gridSpan w:val="2"/>
          </w:tcPr>
          <w:p>
            <w:pPr>
              <w:spacing w:after="0"/>
              <w:rPr>
                <w:sz w:val="3"/>
                <w:szCs w:val="3"/>
                <w:color w:val="auto"/>
              </w:rPr>
            </w:pPr>
          </w:p>
        </w:tc>
        <w:tc>
          <w:tcPr>
            <w:tcW w:w="26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gridSpan w:val="2"/>
          </w:tcPr>
          <w:p>
            <w:pPr>
              <w:spacing w:after="0"/>
              <w:rPr>
                <w:sz w:val="3"/>
                <w:szCs w:val="3"/>
                <w:color w:val="auto"/>
              </w:rPr>
            </w:pPr>
          </w:p>
        </w:tc>
        <w:tc>
          <w:tcPr>
            <w:tcW w:w="240" w:type="dxa"/>
            <w:vAlign w:val="bottom"/>
            <w:tcBorders>
              <w:bottom w:val="single" w:sz="8" w:color="3A4967"/>
            </w:tcBorders>
          </w:tcPr>
          <w:p>
            <w:pPr>
              <w:spacing w:after="0"/>
              <w:rPr>
                <w:sz w:val="3"/>
                <w:szCs w:val="3"/>
                <w:color w:val="auto"/>
              </w:rPr>
            </w:pPr>
          </w:p>
        </w:tc>
        <w:tc>
          <w:tcPr>
            <w:tcW w:w="1120" w:type="dxa"/>
            <w:vAlign w:val="bottom"/>
            <w:tcBorders>
              <w:bottom w:val="single" w:sz="8" w:color="3A4967"/>
            </w:tcBorders>
          </w:tcPr>
          <w:p>
            <w:pPr>
              <w:spacing w:after="0"/>
              <w:rPr>
                <w:sz w:val="3"/>
                <w:szCs w:val="3"/>
                <w:color w:val="auto"/>
              </w:rPr>
            </w:pPr>
          </w:p>
        </w:tc>
        <w:tc>
          <w:tcPr>
            <w:tcW w:w="2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r>
      <w:tr>
        <w:trPr>
          <w:trHeight w:val="266"/>
        </w:trPr>
        <w:tc>
          <w:tcPr>
            <w:tcW w:w="246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w w:val="99"/>
              </w:rPr>
              <w:t>TOTAL INTANGIBLE ASSETS</w:t>
            </w:r>
          </w:p>
        </w:tc>
        <w:tc>
          <w:tcPr>
            <w:tcW w:w="940" w:type="dxa"/>
            <w:vAlign w:val="bottom"/>
            <w:tcBorders>
              <w:bottom w:val="single" w:sz="8" w:color="3A4967"/>
            </w:tcBorders>
          </w:tcPr>
          <w:p>
            <w:pPr>
              <w:spacing w:after="0"/>
              <w:rPr>
                <w:sz w:val="23"/>
                <w:szCs w:val="23"/>
                <w:color w:val="auto"/>
              </w:rPr>
            </w:pPr>
          </w:p>
        </w:tc>
        <w:tc>
          <w:tcPr>
            <w:tcW w:w="340" w:type="dxa"/>
            <w:vAlign w:val="bottom"/>
            <w:tcBorders>
              <w:bottom w:val="single" w:sz="8" w:color="3A4967"/>
            </w:tcBorders>
          </w:tcPr>
          <w:p>
            <w:pPr>
              <w:jc w:val="right"/>
              <w:ind w:right="15"/>
              <w:spacing w:after="0"/>
              <w:rPr>
                <w:sz w:val="20"/>
                <w:szCs w:val="20"/>
                <w:color w:val="auto"/>
              </w:rPr>
            </w:pPr>
            <w:r>
              <w:rPr>
                <w:rFonts w:ascii="Arial" w:cs="Arial" w:eastAsia="Arial" w:hAnsi="Arial"/>
                <w:sz w:val="17"/>
                <w:szCs w:val="17"/>
                <w:b w:val="1"/>
                <w:bCs w:val="1"/>
                <w:color w:val="3A4967"/>
              </w:rPr>
              <w:t>$</w:t>
            </w:r>
          </w:p>
        </w:tc>
        <w:tc>
          <w:tcPr>
            <w:tcW w:w="82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18,200</w:t>
            </w:r>
          </w:p>
        </w:tc>
        <w:tc>
          <w:tcPr>
            <w:tcW w:w="380" w:type="dxa"/>
            <w:vAlign w:val="bottom"/>
            <w:tcBorders>
              <w:bottom w:val="single" w:sz="8" w:color="3A4967"/>
            </w:tcBorders>
          </w:tcPr>
          <w:p>
            <w:pPr>
              <w:jc w:val="right"/>
              <w:ind w:right="118"/>
              <w:spacing w:after="0"/>
              <w:rPr>
                <w:sz w:val="20"/>
                <w:szCs w:val="20"/>
                <w:color w:val="auto"/>
              </w:rPr>
            </w:pPr>
            <w:r>
              <w:rPr>
                <w:rFonts w:ascii="Arial" w:cs="Arial" w:eastAsia="Arial" w:hAnsi="Arial"/>
                <w:sz w:val="17"/>
                <w:szCs w:val="17"/>
                <w:b w:val="1"/>
                <w:bCs w:val="1"/>
                <w:color w:val="3A4967"/>
              </w:rPr>
              <w:t>$</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(1,754)</w:t>
            </w:r>
          </w:p>
        </w:tc>
        <w:tc>
          <w:tcPr>
            <w:tcW w:w="16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820" w:type="dxa"/>
            <w:vAlign w:val="bottom"/>
            <w:tcBorders>
              <w:bottom w:val="single" w:sz="8" w:color="3A4967"/>
            </w:tcBorders>
            <w:gridSpan w:val="2"/>
          </w:tcPr>
          <w:p>
            <w:pPr>
              <w:jc w:val="right"/>
              <w:ind w:right="80"/>
              <w:spacing w:after="0"/>
              <w:rPr>
                <w:sz w:val="20"/>
                <w:szCs w:val="20"/>
                <w:color w:val="auto"/>
              </w:rPr>
            </w:pPr>
            <w:r>
              <w:rPr>
                <w:rFonts w:ascii="Arial" w:cs="Arial" w:eastAsia="Arial" w:hAnsi="Arial"/>
                <w:sz w:val="17"/>
                <w:szCs w:val="17"/>
                <w:b w:val="1"/>
                <w:bCs w:val="1"/>
                <w:color w:val="3A4967"/>
              </w:rPr>
              <w:t>16,446</w:t>
            </w:r>
          </w:p>
        </w:tc>
        <w:tc>
          <w:tcPr>
            <w:tcW w:w="260" w:type="dxa"/>
            <w:vAlign w:val="bottom"/>
            <w:tcBorders>
              <w:bottom w:val="single" w:sz="8" w:color="3A4967"/>
            </w:tcBorders>
          </w:tcPr>
          <w:p>
            <w:pPr>
              <w:jc w:val="right"/>
              <w:ind w:right="15"/>
              <w:spacing w:after="0"/>
              <w:rPr>
                <w:sz w:val="20"/>
                <w:szCs w:val="20"/>
                <w:color w:val="auto"/>
              </w:rPr>
            </w:pPr>
            <w:r>
              <w:rPr>
                <w:rFonts w:ascii="Arial" w:cs="Arial" w:eastAsia="Arial" w:hAnsi="Arial"/>
                <w:sz w:val="17"/>
                <w:szCs w:val="17"/>
                <w:b w:val="1"/>
                <w:bCs w:val="1"/>
                <w:color w:val="3A4967"/>
              </w:rPr>
              <w:t>$</w:t>
            </w:r>
          </w:p>
        </w:tc>
        <w:tc>
          <w:tcPr>
            <w:tcW w:w="780" w:type="dxa"/>
            <w:vAlign w:val="bottom"/>
            <w:tcBorders>
              <w:bottom w:val="single" w:sz="8" w:color="3A4967"/>
            </w:tcBorders>
            <w:gridSpan w:val="2"/>
          </w:tcPr>
          <w:p>
            <w:pPr>
              <w:jc w:val="right"/>
              <w:ind w:right="20"/>
              <w:spacing w:after="0"/>
              <w:rPr>
                <w:sz w:val="20"/>
                <w:szCs w:val="20"/>
                <w:color w:val="auto"/>
              </w:rPr>
            </w:pPr>
            <w:r>
              <w:rPr>
                <w:rFonts w:ascii="Arial" w:cs="Arial" w:eastAsia="Arial" w:hAnsi="Arial"/>
                <w:sz w:val="17"/>
                <w:szCs w:val="17"/>
                <w:b w:val="1"/>
                <w:bCs w:val="1"/>
                <w:color w:val="3A4967"/>
              </w:rPr>
              <w:t>60,784</w:t>
            </w:r>
          </w:p>
        </w:tc>
        <w:tc>
          <w:tcPr>
            <w:tcW w:w="2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112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(1,140)</w:t>
            </w:r>
          </w:p>
        </w:tc>
        <w:tc>
          <w:tcPr>
            <w:tcW w:w="20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80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59,644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-555625</wp:posOffset>
            </wp:positionV>
            <wp:extent cx="6478905" cy="55118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478905" cy="551180"/>
                    </a:xfrm>
                    <a:prstGeom prst="rect">
                      <a:avLst/>
                    </a:prstGeom>
                    <a:noFill/>
                  </pic:spPr>
                </pic:pic>
              </a:graphicData>
            </a:graphic>
          </wp:anchor>
        </w:drawing>
      </w:r>
    </w:p>
    <w:p>
      <w:pPr>
        <w:spacing w:after="0" w:line="108" w:lineRule="exact"/>
        <w:rPr>
          <w:sz w:val="20"/>
          <w:szCs w:val="20"/>
          <w:color w:val="auto"/>
        </w:rPr>
      </w:pPr>
    </w:p>
    <w:p>
      <w:pPr>
        <w:ind w:left="400" w:right="780"/>
        <w:spacing w:after="0" w:line="267" w:lineRule="auto"/>
        <w:rPr>
          <w:sz w:val="20"/>
          <w:szCs w:val="20"/>
          <w:color w:val="auto"/>
        </w:rPr>
      </w:pPr>
      <w:r>
        <w:rPr>
          <w:rFonts w:ascii="Arial" w:cs="Arial" w:eastAsia="Arial" w:hAnsi="Arial"/>
          <w:sz w:val="18"/>
          <w:szCs w:val="18"/>
          <w:color w:val="3A4967"/>
        </w:rPr>
        <w:t>*During the 2024 annual intangible impairment testing the Company changed the remaining useful life of the Dogfish Head trademark intangible asset to 10 years.</w:t>
      </w:r>
    </w:p>
    <w:p>
      <w:pPr>
        <w:spacing w:after="0" w:line="111" w:lineRule="exact"/>
        <w:rPr>
          <w:sz w:val="20"/>
          <w:szCs w:val="20"/>
          <w:color w:val="auto"/>
        </w:rPr>
      </w:pPr>
    </w:p>
    <w:p>
      <w:pPr>
        <w:ind w:left="400" w:right="180"/>
        <w:spacing w:after="0" w:line="267" w:lineRule="auto"/>
        <w:rPr>
          <w:sz w:val="20"/>
          <w:szCs w:val="20"/>
          <w:color w:val="auto"/>
        </w:rPr>
      </w:pPr>
      <w:r>
        <w:rPr>
          <w:rFonts w:ascii="Arial" w:cs="Arial" w:eastAsia="Arial" w:hAnsi="Arial"/>
          <w:sz w:val="18"/>
          <w:szCs w:val="18"/>
          <w:color w:val="3A4967"/>
        </w:rPr>
        <w:t>Amortization expense was approximately $613,000 and $253,000 in fiscal 2024 and 2023, respectively. The Company expects to record amortization expense as follows over the subsequent years:</w:t>
      </w:r>
    </w:p>
    <w:p>
      <w:pPr>
        <w:spacing w:after="0" w:line="188" w:lineRule="exact"/>
        <w:rPr>
          <w:sz w:val="20"/>
          <w:szCs w:val="20"/>
          <w:color w:val="auto"/>
        </w:rPr>
      </w:pPr>
    </w:p>
    <w:tbl>
      <w:tblPr>
        <w:tblLayout w:type="fixed"/>
        <w:tblInd w:w="400" w:type="dxa"/>
        <w:tblCellMar>
          <w:top w:w="0" w:type="dxa"/>
          <w:left w:w="0" w:type="dxa"/>
          <w:bottom w:w="0" w:type="dxa"/>
          <w:right w:w="0" w:type="dxa"/>
        </w:tblCellMar>
      </w:tblPr>
      <w:tr>
        <w:trPr>
          <w:trHeight w:val="198"/>
        </w:trPr>
        <w:tc>
          <w:tcPr>
            <w:tcW w:w="636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29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3A4967"/>
              </w:rPr>
              <w:t>Amount</w:t>
            </w:r>
          </w:p>
        </w:tc>
      </w:tr>
      <w:tr>
        <w:trPr>
          <w:trHeight w:val="36"/>
        </w:trPr>
        <w:tc>
          <w:tcPr>
            <w:tcW w:w="6360" w:type="dxa"/>
            <w:vAlign w:val="bottom"/>
            <w:tcBorders>
              <w:bottom w:val="single" w:sz="8" w:color="3A4967"/>
            </w:tcBorders>
          </w:tcPr>
          <w:p>
            <w:pPr>
              <w:spacing w:after="0"/>
              <w:rPr>
                <w:sz w:val="3"/>
                <w:szCs w:val="3"/>
                <w:color w:val="auto"/>
              </w:rPr>
            </w:pPr>
          </w:p>
        </w:tc>
        <w:tc>
          <w:tcPr>
            <w:tcW w:w="29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r>
      <w:tr>
        <w:trPr>
          <w:trHeight w:val="218"/>
        </w:trPr>
        <w:tc>
          <w:tcPr>
            <w:tcW w:w="6360" w:type="dxa"/>
            <w:vAlign w:val="bottom"/>
          </w:tcPr>
          <w:p>
            <w:pPr>
              <w:ind w:left="80"/>
              <w:spacing w:after="0"/>
              <w:rPr>
                <w:sz w:val="20"/>
                <w:szCs w:val="20"/>
                <w:color w:val="auto"/>
              </w:rPr>
            </w:pPr>
            <w:r>
              <w:rPr>
                <w:rFonts w:ascii="Arial" w:cs="Arial" w:eastAsia="Arial" w:hAnsi="Arial"/>
                <w:sz w:val="16"/>
                <w:szCs w:val="16"/>
                <w:b w:val="1"/>
                <w:bCs w:val="1"/>
                <w:color w:val="3A4967"/>
              </w:rPr>
              <w:t>Fiscal Year</w:t>
            </w:r>
          </w:p>
        </w:tc>
        <w:tc>
          <w:tcPr>
            <w:tcW w:w="29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09"/>
        </w:trPr>
        <w:tc>
          <w:tcPr>
            <w:tcW w:w="6360" w:type="dxa"/>
            <w:vAlign w:val="bottom"/>
          </w:tcPr>
          <w:p>
            <w:pPr>
              <w:ind w:left="80"/>
              <w:spacing w:after="0"/>
              <w:rPr>
                <w:sz w:val="20"/>
                <w:szCs w:val="20"/>
                <w:color w:val="auto"/>
              </w:rPr>
            </w:pPr>
            <w:r>
              <w:rPr>
                <w:rFonts w:ascii="Arial" w:cs="Arial" w:eastAsia="Arial" w:hAnsi="Arial"/>
                <w:sz w:val="17"/>
                <w:szCs w:val="17"/>
                <w:color w:val="3A4967"/>
              </w:rPr>
              <w:t>2025</w:t>
            </w:r>
          </w:p>
        </w:tc>
        <w:tc>
          <w:tcPr>
            <w:tcW w:w="2960" w:type="dxa"/>
            <w:vAlign w:val="bottom"/>
          </w:tcPr>
          <w:p>
            <w:pPr>
              <w:jc w:val="right"/>
              <w:ind w:right="73"/>
              <w:spacing w:after="0"/>
              <w:rPr>
                <w:sz w:val="20"/>
                <w:szCs w:val="20"/>
                <w:color w:val="auto"/>
              </w:rPr>
            </w:pPr>
            <w:r>
              <w:rPr>
                <w:rFonts w:ascii="Arial" w:cs="Arial" w:eastAsia="Arial" w:hAnsi="Arial"/>
                <w:sz w:val="18"/>
                <w:szCs w:val="18"/>
                <w:color w:val="3A4967"/>
              </w:rPr>
              <w:t>$</w:t>
            </w:r>
          </w:p>
        </w:tc>
        <w:tc>
          <w:tcPr>
            <w:tcW w:w="840" w:type="dxa"/>
            <w:vAlign w:val="bottom"/>
          </w:tcPr>
          <w:p>
            <w:pPr>
              <w:jc w:val="right"/>
              <w:spacing w:after="0"/>
              <w:rPr>
                <w:sz w:val="20"/>
                <w:szCs w:val="20"/>
                <w:color w:val="auto"/>
              </w:rPr>
            </w:pPr>
            <w:r>
              <w:rPr>
                <w:rFonts w:ascii="Arial" w:cs="Arial" w:eastAsia="Arial" w:hAnsi="Arial"/>
                <w:sz w:val="17"/>
                <w:szCs w:val="17"/>
                <w:color w:val="3A4967"/>
              </w:rPr>
              <w:t>1,693</w:t>
            </w:r>
          </w:p>
        </w:tc>
      </w:tr>
      <w:tr>
        <w:trPr>
          <w:trHeight w:val="277"/>
        </w:trPr>
        <w:tc>
          <w:tcPr>
            <w:tcW w:w="6360" w:type="dxa"/>
            <w:vAlign w:val="bottom"/>
          </w:tcPr>
          <w:p>
            <w:pPr>
              <w:ind w:left="80"/>
              <w:spacing w:after="0"/>
              <w:rPr>
                <w:sz w:val="20"/>
                <w:szCs w:val="20"/>
                <w:color w:val="auto"/>
              </w:rPr>
            </w:pPr>
            <w:r>
              <w:rPr>
                <w:rFonts w:ascii="Arial" w:cs="Arial" w:eastAsia="Arial" w:hAnsi="Arial"/>
                <w:sz w:val="17"/>
                <w:szCs w:val="17"/>
                <w:color w:val="3A4967"/>
              </w:rPr>
              <w:t>2026</w:t>
            </w:r>
          </w:p>
        </w:tc>
        <w:tc>
          <w:tcPr>
            <w:tcW w:w="29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1,693</w:t>
            </w:r>
          </w:p>
        </w:tc>
      </w:tr>
      <w:tr>
        <w:trPr>
          <w:trHeight w:val="281"/>
        </w:trPr>
        <w:tc>
          <w:tcPr>
            <w:tcW w:w="6360" w:type="dxa"/>
            <w:vAlign w:val="bottom"/>
          </w:tcPr>
          <w:p>
            <w:pPr>
              <w:ind w:left="80"/>
              <w:spacing w:after="0"/>
              <w:rPr>
                <w:sz w:val="20"/>
                <w:szCs w:val="20"/>
                <w:color w:val="auto"/>
              </w:rPr>
            </w:pPr>
            <w:r>
              <w:rPr>
                <w:rFonts w:ascii="Arial" w:cs="Arial" w:eastAsia="Arial" w:hAnsi="Arial"/>
                <w:sz w:val="17"/>
                <w:szCs w:val="17"/>
                <w:color w:val="3A4967"/>
              </w:rPr>
              <w:t>2027</w:t>
            </w:r>
          </w:p>
        </w:tc>
        <w:tc>
          <w:tcPr>
            <w:tcW w:w="29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1,693</w:t>
            </w:r>
          </w:p>
        </w:tc>
      </w:tr>
      <w:tr>
        <w:trPr>
          <w:trHeight w:val="289"/>
        </w:trPr>
        <w:tc>
          <w:tcPr>
            <w:tcW w:w="6360" w:type="dxa"/>
            <w:vAlign w:val="bottom"/>
          </w:tcPr>
          <w:p>
            <w:pPr>
              <w:ind w:left="80"/>
              <w:spacing w:after="0"/>
              <w:rPr>
                <w:sz w:val="20"/>
                <w:szCs w:val="20"/>
                <w:color w:val="auto"/>
              </w:rPr>
            </w:pPr>
            <w:r>
              <w:rPr>
                <w:rFonts w:ascii="Arial" w:cs="Arial" w:eastAsia="Arial" w:hAnsi="Arial"/>
                <w:sz w:val="17"/>
                <w:szCs w:val="17"/>
                <w:color w:val="3A4967"/>
              </w:rPr>
              <w:t>2028</w:t>
            </w:r>
          </w:p>
        </w:tc>
        <w:tc>
          <w:tcPr>
            <w:tcW w:w="29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1,693</w:t>
            </w:r>
          </w:p>
        </w:tc>
      </w:tr>
      <w:tr>
        <w:trPr>
          <w:trHeight w:val="281"/>
        </w:trPr>
        <w:tc>
          <w:tcPr>
            <w:tcW w:w="6360" w:type="dxa"/>
            <w:vAlign w:val="bottom"/>
          </w:tcPr>
          <w:p>
            <w:pPr>
              <w:ind w:left="80"/>
              <w:spacing w:after="0"/>
              <w:rPr>
                <w:sz w:val="20"/>
                <w:szCs w:val="20"/>
                <w:color w:val="auto"/>
              </w:rPr>
            </w:pPr>
            <w:r>
              <w:rPr>
                <w:rFonts w:ascii="Arial" w:cs="Arial" w:eastAsia="Arial" w:hAnsi="Arial"/>
                <w:sz w:val="17"/>
                <w:szCs w:val="17"/>
                <w:color w:val="3A4967"/>
              </w:rPr>
              <w:t>2029</w:t>
            </w:r>
          </w:p>
        </w:tc>
        <w:tc>
          <w:tcPr>
            <w:tcW w:w="29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1,693</w:t>
            </w:r>
          </w:p>
        </w:tc>
      </w:tr>
      <w:tr>
        <w:trPr>
          <w:trHeight w:val="289"/>
        </w:trPr>
        <w:tc>
          <w:tcPr>
            <w:tcW w:w="6360" w:type="dxa"/>
            <w:vAlign w:val="bottom"/>
          </w:tcPr>
          <w:p>
            <w:pPr>
              <w:ind w:left="80"/>
              <w:spacing w:after="0"/>
              <w:rPr>
                <w:sz w:val="20"/>
                <w:szCs w:val="20"/>
                <w:color w:val="auto"/>
              </w:rPr>
            </w:pPr>
            <w:r>
              <w:rPr>
                <w:rFonts w:ascii="Arial" w:cs="Arial" w:eastAsia="Arial" w:hAnsi="Arial"/>
                <w:sz w:val="17"/>
                <w:szCs w:val="17"/>
                <w:color w:val="3A4967"/>
              </w:rPr>
              <w:t>Thereafter</w:t>
            </w:r>
          </w:p>
        </w:tc>
        <w:tc>
          <w:tcPr>
            <w:tcW w:w="29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7,981</w:t>
            </w:r>
          </w:p>
        </w:tc>
      </w:tr>
      <w:tr>
        <w:trPr>
          <w:trHeight w:val="41"/>
        </w:trPr>
        <w:tc>
          <w:tcPr>
            <w:tcW w:w="6360" w:type="dxa"/>
            <w:vAlign w:val="bottom"/>
            <w:tcBorders>
              <w:bottom w:val="single" w:sz="8" w:color="3A4967"/>
            </w:tcBorders>
          </w:tcPr>
          <w:p>
            <w:pPr>
              <w:spacing w:after="0"/>
              <w:rPr>
                <w:sz w:val="3"/>
                <w:szCs w:val="3"/>
                <w:color w:val="auto"/>
              </w:rPr>
            </w:pPr>
          </w:p>
        </w:tc>
        <w:tc>
          <w:tcPr>
            <w:tcW w:w="296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r>
      <w:tr>
        <w:trPr>
          <w:trHeight w:val="267"/>
        </w:trPr>
        <w:tc>
          <w:tcPr>
            <w:tcW w:w="636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TOTAL AMORTIZATION TO BE RECORDED</w:t>
            </w:r>
          </w:p>
        </w:tc>
        <w:tc>
          <w:tcPr>
            <w:tcW w:w="2960" w:type="dxa"/>
            <w:vAlign w:val="bottom"/>
            <w:tcBorders>
              <w:bottom w:val="single" w:sz="8" w:color="3A4967"/>
            </w:tcBorders>
          </w:tcPr>
          <w:p>
            <w:pPr>
              <w:jc w:val="right"/>
              <w:ind w:right="73"/>
              <w:spacing w:after="0"/>
              <w:rPr>
                <w:sz w:val="20"/>
                <w:szCs w:val="20"/>
                <w:color w:val="auto"/>
              </w:rPr>
            </w:pPr>
            <w:r>
              <w:rPr>
                <w:rFonts w:ascii="Arial" w:cs="Arial" w:eastAsia="Arial" w:hAnsi="Arial"/>
                <w:sz w:val="17"/>
                <w:szCs w:val="17"/>
                <w:b w:val="1"/>
                <w:bCs w:val="1"/>
                <w:color w:val="3A4967"/>
              </w:rPr>
              <w:t>$</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16,446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-1477010</wp:posOffset>
            </wp:positionV>
            <wp:extent cx="6485890" cy="12985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485890" cy="129857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p>
      <w:pPr>
        <w:spacing w:after="0" w:line="252"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6D7890"/>
        </w:rPr>
        <w:t>I. Third-Party Production Payments</w:t>
      </w:r>
    </w:p>
    <w:p>
      <w:pPr>
        <w:spacing w:after="0" w:line="114" w:lineRule="exact"/>
        <w:rPr>
          <w:sz w:val="20"/>
          <w:szCs w:val="20"/>
          <w:color w:val="auto"/>
        </w:rPr>
      </w:pPr>
    </w:p>
    <w:p>
      <w:pPr>
        <w:jc w:val="both"/>
        <w:ind w:left="400"/>
        <w:spacing w:after="0" w:line="287" w:lineRule="auto"/>
        <w:rPr>
          <w:sz w:val="20"/>
          <w:szCs w:val="20"/>
          <w:color w:val="auto"/>
        </w:rPr>
      </w:pPr>
      <w:r>
        <w:rPr>
          <w:rFonts w:ascii="Arial" w:cs="Arial" w:eastAsia="Arial" w:hAnsi="Arial"/>
          <w:sz w:val="16"/>
          <w:szCs w:val="16"/>
          <w:color w:val="3A4967"/>
        </w:rPr>
        <w:t>During each of the years ended December 28, 2024 and December 30, 2023, the Company brewed, fermented, and packaged approximately 74%, of its domestic volume at Company-owned breweries. In the normal course of its business, the Company has historically entered into various production arrangements with other brewing companies. Pursuant to these arrangements, the Company generally supplies raw materials and packaging to those brewing companies and incurs conversion fees for labor at the time the liquid is produced and packaged.</w:t>
      </w:r>
    </w:p>
    <w:p>
      <w:pPr>
        <w:spacing w:after="0" w:line="77" w:lineRule="exact"/>
        <w:rPr>
          <w:sz w:val="20"/>
          <w:szCs w:val="20"/>
          <w:color w:val="auto"/>
        </w:rPr>
      </w:pPr>
    </w:p>
    <w:p>
      <w:pPr>
        <w:jc w:val="both"/>
        <w:ind w:left="400"/>
        <w:spacing w:after="0" w:line="269" w:lineRule="auto"/>
        <w:rPr>
          <w:sz w:val="20"/>
          <w:szCs w:val="20"/>
          <w:color w:val="auto"/>
        </w:rPr>
      </w:pPr>
      <w:r>
        <w:rPr>
          <w:rFonts w:ascii="Arial" w:cs="Arial" w:eastAsia="Arial" w:hAnsi="Arial"/>
          <w:sz w:val="17"/>
          <w:szCs w:val="17"/>
          <w:color w:val="3A4967"/>
        </w:rPr>
        <w:t>The Company currently has brewing and packaging services agreements with subsidiaries of City Brewing Company, LLC (“City Brewing”). During 2024 and 2023, City Brewing supplied approximately 26% and 22%, respectively, of the Company’s annual domestic shipment volume. In accordance with the brewing and packaging services agreement, the Company has made payments to City Brewing which were principally used for capital improvements at City Brewing facilities. These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252095</wp:posOffset>
            </wp:positionV>
            <wp:extent cx="2584450" cy="1917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are being expensed over the terms of the agreements and the remaining net book value of these third-party production prepayments was $14.5 million at December 28, 2024. Currently, certain of these packaging and service agreements expire on December 31, 2025 and others on December 31, 2028. The Company has the contractual right to extend its agreements with City Brewing beyond the current termination dates on an annual basis through December 31, 2035.</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A4967"/>
        </w:rPr>
        <w:t>These City Brewing agreements include a minimum capacity availability commitment by City Brewing and the Company is obligated to meet annual minimum volume commitments and is subject to contractual shortfall fees, if these annual minimum volume commitments are not met.</w:t>
      </w:r>
    </w:p>
    <w:p>
      <w:pPr>
        <w:spacing w:after="0" w:line="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A4967"/>
        </w:rPr>
        <w:t>In January of 2024, the Company and City Brewing entered into a Loan and Security agreement at which time payment of $20 million was made by the Company to City Brewing. Repayment of the note receivable plus an agreed investment return for a combined total of $22.4 million shall be repaid to the Company subject to</w:t>
      </w:r>
    </w:p>
    <w:p>
      <w:pPr>
        <w:spacing w:after="0" w:line="225"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64"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48</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58" w:name="page59"/>
    <w:bookmarkEnd w:id="58"/>
    <w:p>
      <w:pPr>
        <w:ind w:left="96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A4967"/>
        </w:rPr>
        <w:t>annual repayment limits. As of December 28, 2024, the balance of the note receivable was $16.7 million and the final maturity date is December 31, 2028.</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A4967"/>
        </w:rPr>
        <w:t>In December of 2024, the Company announced an amendment and restatement in its entirety of an existing production agreement with a third-party supplier, Rauch North America Inc (‘Rauch’). This amendment adjusted the existing production agreement to better match the Company’s future capacity requirements and resulted in increased production flexibility and more favorable termination rights to the Company in exchange for a $26 million cash payment to Rauch which was paid on December 23, 2024. As a result of the payment, the Company recorded a pre-tax contract settlement expense of $26 million in the fourth quarter of 2024.</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A4967"/>
        </w:rPr>
        <w:t>The amended and restated Rauch agreement includes quarterly minimum payments that total $4.1 million annually at zero volume and a termination fee of $5 million with 12 months written notice. The initial term of the agreement expires on December 31, 2031 with provisions to extend.</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164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380"/>
        <w:spacing w:after="0" w:line="286" w:lineRule="auto"/>
        <w:rPr>
          <w:sz w:val="20"/>
          <w:szCs w:val="20"/>
          <w:color w:val="auto"/>
        </w:rPr>
      </w:pPr>
      <w:r>
        <w:rPr>
          <w:rFonts w:ascii="Arial" w:cs="Arial" w:eastAsia="Arial" w:hAnsi="Arial"/>
          <w:sz w:val="16"/>
          <w:szCs w:val="16"/>
          <w:color w:val="3A4967"/>
        </w:rPr>
        <w:t>At current production volume projections, the Company believes that it will fall short of its future annual volume commitments under the City Brewing and Rauch agreements and will incur shortfall fees. The Company expenses the shortfall fees during the contractual period when such fees are incurred as a component of cost of goods sold. During 2024 and 2023, the Company recorded $13.0 million and $9.5 million, respectively, in shortfall fees. At current volume projections, the Company anticipates that it will recognize approximately $30 million of shortfall fees in the future with $14 million forecasted to be expensed in 2025 and the remainder expected to be expensed primarily in 2026.</w:t>
      </w:r>
    </w:p>
    <w:p>
      <w:pPr>
        <w:spacing w:after="0" w:line="78" w:lineRule="exact"/>
        <w:rPr>
          <w:sz w:val="20"/>
          <w:szCs w:val="20"/>
          <w:color w:val="auto"/>
        </w:rPr>
      </w:pPr>
    </w:p>
    <w:p>
      <w:pPr>
        <w:jc w:val="both"/>
        <w:ind w:right="380"/>
        <w:spacing w:after="0" w:line="273" w:lineRule="auto"/>
        <w:rPr>
          <w:sz w:val="20"/>
          <w:szCs w:val="20"/>
          <w:color w:val="auto"/>
        </w:rPr>
      </w:pPr>
      <w:r>
        <w:rPr>
          <w:rFonts w:ascii="Arial" w:cs="Arial" w:eastAsia="Arial" w:hAnsi="Arial"/>
          <w:sz w:val="17"/>
          <w:szCs w:val="17"/>
          <w:color w:val="3A4967"/>
        </w:rPr>
        <w:t>As of December 28, 2024, if volume for the remaining term of the production arrangements was zero, the total contractual shortfall fees, with advance notice as specified in the related contractual agreements, would total approximately $37 million with $27 million due in 2025 and $10 million due in future years thereafter.</w:t>
      </w:r>
    </w:p>
    <w:p>
      <w:pPr>
        <w:spacing w:after="0" w:line="82" w:lineRule="exact"/>
        <w:rPr>
          <w:sz w:val="20"/>
          <w:szCs w:val="20"/>
          <w:color w:val="auto"/>
        </w:rPr>
      </w:pPr>
    </w:p>
    <w:p>
      <w:pPr>
        <w:jc w:val="both"/>
        <w:ind w:right="380"/>
        <w:spacing w:after="0" w:line="273" w:lineRule="auto"/>
        <w:rPr>
          <w:sz w:val="20"/>
          <w:szCs w:val="20"/>
          <w:color w:val="auto"/>
        </w:rPr>
      </w:pPr>
      <w:r>
        <w:rPr>
          <w:rFonts w:ascii="Arial" w:cs="Arial" w:eastAsia="Arial" w:hAnsi="Arial"/>
          <w:sz w:val="17"/>
          <w:szCs w:val="17"/>
          <w:color w:val="3A4967"/>
        </w:rPr>
        <w:t>The Company has regular discussions with its third-party production suppliers related to its future capacity needs and the terms of its contracts. Changes to volume estimates, future amendments or cancellations of existing contracts could accelerate or change total shortfall fees expected to be incurred.</w:t>
      </w:r>
    </w:p>
    <w:p>
      <w:pPr>
        <w:spacing w:after="0" w:line="200"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J. Accrued Expenses and Other Current Liabilities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3A4967"/>
        </w:rPr>
        <w:t>Accrued expenses and other current liabilities consisted of the following as 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0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22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28, 2024</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30, 2023</w:t>
            </w:r>
          </w:p>
        </w:tc>
      </w:tr>
      <w:tr>
        <w:trPr>
          <w:trHeight w:val="36"/>
        </w:trPr>
        <w:tc>
          <w:tcPr>
            <w:tcW w:w="6300" w:type="dxa"/>
            <w:vAlign w:val="bottom"/>
            <w:tcBorders>
              <w:bottom w:val="single" w:sz="8" w:color="3A4967"/>
            </w:tcBorders>
          </w:tcPr>
          <w:p>
            <w:pPr>
              <w:spacing w:after="0"/>
              <w:rPr>
                <w:sz w:val="3"/>
                <w:szCs w:val="3"/>
                <w:color w:val="auto"/>
              </w:rPr>
            </w:pPr>
          </w:p>
        </w:tc>
        <w:tc>
          <w:tcPr>
            <w:tcW w:w="130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920" w:type="dxa"/>
            <w:vAlign w:val="bottom"/>
            <w:tcBorders>
              <w:bottom w:val="single" w:sz="8" w:color="3A4967"/>
            </w:tcBorders>
          </w:tcPr>
          <w:p>
            <w:pPr>
              <w:spacing w:after="0"/>
              <w:rPr>
                <w:sz w:val="3"/>
                <w:szCs w:val="3"/>
                <w:color w:val="auto"/>
              </w:rPr>
            </w:pPr>
          </w:p>
        </w:tc>
      </w:tr>
      <w:tr>
        <w:trPr>
          <w:trHeight w:val="223"/>
        </w:trPr>
        <w:tc>
          <w:tcPr>
            <w:tcW w:w="6300" w:type="dxa"/>
            <w:vAlign w:val="bottom"/>
          </w:tcPr>
          <w:p>
            <w:pPr>
              <w:ind w:left="80"/>
              <w:spacing w:after="0"/>
              <w:rPr>
                <w:sz w:val="20"/>
                <w:szCs w:val="20"/>
                <w:color w:val="auto"/>
              </w:rPr>
            </w:pPr>
            <w:r>
              <w:rPr>
                <w:rFonts w:ascii="Arial" w:cs="Arial" w:eastAsia="Arial" w:hAnsi="Arial"/>
                <w:sz w:val="17"/>
                <w:szCs w:val="17"/>
                <w:color w:val="3A4967"/>
              </w:rPr>
              <w:t>Employee wages, benefits, and reimbursements</w:t>
            </w:r>
          </w:p>
        </w:tc>
        <w:tc>
          <w:tcPr>
            <w:tcW w:w="1300" w:type="dxa"/>
            <w:vAlign w:val="bottom"/>
          </w:tcPr>
          <w:p>
            <w:pPr>
              <w:jc w:val="right"/>
              <w:ind w:right="57"/>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47,992</w:t>
            </w:r>
          </w:p>
        </w:tc>
        <w:tc>
          <w:tcPr>
            <w:tcW w:w="720" w:type="dxa"/>
            <w:vAlign w:val="bottom"/>
          </w:tcPr>
          <w:p>
            <w:pPr>
              <w:jc w:val="right"/>
              <w:ind w:right="57"/>
              <w:spacing w:after="0"/>
              <w:rPr>
                <w:sz w:val="20"/>
                <w:szCs w:val="20"/>
                <w:color w:val="auto"/>
              </w:rPr>
            </w:pPr>
            <w:r>
              <w:rPr>
                <w:rFonts w:ascii="Arial" w:cs="Arial" w:eastAsia="Arial" w:hAnsi="Arial"/>
                <w:sz w:val="17"/>
                <w:szCs w:val="17"/>
                <w:color w:val="3A4967"/>
              </w:rPr>
              <w:t>$</w:t>
            </w:r>
          </w:p>
        </w:tc>
        <w:tc>
          <w:tcPr>
            <w:tcW w:w="920" w:type="dxa"/>
            <w:vAlign w:val="bottom"/>
          </w:tcPr>
          <w:p>
            <w:pPr>
              <w:jc w:val="right"/>
              <w:spacing w:after="0"/>
              <w:rPr>
                <w:sz w:val="20"/>
                <w:szCs w:val="20"/>
                <w:color w:val="auto"/>
              </w:rPr>
            </w:pPr>
            <w:r>
              <w:rPr>
                <w:rFonts w:ascii="Arial" w:cs="Arial" w:eastAsia="Arial" w:hAnsi="Arial"/>
                <w:sz w:val="17"/>
                <w:szCs w:val="17"/>
                <w:color w:val="3A4967"/>
              </w:rPr>
              <w:t>49,446</w:t>
            </w:r>
          </w:p>
        </w:tc>
      </w:tr>
      <w:tr>
        <w:trPr>
          <w:trHeight w:val="281"/>
        </w:trPr>
        <w:tc>
          <w:tcPr>
            <w:tcW w:w="6300" w:type="dxa"/>
            <w:vAlign w:val="bottom"/>
          </w:tcPr>
          <w:p>
            <w:pPr>
              <w:ind w:left="80"/>
              <w:spacing w:after="0"/>
              <w:rPr>
                <w:sz w:val="20"/>
                <w:szCs w:val="20"/>
                <w:color w:val="auto"/>
              </w:rPr>
            </w:pPr>
            <w:r>
              <w:rPr>
                <w:rFonts w:ascii="Arial" w:cs="Arial" w:eastAsia="Arial" w:hAnsi="Arial"/>
                <w:sz w:val="17"/>
                <w:szCs w:val="17"/>
                <w:color w:val="3A4967"/>
              </w:rPr>
              <w:t>Advertising, promotional, and selling expenses</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3A4967"/>
              </w:rPr>
              <w:t>22,666</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3A4967"/>
              </w:rPr>
              <w:t>18,950</w:t>
            </w:r>
          </w:p>
        </w:tc>
      </w:tr>
      <w:tr>
        <w:trPr>
          <w:trHeight w:val="289"/>
        </w:trPr>
        <w:tc>
          <w:tcPr>
            <w:tcW w:w="6300" w:type="dxa"/>
            <w:vAlign w:val="bottom"/>
          </w:tcPr>
          <w:p>
            <w:pPr>
              <w:ind w:left="80"/>
              <w:spacing w:after="0"/>
              <w:rPr>
                <w:sz w:val="20"/>
                <w:szCs w:val="20"/>
                <w:color w:val="auto"/>
              </w:rPr>
            </w:pPr>
            <w:r>
              <w:rPr>
                <w:rFonts w:ascii="Arial" w:cs="Arial" w:eastAsia="Arial" w:hAnsi="Arial"/>
                <w:sz w:val="17"/>
                <w:szCs w:val="17"/>
                <w:color w:val="3A4967"/>
              </w:rPr>
              <w:t>Accrued deposits</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3A4967"/>
              </w:rPr>
              <w:t>15,213</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3A4967"/>
              </w:rPr>
              <w:t>13,425</w:t>
            </w:r>
          </w:p>
        </w:tc>
      </w:tr>
      <w:tr>
        <w:trPr>
          <w:trHeight w:val="289"/>
        </w:trPr>
        <w:tc>
          <w:tcPr>
            <w:tcW w:w="6300" w:type="dxa"/>
            <w:vAlign w:val="bottom"/>
          </w:tcPr>
          <w:p>
            <w:pPr>
              <w:ind w:left="80"/>
              <w:spacing w:after="0"/>
              <w:rPr>
                <w:sz w:val="20"/>
                <w:szCs w:val="20"/>
                <w:color w:val="auto"/>
              </w:rPr>
            </w:pPr>
            <w:r>
              <w:rPr>
                <w:rFonts w:ascii="Arial" w:cs="Arial" w:eastAsia="Arial" w:hAnsi="Arial"/>
                <w:sz w:val="17"/>
                <w:szCs w:val="17"/>
                <w:color w:val="3A4967"/>
              </w:rPr>
              <w:t>Accrued inventory and production related costs</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3A4967"/>
              </w:rPr>
              <w:t>14,657</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3A4967"/>
              </w:rPr>
              <w:t>9,775</w:t>
            </w:r>
          </w:p>
        </w:tc>
      </w:tr>
      <w:tr>
        <w:trPr>
          <w:trHeight w:val="289"/>
        </w:trPr>
        <w:tc>
          <w:tcPr>
            <w:tcW w:w="6300" w:type="dxa"/>
            <w:vAlign w:val="bottom"/>
          </w:tcPr>
          <w:p>
            <w:pPr>
              <w:ind w:left="80"/>
              <w:spacing w:after="0"/>
              <w:rPr>
                <w:sz w:val="20"/>
                <w:szCs w:val="20"/>
                <w:color w:val="auto"/>
              </w:rPr>
            </w:pPr>
            <w:r>
              <w:rPr>
                <w:rFonts w:ascii="Arial" w:cs="Arial" w:eastAsia="Arial" w:hAnsi="Arial"/>
                <w:sz w:val="17"/>
                <w:szCs w:val="17"/>
                <w:color w:val="3A4967"/>
              </w:rPr>
              <w:t>Deferred revenue</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3A4967"/>
              </w:rPr>
              <w:t>11,302</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3A4967"/>
              </w:rPr>
              <w:t>8,895</w:t>
            </w:r>
          </w:p>
        </w:tc>
      </w:tr>
      <w:tr>
        <w:trPr>
          <w:trHeight w:val="289"/>
        </w:trPr>
        <w:tc>
          <w:tcPr>
            <w:tcW w:w="6300" w:type="dxa"/>
            <w:vAlign w:val="bottom"/>
          </w:tcPr>
          <w:p>
            <w:pPr>
              <w:ind w:left="80"/>
              <w:spacing w:after="0"/>
              <w:rPr>
                <w:sz w:val="20"/>
                <w:szCs w:val="20"/>
                <w:color w:val="auto"/>
              </w:rPr>
            </w:pPr>
            <w:r>
              <w:rPr>
                <w:rFonts w:ascii="Arial" w:cs="Arial" w:eastAsia="Arial" w:hAnsi="Arial"/>
                <w:sz w:val="17"/>
                <w:szCs w:val="17"/>
                <w:color w:val="3A4967"/>
              </w:rPr>
              <w:t>Accrued taxes</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3A4967"/>
              </w:rPr>
              <w:t>7,444</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3A4967"/>
              </w:rPr>
              <w:t>6,757</w:t>
            </w:r>
          </w:p>
        </w:tc>
      </w:tr>
      <w:tr>
        <w:trPr>
          <w:trHeight w:val="289"/>
        </w:trPr>
        <w:tc>
          <w:tcPr>
            <w:tcW w:w="6300" w:type="dxa"/>
            <w:vAlign w:val="bottom"/>
          </w:tcPr>
          <w:p>
            <w:pPr>
              <w:ind w:left="80"/>
              <w:spacing w:after="0"/>
              <w:rPr>
                <w:sz w:val="20"/>
                <w:szCs w:val="20"/>
                <w:color w:val="auto"/>
              </w:rPr>
            </w:pPr>
            <w:r>
              <w:rPr>
                <w:rFonts w:ascii="Arial" w:cs="Arial" w:eastAsia="Arial" w:hAnsi="Arial"/>
                <w:sz w:val="17"/>
                <w:szCs w:val="17"/>
                <w:color w:val="3A4967"/>
              </w:rPr>
              <w:t>Accrued returns</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3A4967"/>
              </w:rPr>
              <w:t>6,092</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3A4967"/>
              </w:rPr>
              <w:t>8,240</w:t>
            </w:r>
          </w:p>
        </w:tc>
      </w:tr>
      <w:tr>
        <w:trPr>
          <w:trHeight w:val="281"/>
        </w:trPr>
        <w:tc>
          <w:tcPr>
            <w:tcW w:w="6300" w:type="dxa"/>
            <w:vAlign w:val="bottom"/>
          </w:tcPr>
          <w:p>
            <w:pPr>
              <w:ind w:left="80"/>
              <w:spacing w:after="0"/>
              <w:rPr>
                <w:sz w:val="20"/>
                <w:szCs w:val="20"/>
                <w:color w:val="auto"/>
              </w:rPr>
            </w:pPr>
            <w:r>
              <w:rPr>
                <w:rFonts w:ascii="Arial" w:cs="Arial" w:eastAsia="Arial" w:hAnsi="Arial"/>
                <w:sz w:val="17"/>
                <w:szCs w:val="17"/>
                <w:color w:val="3A4967"/>
              </w:rPr>
              <w:t>Other</w:t>
            </w:r>
          </w:p>
        </w:tc>
        <w:tc>
          <w:tcPr>
            <w:tcW w:w="1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3A4967"/>
              </w:rPr>
              <w:t>13,252</w:t>
            </w:r>
          </w:p>
        </w:tc>
        <w:tc>
          <w:tcPr>
            <w:tcW w:w="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3A4967"/>
              </w:rPr>
              <w:t>11,442</w:t>
            </w:r>
          </w:p>
        </w:tc>
      </w:tr>
      <w:tr>
        <w:trPr>
          <w:trHeight w:val="35"/>
        </w:trPr>
        <w:tc>
          <w:tcPr>
            <w:tcW w:w="6300" w:type="dxa"/>
            <w:vAlign w:val="bottom"/>
            <w:tcBorders>
              <w:bottom w:val="single" w:sz="8" w:color="3A4967"/>
            </w:tcBorders>
          </w:tcPr>
          <w:p>
            <w:pPr>
              <w:spacing w:after="0"/>
              <w:rPr>
                <w:sz w:val="3"/>
                <w:szCs w:val="3"/>
                <w:color w:val="auto"/>
              </w:rPr>
            </w:pPr>
          </w:p>
        </w:tc>
        <w:tc>
          <w:tcPr>
            <w:tcW w:w="130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720" w:type="dxa"/>
            <w:vAlign w:val="bottom"/>
            <w:tcBorders>
              <w:bottom w:val="single" w:sz="8" w:color="3A4967"/>
            </w:tcBorders>
          </w:tcPr>
          <w:p>
            <w:pPr>
              <w:spacing w:after="0"/>
              <w:rPr>
                <w:sz w:val="3"/>
                <w:szCs w:val="3"/>
                <w:color w:val="auto"/>
              </w:rPr>
            </w:pPr>
          </w:p>
        </w:tc>
        <w:tc>
          <w:tcPr>
            <w:tcW w:w="920" w:type="dxa"/>
            <w:vAlign w:val="bottom"/>
            <w:tcBorders>
              <w:bottom w:val="single" w:sz="8" w:color="3A4967"/>
            </w:tcBorders>
          </w:tcPr>
          <w:p>
            <w:pPr>
              <w:spacing w:after="0"/>
              <w:rPr>
                <w:sz w:val="3"/>
                <w:szCs w:val="3"/>
                <w:color w:val="auto"/>
              </w:rPr>
            </w:pPr>
          </w:p>
        </w:tc>
      </w:tr>
      <w:tr>
        <w:trPr>
          <w:trHeight w:val="266"/>
        </w:trPr>
        <w:tc>
          <w:tcPr>
            <w:tcW w:w="630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TOTAL ACCRUED EXPENSES AND OTHER CURRENT LIABILITIES</w:t>
            </w:r>
          </w:p>
        </w:tc>
        <w:tc>
          <w:tcPr>
            <w:tcW w:w="1300" w:type="dxa"/>
            <w:vAlign w:val="bottom"/>
            <w:tcBorders>
              <w:bottom w:val="single" w:sz="8" w:color="3A4967"/>
            </w:tcBorders>
          </w:tcPr>
          <w:p>
            <w:pPr>
              <w:jc w:val="right"/>
              <w:ind w:right="57"/>
              <w:spacing w:after="0"/>
              <w:rPr>
                <w:sz w:val="20"/>
                <w:szCs w:val="20"/>
                <w:color w:val="auto"/>
              </w:rPr>
            </w:pPr>
            <w:r>
              <w:rPr>
                <w:rFonts w:ascii="Arial" w:cs="Arial" w:eastAsia="Arial" w:hAnsi="Arial"/>
                <w:sz w:val="17"/>
                <w:szCs w:val="17"/>
                <w:b w:val="1"/>
                <w:bCs w:val="1"/>
                <w:color w:val="3A4967"/>
              </w:rPr>
              <w:t>$</w:t>
            </w:r>
          </w:p>
        </w:tc>
        <w:tc>
          <w:tcPr>
            <w:tcW w:w="9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138,618</w:t>
            </w:r>
          </w:p>
        </w:tc>
        <w:tc>
          <w:tcPr>
            <w:tcW w:w="720" w:type="dxa"/>
            <w:vAlign w:val="bottom"/>
            <w:tcBorders>
              <w:bottom w:val="single" w:sz="8" w:color="3A4967"/>
            </w:tcBorders>
          </w:tcPr>
          <w:p>
            <w:pPr>
              <w:jc w:val="right"/>
              <w:ind w:right="57"/>
              <w:spacing w:after="0"/>
              <w:rPr>
                <w:sz w:val="20"/>
                <w:szCs w:val="20"/>
                <w:color w:val="auto"/>
              </w:rPr>
            </w:pPr>
            <w:r>
              <w:rPr>
                <w:rFonts w:ascii="Arial" w:cs="Arial" w:eastAsia="Arial" w:hAnsi="Arial"/>
                <w:sz w:val="17"/>
                <w:szCs w:val="17"/>
                <w:b w:val="1"/>
                <w:bCs w:val="1"/>
                <w:color w:val="3A4967"/>
              </w:rPr>
              <w:t>$</w:t>
            </w:r>
          </w:p>
        </w:tc>
        <w:tc>
          <w:tcPr>
            <w:tcW w:w="92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126,930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-1647825</wp:posOffset>
            </wp:positionV>
            <wp:extent cx="6479540" cy="16433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479540" cy="164338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K. Revolving Line of Credit</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3A4967"/>
        </w:rPr>
        <w:t>During 2022, the Company amended its $ 150.0 million credit facility agreement, which now has a term not scheduled to expire until December 16, 2027. Under the terms of the amended agreement, the Company may elect an interest rate for borrowings under the credit facility based on the applicable secured overnight financing rate (“SOFR”) plus 1.1%. At December 28, 2024, the applicable SOFR was 4.5%. The Company incurs an annual commitment fee of 0.2% on the unused portion of the facility and is obligated to meet certain financial covenants, which are measured using earnings before interest, tax, depreciation, and amortization (“EBITDA”) based ratios. The Company’s EBITDA to interest expense ratio was 1,303.3 as of December 28, 2024, compared to a minimum allowable ratio of 2.0 and the Company’s total funded debt to EBITDA ratio was 0.0 as of December 28, 2024, compared to a maximum allowable ratio of 2.5. There were no borrowings, repayments, or interest payments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379730</wp:posOffset>
            </wp:positionV>
            <wp:extent cx="2584450" cy="1917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right="380"/>
        <w:spacing w:after="0" w:line="254" w:lineRule="auto"/>
        <w:rPr>
          <w:sz w:val="20"/>
          <w:szCs w:val="20"/>
          <w:color w:val="auto"/>
        </w:rPr>
      </w:pPr>
      <w:r>
        <w:rPr>
          <w:rFonts w:ascii="Arial" w:cs="Arial" w:eastAsia="Arial" w:hAnsi="Arial"/>
          <w:sz w:val="18"/>
          <w:szCs w:val="18"/>
          <w:color w:val="3A4967"/>
        </w:rPr>
        <w:t>2024 or 2023. During the year ended December 31, 2022, the Company borrowed and repaid $30.0 million on the credit facility and paid a total of approximately $18,000 in related interest. There were no borrowings outstanding under the credit facility as of December 28, 2024.</w:t>
      </w:r>
    </w:p>
    <w:p>
      <w:pPr>
        <w:spacing w:after="0" w:line="105" w:lineRule="exact"/>
        <w:rPr>
          <w:sz w:val="20"/>
          <w:szCs w:val="20"/>
          <w:color w:val="auto"/>
        </w:rPr>
      </w:pPr>
    </w:p>
    <w:p>
      <w:pPr>
        <w:jc w:val="both"/>
        <w:ind w:right="380"/>
        <w:spacing w:after="0" w:line="286" w:lineRule="auto"/>
        <w:rPr>
          <w:sz w:val="20"/>
          <w:szCs w:val="20"/>
          <w:color w:val="auto"/>
        </w:rPr>
      </w:pPr>
      <w:r>
        <w:rPr>
          <w:rFonts w:ascii="Arial" w:cs="Arial" w:eastAsia="Arial" w:hAnsi="Arial"/>
          <w:sz w:val="16"/>
          <w:szCs w:val="16"/>
          <w:color w:val="3A4967"/>
        </w:rPr>
        <w:t>There are also certain restrictive covenants set forth in the credit agreement. Pursuant to the negative covenants, the Company has agreed that it will not: enter into any indebtedness or guarantees other than those specified by the lender, enter into any sale and leaseback transactions, merge, consolidate, or dispose of significant assets without the lender’s prior written consent, make or maintain any investments other than those permitted in the credit agreement, or enter into any transactions with affiliates outside of the ordinary course of business. In addition, the credit agreement requires the Company to obtain prior written consent from the lender on distributions on account of, or in repurchase, retirement or purchase of its capital stock or other equity interests</w:t>
      </w:r>
    </w:p>
    <w:p>
      <w:pPr>
        <w:spacing w:after="0" w:line="200"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292"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59" w:name="page60"/>
    <w:bookmarkEnd w:id="59"/>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00"/>
        <w:spacing w:after="0" w:line="290" w:lineRule="auto"/>
        <w:rPr>
          <w:sz w:val="20"/>
          <w:szCs w:val="20"/>
          <w:color w:val="auto"/>
        </w:rPr>
      </w:pPr>
      <w:r>
        <w:rPr>
          <w:rFonts w:ascii="Arial" w:cs="Arial" w:eastAsia="Arial" w:hAnsi="Arial"/>
          <w:sz w:val="16"/>
          <w:szCs w:val="16"/>
          <w:color w:val="3A4967"/>
        </w:rPr>
        <w:t>with the exception of the following: (a) distributions of capital stock from subsidiaries to The Boston Beer Company, Inc. and Boston Beer Corporation (a subsidiary of The Boston Beer Company, Inc.), (b) repurchase from former employees of non-vested investment shares of Class A Common Stock, issued under the Employee Equity Incentive Plan, and (c) redemption of shares of Class A Common Stock as approved by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3A4967"/>
        </w:rPr>
        <w:t>and payment of cash dividends to its holders of common stock. Borrowings under the credit facility may be used for working capital, capital expenditures and general corporate purposes of the Company and its subsidiaries. In the event of a default that has not been cured, the credit facility would terminate and any unpaid principal and accrued interest would become due and payable.</w:t>
      </w:r>
    </w:p>
    <w:p>
      <w:pPr>
        <w:spacing w:after="0" w:line="417"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ind w:left="400"/>
        <w:spacing w:after="0"/>
        <w:rPr>
          <w:sz w:val="20"/>
          <w:szCs w:val="20"/>
          <w:color w:val="auto"/>
        </w:rPr>
      </w:pPr>
      <w:r>
        <w:rPr>
          <w:rFonts w:ascii="Arial" w:cs="Arial" w:eastAsia="Arial" w:hAnsi="Arial"/>
          <w:sz w:val="22"/>
          <w:szCs w:val="22"/>
          <w:b w:val="1"/>
          <w:bCs w:val="1"/>
          <w:color w:val="6D7890"/>
        </w:rPr>
        <w:t>L. Income Taxes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Significant components of the income tax provision (benefit) for fiscal 2024, 2023, and 2022 were as follows:</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98"/>
        </w:trPr>
        <w:tc>
          <w:tcPr>
            <w:tcW w:w="440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1920" w:type="dxa"/>
            <w:vAlign w:val="bottom"/>
          </w:tcPr>
          <w:p>
            <w:pPr>
              <w:spacing w:after="0"/>
              <w:rPr>
                <w:sz w:val="17"/>
                <w:szCs w:val="17"/>
                <w:color w:val="auto"/>
              </w:rPr>
            </w:pPr>
          </w:p>
        </w:tc>
        <w:tc>
          <w:tcPr>
            <w:tcW w:w="980" w:type="dxa"/>
            <w:vAlign w:val="bottom"/>
          </w:tcPr>
          <w:p>
            <w:pPr>
              <w:jc w:val="right"/>
              <w:ind w:right="276"/>
              <w:spacing w:after="0"/>
              <w:rPr>
                <w:sz w:val="20"/>
                <w:szCs w:val="20"/>
                <w:color w:val="auto"/>
              </w:rPr>
            </w:pPr>
            <w:r>
              <w:rPr>
                <w:rFonts w:ascii="Arial" w:cs="Arial" w:eastAsia="Arial" w:hAnsi="Arial"/>
                <w:sz w:val="16"/>
                <w:szCs w:val="16"/>
                <w:b w:val="1"/>
                <w:bCs w:val="1"/>
                <w:color w:val="3A4967"/>
              </w:rPr>
              <w:t>2024</w:t>
            </w:r>
          </w:p>
        </w:tc>
        <w:tc>
          <w:tcPr>
            <w:tcW w:w="460" w:type="dxa"/>
            <w:vAlign w:val="bottom"/>
          </w:tcPr>
          <w:p>
            <w:pPr>
              <w:spacing w:after="0"/>
              <w:rPr>
                <w:sz w:val="17"/>
                <w:szCs w:val="17"/>
                <w:color w:val="auto"/>
              </w:rPr>
            </w:pPr>
          </w:p>
        </w:tc>
        <w:tc>
          <w:tcPr>
            <w:tcW w:w="960" w:type="dxa"/>
            <w:vAlign w:val="bottom"/>
          </w:tcPr>
          <w:p>
            <w:pPr>
              <w:jc w:val="right"/>
              <w:ind w:right="236"/>
              <w:spacing w:after="0"/>
              <w:rPr>
                <w:sz w:val="20"/>
                <w:szCs w:val="20"/>
                <w:color w:val="auto"/>
              </w:rPr>
            </w:pPr>
            <w:r>
              <w:rPr>
                <w:rFonts w:ascii="Arial" w:cs="Arial" w:eastAsia="Arial" w:hAnsi="Arial"/>
                <w:sz w:val="16"/>
                <w:szCs w:val="16"/>
                <w:b w:val="1"/>
                <w:bCs w:val="1"/>
                <w:color w:val="3A4967"/>
              </w:rPr>
              <w:t>2023</w:t>
            </w:r>
          </w:p>
        </w:tc>
        <w:tc>
          <w:tcPr>
            <w:tcW w:w="460" w:type="dxa"/>
            <w:vAlign w:val="bottom"/>
          </w:tcPr>
          <w:p>
            <w:pPr>
              <w:spacing w:after="0"/>
              <w:rPr>
                <w:sz w:val="17"/>
                <w:szCs w:val="17"/>
                <w:color w:val="auto"/>
              </w:rPr>
            </w:pPr>
          </w:p>
        </w:tc>
        <w:tc>
          <w:tcPr>
            <w:tcW w:w="1000" w:type="dxa"/>
            <w:vAlign w:val="bottom"/>
          </w:tcPr>
          <w:p>
            <w:pPr>
              <w:jc w:val="right"/>
              <w:ind w:right="316"/>
              <w:spacing w:after="0"/>
              <w:rPr>
                <w:sz w:val="20"/>
                <w:szCs w:val="20"/>
                <w:color w:val="auto"/>
              </w:rPr>
            </w:pPr>
            <w:r>
              <w:rPr>
                <w:rFonts w:ascii="Arial" w:cs="Arial" w:eastAsia="Arial" w:hAnsi="Arial"/>
                <w:sz w:val="16"/>
                <w:szCs w:val="16"/>
                <w:b w:val="1"/>
                <w:bCs w:val="1"/>
                <w:color w:val="3A4967"/>
              </w:rPr>
              <w:t>2022</w:t>
            </w:r>
          </w:p>
        </w:tc>
      </w:tr>
      <w:tr>
        <w:trPr>
          <w:trHeight w:val="36"/>
        </w:trPr>
        <w:tc>
          <w:tcPr>
            <w:tcW w:w="4400" w:type="dxa"/>
            <w:vAlign w:val="bottom"/>
            <w:tcBorders>
              <w:bottom w:val="single" w:sz="8" w:color="3A4967"/>
            </w:tcBorders>
          </w:tcPr>
          <w:p>
            <w:pPr>
              <w:spacing w:after="0"/>
              <w:rPr>
                <w:sz w:val="3"/>
                <w:szCs w:val="3"/>
                <w:color w:val="auto"/>
              </w:rPr>
            </w:pPr>
          </w:p>
        </w:tc>
        <w:tc>
          <w:tcPr>
            <w:tcW w:w="192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460" w:type="dxa"/>
            <w:vAlign w:val="bottom"/>
            <w:tcBorders>
              <w:bottom w:val="single" w:sz="8" w:color="3A4967"/>
            </w:tcBorders>
          </w:tcPr>
          <w:p>
            <w:pPr>
              <w:spacing w:after="0"/>
              <w:rPr>
                <w:sz w:val="3"/>
                <w:szCs w:val="3"/>
                <w:color w:val="auto"/>
              </w:rPr>
            </w:pPr>
          </w:p>
        </w:tc>
        <w:tc>
          <w:tcPr>
            <w:tcW w:w="960" w:type="dxa"/>
            <w:vAlign w:val="bottom"/>
            <w:tcBorders>
              <w:bottom w:val="single" w:sz="8" w:color="3A4967"/>
            </w:tcBorders>
          </w:tcPr>
          <w:p>
            <w:pPr>
              <w:spacing w:after="0"/>
              <w:rPr>
                <w:sz w:val="3"/>
                <w:szCs w:val="3"/>
                <w:color w:val="auto"/>
              </w:rPr>
            </w:pPr>
          </w:p>
        </w:tc>
        <w:tc>
          <w:tcPr>
            <w:tcW w:w="46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r>
      <w:tr>
        <w:trPr>
          <w:trHeight w:val="229"/>
        </w:trPr>
        <w:tc>
          <w:tcPr>
            <w:tcW w:w="4400" w:type="dxa"/>
            <w:vAlign w:val="bottom"/>
          </w:tcPr>
          <w:p>
            <w:pPr>
              <w:ind w:left="80"/>
              <w:spacing w:after="0"/>
              <w:rPr>
                <w:sz w:val="20"/>
                <w:szCs w:val="20"/>
                <w:color w:val="auto"/>
              </w:rPr>
            </w:pPr>
            <w:r>
              <w:rPr>
                <w:rFonts w:ascii="Arial" w:cs="Arial" w:eastAsia="Arial" w:hAnsi="Arial"/>
                <w:sz w:val="17"/>
                <w:szCs w:val="17"/>
                <w:b w:val="1"/>
                <w:bCs w:val="1"/>
                <w:color w:val="3A4967"/>
              </w:rPr>
              <w:t>Current:</w:t>
            </w:r>
          </w:p>
        </w:tc>
        <w:tc>
          <w:tcPr>
            <w:tcW w:w="1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7"/>
        </w:trPr>
        <w:tc>
          <w:tcPr>
            <w:tcW w:w="4400" w:type="dxa"/>
            <w:vAlign w:val="bottom"/>
          </w:tcPr>
          <w:p>
            <w:pPr>
              <w:ind w:left="220"/>
              <w:spacing w:after="0"/>
              <w:rPr>
                <w:sz w:val="20"/>
                <w:szCs w:val="20"/>
                <w:color w:val="auto"/>
              </w:rPr>
            </w:pPr>
            <w:r>
              <w:rPr>
                <w:rFonts w:ascii="Arial" w:cs="Arial" w:eastAsia="Arial" w:hAnsi="Arial"/>
                <w:sz w:val="17"/>
                <w:szCs w:val="17"/>
                <w:color w:val="3A4967"/>
              </w:rPr>
              <w:t>Federal</w:t>
            </w:r>
          </w:p>
        </w:tc>
        <w:tc>
          <w:tcPr>
            <w:tcW w:w="1920" w:type="dxa"/>
            <w:vAlign w:val="bottom"/>
          </w:tcPr>
          <w:p>
            <w:pPr>
              <w:jc w:val="right"/>
              <w:ind w:right="55"/>
              <w:spacing w:after="0"/>
              <w:rPr>
                <w:sz w:val="20"/>
                <w:szCs w:val="20"/>
                <w:color w:val="auto"/>
              </w:rPr>
            </w:pPr>
            <w:r>
              <w:rPr>
                <w:rFonts w:ascii="Arial" w:cs="Arial" w:eastAsia="Arial" w:hAnsi="Arial"/>
                <w:sz w:val="17"/>
                <w:szCs w:val="17"/>
                <w:color w:val="3A4967"/>
              </w:rPr>
              <w:t>$</w:t>
            </w:r>
          </w:p>
        </w:tc>
        <w:tc>
          <w:tcPr>
            <w:tcW w:w="980" w:type="dxa"/>
            <w:vAlign w:val="bottom"/>
          </w:tcPr>
          <w:p>
            <w:pPr>
              <w:jc w:val="right"/>
              <w:ind w:right="196"/>
              <w:spacing w:after="0"/>
              <w:rPr>
                <w:sz w:val="20"/>
                <w:szCs w:val="20"/>
                <w:color w:val="auto"/>
              </w:rPr>
            </w:pPr>
            <w:r>
              <w:rPr>
                <w:rFonts w:ascii="Arial" w:cs="Arial" w:eastAsia="Arial" w:hAnsi="Arial"/>
                <w:sz w:val="17"/>
                <w:szCs w:val="17"/>
                <w:color w:val="3A4967"/>
              </w:rPr>
              <w:t>37,971</w:t>
            </w:r>
          </w:p>
        </w:tc>
        <w:tc>
          <w:tcPr>
            <w:tcW w:w="460" w:type="dxa"/>
            <w:vAlign w:val="bottom"/>
          </w:tcPr>
          <w:p>
            <w:pPr>
              <w:jc w:val="right"/>
              <w:ind w:right="35"/>
              <w:spacing w:after="0"/>
              <w:rPr>
                <w:sz w:val="20"/>
                <w:szCs w:val="20"/>
                <w:color w:val="auto"/>
              </w:rPr>
            </w:pPr>
            <w:r>
              <w:rPr>
                <w:rFonts w:ascii="Arial" w:cs="Arial" w:eastAsia="Arial" w:hAnsi="Arial"/>
                <w:sz w:val="17"/>
                <w:szCs w:val="17"/>
                <w:color w:val="3A4967"/>
              </w:rPr>
              <w:t>$</w:t>
            </w:r>
          </w:p>
        </w:tc>
        <w:tc>
          <w:tcPr>
            <w:tcW w:w="960" w:type="dxa"/>
            <w:vAlign w:val="bottom"/>
          </w:tcPr>
          <w:p>
            <w:pPr>
              <w:jc w:val="right"/>
              <w:ind w:right="176"/>
              <w:spacing w:after="0"/>
              <w:rPr>
                <w:sz w:val="20"/>
                <w:szCs w:val="20"/>
                <w:color w:val="auto"/>
              </w:rPr>
            </w:pPr>
            <w:r>
              <w:rPr>
                <w:rFonts w:ascii="Arial" w:cs="Arial" w:eastAsia="Arial" w:hAnsi="Arial"/>
                <w:sz w:val="17"/>
                <w:szCs w:val="17"/>
                <w:color w:val="3A4967"/>
              </w:rPr>
              <w:t>36,556</w:t>
            </w:r>
          </w:p>
        </w:tc>
        <w:tc>
          <w:tcPr>
            <w:tcW w:w="460" w:type="dxa"/>
            <w:vAlign w:val="bottom"/>
          </w:tcPr>
          <w:p>
            <w:pPr>
              <w:jc w:val="right"/>
              <w:ind w:right="55"/>
              <w:spacing w:after="0"/>
              <w:rPr>
                <w:sz w:val="20"/>
                <w:szCs w:val="20"/>
                <w:color w:val="auto"/>
              </w:rPr>
            </w:pPr>
            <w:r>
              <w:rPr>
                <w:rFonts w:ascii="Arial" w:cs="Arial" w:eastAsia="Arial" w:hAnsi="Arial"/>
                <w:sz w:val="17"/>
                <w:szCs w:val="17"/>
                <w:color w:val="3A4967"/>
              </w:rPr>
              <w:t>$</w:t>
            </w:r>
          </w:p>
        </w:tc>
        <w:tc>
          <w:tcPr>
            <w:tcW w:w="1000" w:type="dxa"/>
            <w:vAlign w:val="bottom"/>
          </w:tcPr>
          <w:p>
            <w:pPr>
              <w:jc w:val="right"/>
              <w:ind w:right="236"/>
              <w:spacing w:after="0"/>
              <w:rPr>
                <w:sz w:val="20"/>
                <w:szCs w:val="20"/>
                <w:color w:val="auto"/>
              </w:rPr>
            </w:pPr>
            <w:r>
              <w:rPr>
                <w:rFonts w:ascii="Arial" w:cs="Arial" w:eastAsia="Arial" w:hAnsi="Arial"/>
                <w:sz w:val="17"/>
                <w:szCs w:val="17"/>
                <w:color w:val="3A4967"/>
              </w:rPr>
              <w:t>10,453</w:t>
            </w:r>
          </w:p>
        </w:tc>
      </w:tr>
      <w:tr>
        <w:trPr>
          <w:trHeight w:val="289"/>
        </w:trPr>
        <w:tc>
          <w:tcPr>
            <w:tcW w:w="4400" w:type="dxa"/>
            <w:vAlign w:val="bottom"/>
          </w:tcPr>
          <w:p>
            <w:pPr>
              <w:ind w:left="220"/>
              <w:spacing w:after="0"/>
              <w:rPr>
                <w:sz w:val="20"/>
                <w:szCs w:val="20"/>
                <w:color w:val="auto"/>
              </w:rPr>
            </w:pPr>
            <w:r>
              <w:rPr>
                <w:rFonts w:ascii="Arial" w:cs="Arial" w:eastAsia="Arial" w:hAnsi="Arial"/>
                <w:sz w:val="17"/>
                <w:szCs w:val="17"/>
                <w:color w:val="3A4967"/>
              </w:rPr>
              <w:t>State</w:t>
            </w:r>
          </w:p>
        </w:tc>
        <w:tc>
          <w:tcPr>
            <w:tcW w:w="1920" w:type="dxa"/>
            <w:vAlign w:val="bottom"/>
          </w:tcPr>
          <w:p>
            <w:pPr>
              <w:spacing w:after="0"/>
              <w:rPr>
                <w:sz w:val="24"/>
                <w:szCs w:val="24"/>
                <w:color w:val="auto"/>
              </w:rPr>
            </w:pPr>
          </w:p>
        </w:tc>
        <w:tc>
          <w:tcPr>
            <w:tcW w:w="980" w:type="dxa"/>
            <w:vAlign w:val="bottom"/>
          </w:tcPr>
          <w:p>
            <w:pPr>
              <w:jc w:val="right"/>
              <w:ind w:right="196"/>
              <w:spacing w:after="0"/>
              <w:rPr>
                <w:sz w:val="20"/>
                <w:szCs w:val="20"/>
                <w:color w:val="auto"/>
              </w:rPr>
            </w:pPr>
            <w:r>
              <w:rPr>
                <w:rFonts w:ascii="Arial" w:cs="Arial" w:eastAsia="Arial" w:hAnsi="Arial"/>
                <w:sz w:val="17"/>
                <w:szCs w:val="17"/>
                <w:color w:val="3A4967"/>
              </w:rPr>
              <w:t>9,880</w:t>
            </w:r>
          </w:p>
        </w:tc>
        <w:tc>
          <w:tcPr>
            <w:tcW w:w="460" w:type="dxa"/>
            <w:vAlign w:val="bottom"/>
          </w:tcPr>
          <w:p>
            <w:pPr>
              <w:spacing w:after="0"/>
              <w:rPr>
                <w:sz w:val="24"/>
                <w:szCs w:val="24"/>
                <w:color w:val="auto"/>
              </w:rPr>
            </w:pPr>
          </w:p>
        </w:tc>
        <w:tc>
          <w:tcPr>
            <w:tcW w:w="960" w:type="dxa"/>
            <w:vAlign w:val="bottom"/>
          </w:tcPr>
          <w:p>
            <w:pPr>
              <w:jc w:val="right"/>
              <w:ind w:right="176"/>
              <w:spacing w:after="0"/>
              <w:rPr>
                <w:sz w:val="20"/>
                <w:szCs w:val="20"/>
                <w:color w:val="auto"/>
              </w:rPr>
            </w:pPr>
            <w:r>
              <w:rPr>
                <w:rFonts w:ascii="Arial" w:cs="Arial" w:eastAsia="Arial" w:hAnsi="Arial"/>
                <w:sz w:val="17"/>
                <w:szCs w:val="17"/>
                <w:color w:val="3A4967"/>
              </w:rPr>
              <w:t>7,650</w:t>
            </w:r>
          </w:p>
        </w:tc>
        <w:tc>
          <w:tcPr>
            <w:tcW w:w="460" w:type="dxa"/>
            <w:vAlign w:val="bottom"/>
          </w:tcPr>
          <w:p>
            <w:pPr>
              <w:spacing w:after="0"/>
              <w:rPr>
                <w:sz w:val="24"/>
                <w:szCs w:val="24"/>
                <w:color w:val="auto"/>
              </w:rPr>
            </w:pPr>
          </w:p>
        </w:tc>
        <w:tc>
          <w:tcPr>
            <w:tcW w:w="1000" w:type="dxa"/>
            <w:vAlign w:val="bottom"/>
          </w:tcPr>
          <w:p>
            <w:pPr>
              <w:jc w:val="right"/>
              <w:ind w:right="236"/>
              <w:spacing w:after="0"/>
              <w:rPr>
                <w:sz w:val="20"/>
                <w:szCs w:val="20"/>
                <w:color w:val="auto"/>
              </w:rPr>
            </w:pPr>
            <w:r>
              <w:rPr>
                <w:rFonts w:ascii="Arial" w:cs="Arial" w:eastAsia="Arial" w:hAnsi="Arial"/>
                <w:sz w:val="17"/>
                <w:szCs w:val="17"/>
                <w:color w:val="3A4967"/>
              </w:rPr>
              <w:t>4,683</w:t>
            </w:r>
          </w:p>
        </w:tc>
      </w:tr>
      <w:tr>
        <w:trPr>
          <w:trHeight w:val="42"/>
        </w:trPr>
        <w:tc>
          <w:tcPr>
            <w:tcW w:w="4400" w:type="dxa"/>
            <w:vAlign w:val="bottom"/>
            <w:tcBorders>
              <w:bottom w:val="single" w:sz="8" w:color="3A4967"/>
            </w:tcBorders>
          </w:tcPr>
          <w:p>
            <w:pPr>
              <w:spacing w:after="0"/>
              <w:rPr>
                <w:sz w:val="3"/>
                <w:szCs w:val="3"/>
                <w:color w:val="auto"/>
              </w:rPr>
            </w:pPr>
          </w:p>
        </w:tc>
        <w:tc>
          <w:tcPr>
            <w:tcW w:w="192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460" w:type="dxa"/>
            <w:vAlign w:val="bottom"/>
            <w:tcBorders>
              <w:bottom w:val="single" w:sz="8" w:color="3A4967"/>
            </w:tcBorders>
          </w:tcPr>
          <w:p>
            <w:pPr>
              <w:spacing w:after="0"/>
              <w:rPr>
                <w:sz w:val="3"/>
                <w:szCs w:val="3"/>
                <w:color w:val="auto"/>
              </w:rPr>
            </w:pPr>
          </w:p>
        </w:tc>
        <w:tc>
          <w:tcPr>
            <w:tcW w:w="960" w:type="dxa"/>
            <w:vAlign w:val="bottom"/>
            <w:tcBorders>
              <w:bottom w:val="single" w:sz="8" w:color="3A4967"/>
            </w:tcBorders>
          </w:tcPr>
          <w:p>
            <w:pPr>
              <w:spacing w:after="0"/>
              <w:rPr>
                <w:sz w:val="3"/>
                <w:szCs w:val="3"/>
                <w:color w:val="auto"/>
              </w:rPr>
            </w:pPr>
          </w:p>
        </w:tc>
        <w:tc>
          <w:tcPr>
            <w:tcW w:w="46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r>
      <w:tr>
        <w:trPr>
          <w:trHeight w:val="226"/>
        </w:trPr>
        <w:tc>
          <w:tcPr>
            <w:tcW w:w="4400" w:type="dxa"/>
            <w:vAlign w:val="bottom"/>
          </w:tcPr>
          <w:p>
            <w:pPr>
              <w:ind w:left="80"/>
              <w:spacing w:after="0"/>
              <w:rPr>
                <w:sz w:val="20"/>
                <w:szCs w:val="20"/>
                <w:color w:val="auto"/>
              </w:rPr>
            </w:pPr>
            <w:r>
              <w:rPr>
                <w:rFonts w:ascii="Arial" w:cs="Arial" w:eastAsia="Arial" w:hAnsi="Arial"/>
                <w:sz w:val="17"/>
                <w:szCs w:val="17"/>
                <w:color w:val="3A4967"/>
              </w:rPr>
              <w:t>Total current</w:t>
            </w:r>
          </w:p>
        </w:tc>
        <w:tc>
          <w:tcPr>
            <w:tcW w:w="1920" w:type="dxa"/>
            <w:vAlign w:val="bottom"/>
          </w:tcPr>
          <w:p>
            <w:pPr>
              <w:spacing w:after="0"/>
              <w:rPr>
                <w:sz w:val="19"/>
                <w:szCs w:val="19"/>
                <w:color w:val="auto"/>
              </w:rPr>
            </w:pPr>
          </w:p>
        </w:tc>
        <w:tc>
          <w:tcPr>
            <w:tcW w:w="980" w:type="dxa"/>
            <w:vAlign w:val="bottom"/>
          </w:tcPr>
          <w:p>
            <w:pPr>
              <w:jc w:val="right"/>
              <w:ind w:right="196"/>
              <w:spacing w:after="0"/>
              <w:rPr>
                <w:sz w:val="20"/>
                <w:szCs w:val="20"/>
                <w:color w:val="auto"/>
              </w:rPr>
            </w:pPr>
            <w:r>
              <w:rPr>
                <w:rFonts w:ascii="Arial" w:cs="Arial" w:eastAsia="Arial" w:hAnsi="Arial"/>
                <w:sz w:val="17"/>
                <w:szCs w:val="17"/>
                <w:color w:val="3A4967"/>
              </w:rPr>
              <w:t>47,851</w:t>
            </w:r>
          </w:p>
        </w:tc>
        <w:tc>
          <w:tcPr>
            <w:tcW w:w="460" w:type="dxa"/>
            <w:vAlign w:val="bottom"/>
          </w:tcPr>
          <w:p>
            <w:pPr>
              <w:spacing w:after="0"/>
              <w:rPr>
                <w:sz w:val="19"/>
                <w:szCs w:val="19"/>
                <w:color w:val="auto"/>
              </w:rPr>
            </w:pPr>
          </w:p>
        </w:tc>
        <w:tc>
          <w:tcPr>
            <w:tcW w:w="960" w:type="dxa"/>
            <w:vAlign w:val="bottom"/>
          </w:tcPr>
          <w:p>
            <w:pPr>
              <w:jc w:val="right"/>
              <w:ind w:right="176"/>
              <w:spacing w:after="0"/>
              <w:rPr>
                <w:sz w:val="20"/>
                <w:szCs w:val="20"/>
                <w:color w:val="auto"/>
              </w:rPr>
            </w:pPr>
            <w:r>
              <w:rPr>
                <w:rFonts w:ascii="Arial" w:cs="Arial" w:eastAsia="Arial" w:hAnsi="Arial"/>
                <w:sz w:val="17"/>
                <w:szCs w:val="17"/>
                <w:color w:val="3A4967"/>
              </w:rPr>
              <w:t>44,206</w:t>
            </w:r>
          </w:p>
        </w:tc>
        <w:tc>
          <w:tcPr>
            <w:tcW w:w="460" w:type="dxa"/>
            <w:vAlign w:val="bottom"/>
          </w:tcPr>
          <w:p>
            <w:pPr>
              <w:spacing w:after="0"/>
              <w:rPr>
                <w:sz w:val="19"/>
                <w:szCs w:val="19"/>
                <w:color w:val="auto"/>
              </w:rPr>
            </w:pPr>
          </w:p>
        </w:tc>
        <w:tc>
          <w:tcPr>
            <w:tcW w:w="1000" w:type="dxa"/>
            <w:vAlign w:val="bottom"/>
          </w:tcPr>
          <w:p>
            <w:pPr>
              <w:jc w:val="right"/>
              <w:ind w:right="236"/>
              <w:spacing w:after="0"/>
              <w:rPr>
                <w:sz w:val="20"/>
                <w:szCs w:val="20"/>
                <w:color w:val="auto"/>
              </w:rPr>
            </w:pPr>
            <w:r>
              <w:rPr>
                <w:rFonts w:ascii="Arial" w:cs="Arial" w:eastAsia="Arial" w:hAnsi="Arial"/>
                <w:sz w:val="17"/>
                <w:szCs w:val="17"/>
                <w:color w:val="3A4967"/>
              </w:rPr>
              <w:t>15,136</w:t>
            </w:r>
          </w:p>
        </w:tc>
      </w:tr>
      <w:tr>
        <w:trPr>
          <w:trHeight w:val="291"/>
        </w:trPr>
        <w:tc>
          <w:tcPr>
            <w:tcW w:w="4400" w:type="dxa"/>
            <w:vAlign w:val="bottom"/>
          </w:tcPr>
          <w:p>
            <w:pPr>
              <w:ind w:left="80"/>
              <w:spacing w:after="0"/>
              <w:rPr>
                <w:sz w:val="20"/>
                <w:szCs w:val="20"/>
                <w:color w:val="auto"/>
              </w:rPr>
            </w:pPr>
            <w:r>
              <w:rPr>
                <w:rFonts w:ascii="Arial" w:cs="Arial" w:eastAsia="Arial" w:hAnsi="Arial"/>
                <w:sz w:val="17"/>
                <w:szCs w:val="17"/>
                <w:b w:val="1"/>
                <w:bCs w:val="1"/>
                <w:color w:val="3A4967"/>
              </w:rPr>
              <w:t>Deferred:</w:t>
            </w:r>
          </w:p>
        </w:tc>
        <w:tc>
          <w:tcPr>
            <w:tcW w:w="1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7"/>
        </w:trPr>
        <w:tc>
          <w:tcPr>
            <w:tcW w:w="4400" w:type="dxa"/>
            <w:vAlign w:val="bottom"/>
          </w:tcPr>
          <w:p>
            <w:pPr>
              <w:ind w:left="220"/>
              <w:spacing w:after="0"/>
              <w:rPr>
                <w:sz w:val="20"/>
                <w:szCs w:val="20"/>
                <w:color w:val="auto"/>
              </w:rPr>
            </w:pPr>
            <w:r>
              <w:rPr>
                <w:rFonts w:ascii="Arial" w:cs="Arial" w:eastAsia="Arial" w:hAnsi="Arial"/>
                <w:sz w:val="17"/>
                <w:szCs w:val="17"/>
                <w:color w:val="3A4967"/>
              </w:rPr>
              <w:t>Federal</w:t>
            </w:r>
          </w:p>
        </w:tc>
        <w:tc>
          <w:tcPr>
            <w:tcW w:w="1920" w:type="dxa"/>
            <w:vAlign w:val="bottom"/>
          </w:tcPr>
          <w:p>
            <w:pPr>
              <w:spacing w:after="0"/>
              <w:rPr>
                <w:sz w:val="24"/>
                <w:szCs w:val="24"/>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color w:val="3A4967"/>
              </w:rPr>
              <w:t>(17,175)</w:t>
            </w:r>
          </w:p>
        </w:tc>
        <w:tc>
          <w:tcPr>
            <w:tcW w:w="460" w:type="dxa"/>
            <w:vAlign w:val="bottom"/>
          </w:tcPr>
          <w:p>
            <w:pPr>
              <w:spacing w:after="0"/>
              <w:rPr>
                <w:sz w:val="24"/>
                <w:szCs w:val="24"/>
                <w:color w:val="auto"/>
              </w:rPr>
            </w:pPr>
          </w:p>
        </w:tc>
        <w:tc>
          <w:tcPr>
            <w:tcW w:w="960" w:type="dxa"/>
            <w:vAlign w:val="bottom"/>
          </w:tcPr>
          <w:p>
            <w:pPr>
              <w:jc w:val="right"/>
              <w:ind w:right="136"/>
              <w:spacing w:after="0"/>
              <w:rPr>
                <w:sz w:val="20"/>
                <w:szCs w:val="20"/>
                <w:color w:val="auto"/>
              </w:rPr>
            </w:pPr>
            <w:r>
              <w:rPr>
                <w:rFonts w:ascii="Arial" w:cs="Arial" w:eastAsia="Arial" w:hAnsi="Arial"/>
                <w:sz w:val="17"/>
                <w:szCs w:val="17"/>
                <w:color w:val="3A4967"/>
              </w:rPr>
              <w:t>(10,816)</w:t>
            </w:r>
          </w:p>
        </w:tc>
        <w:tc>
          <w:tcPr>
            <w:tcW w:w="460" w:type="dxa"/>
            <w:vAlign w:val="bottom"/>
          </w:tcPr>
          <w:p>
            <w:pPr>
              <w:spacing w:after="0"/>
              <w:rPr>
                <w:sz w:val="24"/>
                <w:szCs w:val="24"/>
                <w:color w:val="auto"/>
              </w:rPr>
            </w:pPr>
          </w:p>
        </w:tc>
        <w:tc>
          <w:tcPr>
            <w:tcW w:w="1000" w:type="dxa"/>
            <w:vAlign w:val="bottom"/>
          </w:tcPr>
          <w:p>
            <w:pPr>
              <w:jc w:val="right"/>
              <w:ind w:right="236"/>
              <w:spacing w:after="0"/>
              <w:rPr>
                <w:sz w:val="20"/>
                <w:szCs w:val="20"/>
                <w:color w:val="auto"/>
              </w:rPr>
            </w:pPr>
            <w:r>
              <w:rPr>
                <w:rFonts w:ascii="Arial" w:cs="Arial" w:eastAsia="Arial" w:hAnsi="Arial"/>
                <w:sz w:val="17"/>
                <w:szCs w:val="17"/>
                <w:color w:val="3A4967"/>
              </w:rPr>
              <w:t>8,196</w:t>
            </w:r>
          </w:p>
        </w:tc>
      </w:tr>
      <w:tr>
        <w:trPr>
          <w:trHeight w:val="289"/>
        </w:trPr>
        <w:tc>
          <w:tcPr>
            <w:tcW w:w="4400" w:type="dxa"/>
            <w:vAlign w:val="bottom"/>
          </w:tcPr>
          <w:p>
            <w:pPr>
              <w:ind w:left="220"/>
              <w:spacing w:after="0"/>
              <w:rPr>
                <w:sz w:val="20"/>
                <w:szCs w:val="20"/>
                <w:color w:val="auto"/>
              </w:rPr>
            </w:pPr>
            <w:r>
              <w:rPr>
                <w:rFonts w:ascii="Arial" w:cs="Arial" w:eastAsia="Arial" w:hAnsi="Arial"/>
                <w:sz w:val="17"/>
                <w:szCs w:val="17"/>
                <w:color w:val="3A4967"/>
              </w:rPr>
              <w:t>State</w:t>
            </w:r>
          </w:p>
        </w:tc>
        <w:tc>
          <w:tcPr>
            <w:tcW w:w="1920" w:type="dxa"/>
            <w:vAlign w:val="bottom"/>
          </w:tcPr>
          <w:p>
            <w:pPr>
              <w:spacing w:after="0"/>
              <w:rPr>
                <w:sz w:val="24"/>
                <w:szCs w:val="24"/>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color w:val="3A4967"/>
              </w:rPr>
              <w:t>(2,769)</w:t>
            </w:r>
          </w:p>
        </w:tc>
        <w:tc>
          <w:tcPr>
            <w:tcW w:w="460" w:type="dxa"/>
            <w:vAlign w:val="bottom"/>
          </w:tcPr>
          <w:p>
            <w:pPr>
              <w:spacing w:after="0"/>
              <w:rPr>
                <w:sz w:val="24"/>
                <w:szCs w:val="24"/>
                <w:color w:val="auto"/>
              </w:rPr>
            </w:pPr>
          </w:p>
        </w:tc>
        <w:tc>
          <w:tcPr>
            <w:tcW w:w="960" w:type="dxa"/>
            <w:vAlign w:val="bottom"/>
          </w:tcPr>
          <w:p>
            <w:pPr>
              <w:jc w:val="right"/>
              <w:ind w:right="136"/>
              <w:spacing w:after="0"/>
              <w:rPr>
                <w:sz w:val="20"/>
                <w:szCs w:val="20"/>
                <w:color w:val="auto"/>
              </w:rPr>
            </w:pPr>
            <w:r>
              <w:rPr>
                <w:rFonts w:ascii="Arial" w:cs="Arial" w:eastAsia="Arial" w:hAnsi="Arial"/>
                <w:sz w:val="17"/>
                <w:szCs w:val="17"/>
                <w:color w:val="3A4967"/>
              </w:rPr>
              <w:t>(52)</w:t>
            </w:r>
          </w:p>
        </w:tc>
        <w:tc>
          <w:tcPr>
            <w:tcW w:w="460" w:type="dxa"/>
            <w:vAlign w:val="bottom"/>
          </w:tcPr>
          <w:p>
            <w:pPr>
              <w:spacing w:after="0"/>
              <w:rPr>
                <w:sz w:val="24"/>
                <w:szCs w:val="24"/>
                <w:color w:val="auto"/>
              </w:rPr>
            </w:pPr>
          </w:p>
        </w:tc>
        <w:tc>
          <w:tcPr>
            <w:tcW w:w="1000" w:type="dxa"/>
            <w:vAlign w:val="bottom"/>
          </w:tcPr>
          <w:p>
            <w:pPr>
              <w:jc w:val="right"/>
              <w:ind w:right="236"/>
              <w:spacing w:after="0"/>
              <w:rPr>
                <w:sz w:val="20"/>
                <w:szCs w:val="20"/>
                <w:color w:val="auto"/>
              </w:rPr>
            </w:pPr>
            <w:r>
              <w:rPr>
                <w:rFonts w:ascii="Arial" w:cs="Arial" w:eastAsia="Arial" w:hAnsi="Arial"/>
                <w:sz w:val="17"/>
                <w:szCs w:val="17"/>
                <w:color w:val="3A4967"/>
              </w:rPr>
              <w:t>841</w:t>
            </w:r>
          </w:p>
        </w:tc>
      </w:tr>
      <w:tr>
        <w:trPr>
          <w:trHeight w:val="42"/>
        </w:trPr>
        <w:tc>
          <w:tcPr>
            <w:tcW w:w="4400" w:type="dxa"/>
            <w:vAlign w:val="bottom"/>
            <w:tcBorders>
              <w:bottom w:val="single" w:sz="8" w:color="3A4967"/>
            </w:tcBorders>
          </w:tcPr>
          <w:p>
            <w:pPr>
              <w:spacing w:after="0"/>
              <w:rPr>
                <w:sz w:val="3"/>
                <w:szCs w:val="3"/>
                <w:color w:val="auto"/>
              </w:rPr>
            </w:pPr>
          </w:p>
        </w:tc>
        <w:tc>
          <w:tcPr>
            <w:tcW w:w="192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460" w:type="dxa"/>
            <w:vAlign w:val="bottom"/>
            <w:tcBorders>
              <w:bottom w:val="single" w:sz="8" w:color="3A4967"/>
            </w:tcBorders>
          </w:tcPr>
          <w:p>
            <w:pPr>
              <w:spacing w:after="0"/>
              <w:rPr>
                <w:sz w:val="3"/>
                <w:szCs w:val="3"/>
                <w:color w:val="auto"/>
              </w:rPr>
            </w:pPr>
          </w:p>
        </w:tc>
        <w:tc>
          <w:tcPr>
            <w:tcW w:w="960" w:type="dxa"/>
            <w:vAlign w:val="bottom"/>
            <w:tcBorders>
              <w:bottom w:val="single" w:sz="8" w:color="3A4967"/>
            </w:tcBorders>
          </w:tcPr>
          <w:p>
            <w:pPr>
              <w:spacing w:after="0"/>
              <w:rPr>
                <w:sz w:val="3"/>
                <w:szCs w:val="3"/>
                <w:color w:val="auto"/>
              </w:rPr>
            </w:pPr>
          </w:p>
        </w:tc>
        <w:tc>
          <w:tcPr>
            <w:tcW w:w="46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r>
      <w:tr>
        <w:trPr>
          <w:trHeight w:val="228"/>
        </w:trPr>
        <w:tc>
          <w:tcPr>
            <w:tcW w:w="4400" w:type="dxa"/>
            <w:vAlign w:val="bottom"/>
          </w:tcPr>
          <w:p>
            <w:pPr>
              <w:ind w:left="80"/>
              <w:spacing w:after="0"/>
              <w:rPr>
                <w:sz w:val="20"/>
                <w:szCs w:val="20"/>
                <w:color w:val="auto"/>
              </w:rPr>
            </w:pPr>
            <w:r>
              <w:rPr>
                <w:rFonts w:ascii="Arial" w:cs="Arial" w:eastAsia="Arial" w:hAnsi="Arial"/>
                <w:sz w:val="17"/>
                <w:szCs w:val="17"/>
                <w:color w:val="3A4967"/>
              </w:rPr>
              <w:t>Total deferred</w:t>
            </w:r>
          </w:p>
        </w:tc>
        <w:tc>
          <w:tcPr>
            <w:tcW w:w="1920" w:type="dxa"/>
            <w:vAlign w:val="bottom"/>
          </w:tcPr>
          <w:p>
            <w:pPr>
              <w:spacing w:after="0"/>
              <w:rPr>
                <w:sz w:val="19"/>
                <w:szCs w:val="19"/>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3A4967"/>
              </w:rPr>
              <w:t>(19,944)</w:t>
            </w:r>
          </w:p>
        </w:tc>
        <w:tc>
          <w:tcPr>
            <w:tcW w:w="460" w:type="dxa"/>
            <w:vAlign w:val="bottom"/>
          </w:tcPr>
          <w:p>
            <w:pPr>
              <w:spacing w:after="0"/>
              <w:rPr>
                <w:sz w:val="19"/>
                <w:szCs w:val="19"/>
                <w:color w:val="auto"/>
              </w:rPr>
            </w:pPr>
          </w:p>
        </w:tc>
        <w:tc>
          <w:tcPr>
            <w:tcW w:w="960" w:type="dxa"/>
            <w:vAlign w:val="bottom"/>
          </w:tcPr>
          <w:p>
            <w:pPr>
              <w:jc w:val="right"/>
              <w:ind w:right="136"/>
              <w:spacing w:after="0"/>
              <w:rPr>
                <w:sz w:val="20"/>
                <w:szCs w:val="20"/>
                <w:color w:val="auto"/>
              </w:rPr>
            </w:pPr>
            <w:r>
              <w:rPr>
                <w:rFonts w:ascii="Arial" w:cs="Arial" w:eastAsia="Arial" w:hAnsi="Arial"/>
                <w:sz w:val="17"/>
                <w:szCs w:val="17"/>
                <w:color w:val="3A4967"/>
              </w:rPr>
              <w:t>(10,868)</w:t>
            </w:r>
          </w:p>
        </w:tc>
        <w:tc>
          <w:tcPr>
            <w:tcW w:w="460" w:type="dxa"/>
            <w:vAlign w:val="bottom"/>
          </w:tcPr>
          <w:p>
            <w:pPr>
              <w:spacing w:after="0"/>
              <w:rPr>
                <w:sz w:val="19"/>
                <w:szCs w:val="19"/>
                <w:color w:val="auto"/>
              </w:rPr>
            </w:pPr>
          </w:p>
        </w:tc>
        <w:tc>
          <w:tcPr>
            <w:tcW w:w="1000" w:type="dxa"/>
            <w:vAlign w:val="bottom"/>
          </w:tcPr>
          <w:p>
            <w:pPr>
              <w:jc w:val="right"/>
              <w:ind w:right="236"/>
              <w:spacing w:after="0"/>
              <w:rPr>
                <w:sz w:val="20"/>
                <w:szCs w:val="20"/>
                <w:color w:val="auto"/>
              </w:rPr>
            </w:pPr>
            <w:r>
              <w:rPr>
                <w:rFonts w:ascii="Arial" w:cs="Arial" w:eastAsia="Arial" w:hAnsi="Arial"/>
                <w:sz w:val="17"/>
                <w:szCs w:val="17"/>
                <w:color w:val="3A4967"/>
              </w:rPr>
              <w:t>9,037</w:t>
            </w:r>
          </w:p>
        </w:tc>
      </w:tr>
      <w:tr>
        <w:trPr>
          <w:trHeight w:val="40"/>
        </w:trPr>
        <w:tc>
          <w:tcPr>
            <w:tcW w:w="4400" w:type="dxa"/>
            <w:vAlign w:val="bottom"/>
            <w:tcBorders>
              <w:bottom w:val="single" w:sz="8" w:color="3A4967"/>
            </w:tcBorders>
          </w:tcPr>
          <w:p>
            <w:pPr>
              <w:spacing w:after="0"/>
              <w:rPr>
                <w:sz w:val="3"/>
                <w:szCs w:val="3"/>
                <w:color w:val="auto"/>
              </w:rPr>
            </w:pPr>
          </w:p>
        </w:tc>
        <w:tc>
          <w:tcPr>
            <w:tcW w:w="192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460" w:type="dxa"/>
            <w:vAlign w:val="bottom"/>
            <w:tcBorders>
              <w:bottom w:val="single" w:sz="8" w:color="3A4967"/>
            </w:tcBorders>
          </w:tcPr>
          <w:p>
            <w:pPr>
              <w:spacing w:after="0"/>
              <w:rPr>
                <w:sz w:val="3"/>
                <w:szCs w:val="3"/>
                <w:color w:val="auto"/>
              </w:rPr>
            </w:pPr>
          </w:p>
        </w:tc>
        <w:tc>
          <w:tcPr>
            <w:tcW w:w="960" w:type="dxa"/>
            <w:vAlign w:val="bottom"/>
            <w:tcBorders>
              <w:bottom w:val="single" w:sz="8" w:color="3A4967"/>
            </w:tcBorders>
          </w:tcPr>
          <w:p>
            <w:pPr>
              <w:spacing w:after="0"/>
              <w:rPr>
                <w:sz w:val="3"/>
                <w:szCs w:val="3"/>
                <w:color w:val="auto"/>
              </w:rPr>
            </w:pPr>
          </w:p>
        </w:tc>
        <w:tc>
          <w:tcPr>
            <w:tcW w:w="46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r>
      <w:tr>
        <w:trPr>
          <w:trHeight w:val="266"/>
        </w:trPr>
        <w:tc>
          <w:tcPr>
            <w:tcW w:w="440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TOTAL INCOME TAX PROVISION</w:t>
            </w:r>
          </w:p>
        </w:tc>
        <w:tc>
          <w:tcPr>
            <w:tcW w:w="1920" w:type="dxa"/>
            <w:vAlign w:val="bottom"/>
            <w:tcBorders>
              <w:bottom w:val="single" w:sz="8" w:color="3A4967"/>
            </w:tcBorders>
          </w:tcPr>
          <w:p>
            <w:pPr>
              <w:jc w:val="right"/>
              <w:ind w:right="55"/>
              <w:spacing w:after="0"/>
              <w:rPr>
                <w:sz w:val="20"/>
                <w:szCs w:val="20"/>
                <w:color w:val="auto"/>
              </w:rPr>
            </w:pPr>
            <w:r>
              <w:rPr>
                <w:rFonts w:ascii="Arial" w:cs="Arial" w:eastAsia="Arial" w:hAnsi="Arial"/>
                <w:sz w:val="17"/>
                <w:szCs w:val="17"/>
                <w:b w:val="1"/>
                <w:bCs w:val="1"/>
                <w:color w:val="3A4967"/>
              </w:rPr>
              <w:t>$</w:t>
            </w:r>
          </w:p>
        </w:tc>
        <w:tc>
          <w:tcPr>
            <w:tcW w:w="980" w:type="dxa"/>
            <w:vAlign w:val="bottom"/>
            <w:tcBorders>
              <w:bottom w:val="single" w:sz="8" w:color="3A4967"/>
            </w:tcBorders>
          </w:tcPr>
          <w:p>
            <w:pPr>
              <w:jc w:val="right"/>
              <w:ind w:right="196"/>
              <w:spacing w:after="0"/>
              <w:rPr>
                <w:sz w:val="20"/>
                <w:szCs w:val="20"/>
                <w:color w:val="auto"/>
              </w:rPr>
            </w:pPr>
            <w:r>
              <w:rPr>
                <w:rFonts w:ascii="Arial" w:cs="Arial" w:eastAsia="Arial" w:hAnsi="Arial"/>
                <w:sz w:val="17"/>
                <w:szCs w:val="17"/>
                <w:b w:val="1"/>
                <w:bCs w:val="1"/>
                <w:color w:val="3A4967"/>
              </w:rPr>
              <w:t>27,907</w:t>
            </w:r>
          </w:p>
        </w:tc>
        <w:tc>
          <w:tcPr>
            <w:tcW w:w="460" w:type="dxa"/>
            <w:vAlign w:val="bottom"/>
            <w:tcBorders>
              <w:bottom w:val="single" w:sz="8" w:color="3A4967"/>
            </w:tcBorders>
          </w:tcPr>
          <w:p>
            <w:pPr>
              <w:jc w:val="right"/>
              <w:ind w:right="35"/>
              <w:spacing w:after="0"/>
              <w:rPr>
                <w:sz w:val="20"/>
                <w:szCs w:val="20"/>
                <w:color w:val="auto"/>
              </w:rPr>
            </w:pPr>
            <w:r>
              <w:rPr>
                <w:rFonts w:ascii="Arial" w:cs="Arial" w:eastAsia="Arial" w:hAnsi="Arial"/>
                <w:sz w:val="17"/>
                <w:szCs w:val="17"/>
                <w:b w:val="1"/>
                <w:bCs w:val="1"/>
                <w:color w:val="3A4967"/>
              </w:rPr>
              <w:t>$</w:t>
            </w:r>
          </w:p>
        </w:tc>
        <w:tc>
          <w:tcPr>
            <w:tcW w:w="960" w:type="dxa"/>
            <w:vAlign w:val="bottom"/>
            <w:tcBorders>
              <w:bottom w:val="single" w:sz="8" w:color="3A4967"/>
            </w:tcBorders>
          </w:tcPr>
          <w:p>
            <w:pPr>
              <w:jc w:val="right"/>
              <w:ind w:right="176"/>
              <w:spacing w:after="0"/>
              <w:rPr>
                <w:sz w:val="20"/>
                <w:szCs w:val="20"/>
                <w:color w:val="auto"/>
              </w:rPr>
            </w:pPr>
            <w:r>
              <w:rPr>
                <w:rFonts w:ascii="Arial" w:cs="Arial" w:eastAsia="Arial" w:hAnsi="Arial"/>
                <w:sz w:val="17"/>
                <w:szCs w:val="17"/>
                <w:b w:val="1"/>
                <w:bCs w:val="1"/>
                <w:color w:val="3A4967"/>
              </w:rPr>
              <w:t>33,338</w:t>
            </w:r>
          </w:p>
        </w:tc>
        <w:tc>
          <w:tcPr>
            <w:tcW w:w="460" w:type="dxa"/>
            <w:vAlign w:val="bottom"/>
            <w:tcBorders>
              <w:bottom w:val="single" w:sz="8" w:color="3A4967"/>
            </w:tcBorders>
          </w:tcPr>
          <w:p>
            <w:pPr>
              <w:jc w:val="right"/>
              <w:ind w:right="55"/>
              <w:spacing w:after="0"/>
              <w:rPr>
                <w:sz w:val="20"/>
                <w:szCs w:val="20"/>
                <w:color w:val="auto"/>
              </w:rPr>
            </w:pPr>
            <w:r>
              <w:rPr>
                <w:rFonts w:ascii="Arial" w:cs="Arial" w:eastAsia="Arial" w:hAnsi="Arial"/>
                <w:sz w:val="17"/>
                <w:szCs w:val="17"/>
                <w:b w:val="1"/>
                <w:bCs w:val="1"/>
                <w:color w:val="3A4967"/>
              </w:rPr>
              <w:t>$</w:t>
            </w:r>
          </w:p>
        </w:tc>
        <w:tc>
          <w:tcPr>
            <w:tcW w:w="1000" w:type="dxa"/>
            <w:vAlign w:val="bottom"/>
            <w:tcBorders>
              <w:bottom w:val="single" w:sz="8" w:color="3A4967"/>
            </w:tcBorders>
          </w:tcPr>
          <w:p>
            <w:pPr>
              <w:jc w:val="right"/>
              <w:ind w:right="236"/>
              <w:spacing w:after="0"/>
              <w:rPr>
                <w:sz w:val="20"/>
                <w:szCs w:val="20"/>
                <w:color w:val="auto"/>
              </w:rPr>
            </w:pPr>
            <w:r>
              <w:rPr>
                <w:rFonts w:ascii="Arial" w:cs="Arial" w:eastAsia="Arial" w:hAnsi="Arial"/>
                <w:sz w:val="17"/>
                <w:szCs w:val="17"/>
                <w:b w:val="1"/>
                <w:bCs w:val="1"/>
                <w:color w:val="3A4967"/>
              </w:rPr>
              <w:t>24,173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-1664335</wp:posOffset>
            </wp:positionV>
            <wp:extent cx="6478905" cy="1659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478905" cy="1659890"/>
                    </a:xfrm>
                    <a:prstGeom prst="rect">
                      <a:avLst/>
                    </a:prstGeom>
                    <a:noFill/>
                  </pic:spPr>
                </pic:pic>
              </a:graphicData>
            </a:graphic>
          </wp:anchor>
        </w:drawing>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The reconciliations to statutory rates for fiscal 2024, 2023, and 2022 were as follows:</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98"/>
        </w:trPr>
        <w:tc>
          <w:tcPr>
            <w:tcW w:w="6140" w:type="dxa"/>
            <w:vAlign w:val="bottom"/>
          </w:tcPr>
          <w:p>
            <w:pPr>
              <w:spacing w:after="0"/>
              <w:rPr>
                <w:sz w:val="17"/>
                <w:szCs w:val="17"/>
                <w:color w:val="auto"/>
              </w:rPr>
            </w:pPr>
          </w:p>
        </w:tc>
        <w:tc>
          <w:tcPr>
            <w:tcW w:w="1500" w:type="dxa"/>
            <w:vAlign w:val="bottom"/>
          </w:tcPr>
          <w:p>
            <w:pPr>
              <w:jc w:val="right"/>
              <w:ind w:right="556"/>
              <w:spacing w:after="0"/>
              <w:rPr>
                <w:sz w:val="20"/>
                <w:szCs w:val="20"/>
                <w:color w:val="auto"/>
              </w:rPr>
            </w:pPr>
            <w:r>
              <w:rPr>
                <w:rFonts w:ascii="Arial" w:cs="Arial" w:eastAsia="Arial" w:hAnsi="Arial"/>
                <w:sz w:val="16"/>
                <w:szCs w:val="16"/>
                <w:b w:val="1"/>
                <w:bCs w:val="1"/>
                <w:color w:val="3A4967"/>
              </w:rPr>
              <w:t>2024</w:t>
            </w:r>
          </w:p>
        </w:tc>
        <w:tc>
          <w:tcPr>
            <w:tcW w:w="1440" w:type="dxa"/>
            <w:vAlign w:val="bottom"/>
          </w:tcPr>
          <w:p>
            <w:pPr>
              <w:jc w:val="right"/>
              <w:ind w:right="536"/>
              <w:spacing w:after="0"/>
              <w:rPr>
                <w:sz w:val="20"/>
                <w:szCs w:val="20"/>
                <w:color w:val="auto"/>
              </w:rPr>
            </w:pPr>
            <w:r>
              <w:rPr>
                <w:rFonts w:ascii="Arial" w:cs="Arial" w:eastAsia="Arial" w:hAnsi="Arial"/>
                <w:sz w:val="16"/>
                <w:szCs w:val="16"/>
                <w:b w:val="1"/>
                <w:bCs w:val="1"/>
                <w:color w:val="3A4967"/>
              </w:rPr>
              <w:t>2023</w:t>
            </w:r>
          </w:p>
        </w:tc>
        <w:tc>
          <w:tcPr>
            <w:tcW w:w="1080" w:type="dxa"/>
            <w:vAlign w:val="bottom"/>
          </w:tcPr>
          <w:p>
            <w:pPr>
              <w:jc w:val="right"/>
              <w:ind w:right="216"/>
              <w:spacing w:after="0"/>
              <w:rPr>
                <w:sz w:val="20"/>
                <w:szCs w:val="20"/>
                <w:color w:val="auto"/>
              </w:rPr>
            </w:pPr>
            <w:r>
              <w:rPr>
                <w:rFonts w:ascii="Arial" w:cs="Arial" w:eastAsia="Arial" w:hAnsi="Arial"/>
                <w:sz w:val="16"/>
                <w:szCs w:val="16"/>
                <w:b w:val="1"/>
                <w:bCs w:val="1"/>
                <w:color w:val="3A4967"/>
              </w:rPr>
              <w:t>2022</w:t>
            </w:r>
          </w:p>
        </w:tc>
      </w:tr>
      <w:tr>
        <w:trPr>
          <w:trHeight w:val="36"/>
        </w:trPr>
        <w:tc>
          <w:tcPr>
            <w:tcW w:w="6140" w:type="dxa"/>
            <w:vAlign w:val="bottom"/>
            <w:tcBorders>
              <w:bottom w:val="single" w:sz="8" w:color="3A4967"/>
            </w:tcBorders>
          </w:tcPr>
          <w:p>
            <w:pPr>
              <w:spacing w:after="0"/>
              <w:rPr>
                <w:sz w:val="3"/>
                <w:szCs w:val="3"/>
                <w:color w:val="auto"/>
              </w:rPr>
            </w:pPr>
          </w:p>
        </w:tc>
        <w:tc>
          <w:tcPr>
            <w:tcW w:w="1500" w:type="dxa"/>
            <w:vAlign w:val="bottom"/>
            <w:tcBorders>
              <w:bottom w:val="single" w:sz="8" w:color="3A4967"/>
            </w:tcBorders>
          </w:tcPr>
          <w:p>
            <w:pPr>
              <w:spacing w:after="0"/>
              <w:rPr>
                <w:sz w:val="3"/>
                <w:szCs w:val="3"/>
                <w:color w:val="auto"/>
              </w:rPr>
            </w:pPr>
          </w:p>
        </w:tc>
        <w:tc>
          <w:tcPr>
            <w:tcW w:w="1440" w:type="dxa"/>
            <w:vAlign w:val="bottom"/>
            <w:tcBorders>
              <w:bottom w:val="single" w:sz="8" w:color="3A4967"/>
            </w:tcBorders>
          </w:tcPr>
          <w:p>
            <w:pPr>
              <w:spacing w:after="0"/>
              <w:rPr>
                <w:sz w:val="3"/>
                <w:szCs w:val="3"/>
                <w:color w:val="auto"/>
              </w:rPr>
            </w:pPr>
          </w:p>
        </w:tc>
        <w:tc>
          <w:tcPr>
            <w:tcW w:w="1080" w:type="dxa"/>
            <w:vAlign w:val="bottom"/>
            <w:tcBorders>
              <w:bottom w:val="single" w:sz="8" w:color="3A4967"/>
            </w:tcBorders>
          </w:tcPr>
          <w:p>
            <w:pPr>
              <w:spacing w:after="0"/>
              <w:rPr>
                <w:sz w:val="3"/>
                <w:szCs w:val="3"/>
                <w:color w:val="auto"/>
              </w:rPr>
            </w:pPr>
          </w:p>
        </w:tc>
      </w:tr>
      <w:tr>
        <w:trPr>
          <w:trHeight w:val="227"/>
        </w:trPr>
        <w:tc>
          <w:tcPr>
            <w:tcW w:w="6140" w:type="dxa"/>
            <w:vAlign w:val="bottom"/>
          </w:tcPr>
          <w:p>
            <w:pPr>
              <w:ind w:left="80"/>
              <w:spacing w:after="0"/>
              <w:rPr>
                <w:sz w:val="20"/>
                <w:szCs w:val="20"/>
                <w:color w:val="auto"/>
              </w:rPr>
            </w:pPr>
            <w:r>
              <w:rPr>
                <w:rFonts w:ascii="Arial" w:cs="Arial" w:eastAsia="Arial" w:hAnsi="Arial"/>
                <w:sz w:val="17"/>
                <w:szCs w:val="17"/>
                <w:color w:val="3A4967"/>
              </w:rPr>
              <w:t>Statutory rate</w:t>
            </w:r>
          </w:p>
        </w:tc>
        <w:tc>
          <w:tcPr>
            <w:tcW w:w="1500" w:type="dxa"/>
            <w:vAlign w:val="bottom"/>
          </w:tcPr>
          <w:p>
            <w:pPr>
              <w:jc w:val="right"/>
              <w:ind w:right="396"/>
              <w:spacing w:after="0"/>
              <w:rPr>
                <w:sz w:val="20"/>
                <w:szCs w:val="20"/>
                <w:color w:val="auto"/>
              </w:rPr>
            </w:pPr>
            <w:r>
              <w:rPr>
                <w:rFonts w:ascii="Arial" w:cs="Arial" w:eastAsia="Arial" w:hAnsi="Arial"/>
                <w:sz w:val="17"/>
                <w:szCs w:val="17"/>
                <w:color w:val="3A4967"/>
              </w:rPr>
              <w:t>21.0%</w:t>
            </w:r>
          </w:p>
        </w:tc>
        <w:tc>
          <w:tcPr>
            <w:tcW w:w="1440" w:type="dxa"/>
            <w:vAlign w:val="bottom"/>
          </w:tcPr>
          <w:p>
            <w:pPr>
              <w:jc w:val="right"/>
              <w:ind w:right="376"/>
              <w:spacing w:after="0"/>
              <w:rPr>
                <w:sz w:val="20"/>
                <w:szCs w:val="20"/>
                <w:color w:val="auto"/>
              </w:rPr>
            </w:pPr>
            <w:r>
              <w:rPr>
                <w:rFonts w:ascii="Arial" w:cs="Arial" w:eastAsia="Arial" w:hAnsi="Arial"/>
                <w:sz w:val="17"/>
                <w:szCs w:val="17"/>
                <w:color w:val="3A4967"/>
              </w:rPr>
              <w:t>21.0 %</w:t>
            </w:r>
          </w:p>
        </w:tc>
        <w:tc>
          <w:tcPr>
            <w:tcW w:w="1080" w:type="dxa"/>
            <w:vAlign w:val="bottom"/>
          </w:tcPr>
          <w:p>
            <w:pPr>
              <w:jc w:val="right"/>
              <w:ind w:right="36"/>
              <w:spacing w:after="0"/>
              <w:rPr>
                <w:sz w:val="20"/>
                <w:szCs w:val="20"/>
                <w:color w:val="auto"/>
              </w:rPr>
            </w:pPr>
            <w:r>
              <w:rPr>
                <w:rFonts w:ascii="Arial" w:cs="Arial" w:eastAsia="Arial" w:hAnsi="Arial"/>
                <w:sz w:val="17"/>
                <w:szCs w:val="17"/>
                <w:color w:val="3A4967"/>
              </w:rPr>
              <w:t>21.0 %</w:t>
            </w:r>
          </w:p>
        </w:tc>
      </w:tr>
      <w:tr>
        <w:trPr>
          <w:trHeight w:val="281"/>
        </w:trPr>
        <w:tc>
          <w:tcPr>
            <w:tcW w:w="6140" w:type="dxa"/>
            <w:vAlign w:val="bottom"/>
          </w:tcPr>
          <w:p>
            <w:pPr>
              <w:ind w:left="80"/>
              <w:spacing w:after="0"/>
              <w:rPr>
                <w:sz w:val="20"/>
                <w:szCs w:val="20"/>
                <w:color w:val="auto"/>
              </w:rPr>
            </w:pPr>
            <w:r>
              <w:rPr>
                <w:rFonts w:ascii="Arial" w:cs="Arial" w:eastAsia="Arial" w:hAnsi="Arial"/>
                <w:sz w:val="17"/>
                <w:szCs w:val="17"/>
                <w:color w:val="3A4967"/>
              </w:rPr>
              <w:t>State income taxes, net of federal benefit</w:t>
            </w:r>
          </w:p>
        </w:tc>
        <w:tc>
          <w:tcPr>
            <w:tcW w:w="1500" w:type="dxa"/>
            <w:vAlign w:val="bottom"/>
          </w:tcPr>
          <w:p>
            <w:pPr>
              <w:jc w:val="right"/>
              <w:ind w:right="556"/>
              <w:spacing w:after="0"/>
              <w:rPr>
                <w:sz w:val="20"/>
                <w:szCs w:val="20"/>
                <w:color w:val="auto"/>
              </w:rPr>
            </w:pPr>
            <w:r>
              <w:rPr>
                <w:rFonts w:ascii="Arial" w:cs="Arial" w:eastAsia="Arial" w:hAnsi="Arial"/>
                <w:sz w:val="17"/>
                <w:szCs w:val="17"/>
                <w:color w:val="3A4967"/>
              </w:rPr>
              <w:t>5.5</w:t>
            </w:r>
          </w:p>
        </w:tc>
        <w:tc>
          <w:tcPr>
            <w:tcW w:w="1440" w:type="dxa"/>
            <w:vAlign w:val="bottom"/>
          </w:tcPr>
          <w:p>
            <w:pPr>
              <w:jc w:val="right"/>
              <w:ind w:right="536"/>
              <w:spacing w:after="0"/>
              <w:rPr>
                <w:sz w:val="20"/>
                <w:szCs w:val="20"/>
                <w:color w:val="auto"/>
              </w:rPr>
            </w:pPr>
            <w:r>
              <w:rPr>
                <w:rFonts w:ascii="Arial" w:cs="Arial" w:eastAsia="Arial" w:hAnsi="Arial"/>
                <w:sz w:val="17"/>
                <w:szCs w:val="17"/>
                <w:color w:val="3A4967"/>
              </w:rPr>
              <w:t>4.8</w:t>
            </w:r>
          </w:p>
        </w:tc>
        <w:tc>
          <w:tcPr>
            <w:tcW w:w="1080" w:type="dxa"/>
            <w:vAlign w:val="bottom"/>
          </w:tcPr>
          <w:p>
            <w:pPr>
              <w:jc w:val="right"/>
              <w:ind w:right="216"/>
              <w:spacing w:after="0"/>
              <w:rPr>
                <w:sz w:val="20"/>
                <w:szCs w:val="20"/>
                <w:color w:val="auto"/>
              </w:rPr>
            </w:pPr>
            <w:r>
              <w:rPr>
                <w:rFonts w:ascii="Arial" w:cs="Arial" w:eastAsia="Arial" w:hAnsi="Arial"/>
                <w:sz w:val="17"/>
                <w:szCs w:val="17"/>
                <w:color w:val="3A4967"/>
              </w:rPr>
              <w:t>4.1</w:t>
            </w:r>
          </w:p>
        </w:tc>
      </w:tr>
      <w:tr>
        <w:trPr>
          <w:trHeight w:val="289"/>
        </w:trPr>
        <w:tc>
          <w:tcPr>
            <w:tcW w:w="6140" w:type="dxa"/>
            <w:vAlign w:val="bottom"/>
          </w:tcPr>
          <w:p>
            <w:pPr>
              <w:ind w:left="80"/>
              <w:spacing w:after="0"/>
              <w:rPr>
                <w:sz w:val="20"/>
                <w:szCs w:val="20"/>
                <w:color w:val="auto"/>
              </w:rPr>
            </w:pPr>
            <w:r>
              <w:rPr>
                <w:rFonts w:ascii="Arial" w:cs="Arial" w:eastAsia="Arial" w:hAnsi="Arial"/>
                <w:sz w:val="17"/>
                <w:szCs w:val="17"/>
                <w:color w:val="3A4967"/>
              </w:rPr>
              <w:t>Non-deductible compensation under Internal Revenue Code Section 162(m)</w:t>
            </w:r>
          </w:p>
        </w:tc>
        <w:tc>
          <w:tcPr>
            <w:tcW w:w="1500" w:type="dxa"/>
            <w:vAlign w:val="bottom"/>
          </w:tcPr>
          <w:p>
            <w:pPr>
              <w:jc w:val="right"/>
              <w:ind w:right="556"/>
              <w:spacing w:after="0"/>
              <w:rPr>
                <w:sz w:val="20"/>
                <w:szCs w:val="20"/>
                <w:color w:val="auto"/>
              </w:rPr>
            </w:pPr>
            <w:r>
              <w:rPr>
                <w:rFonts w:ascii="Arial" w:cs="Arial" w:eastAsia="Arial" w:hAnsi="Arial"/>
                <w:sz w:val="17"/>
                <w:szCs w:val="17"/>
                <w:color w:val="3A4967"/>
              </w:rPr>
              <w:t>1.1</w:t>
            </w:r>
          </w:p>
        </w:tc>
        <w:tc>
          <w:tcPr>
            <w:tcW w:w="1440" w:type="dxa"/>
            <w:vAlign w:val="bottom"/>
          </w:tcPr>
          <w:p>
            <w:pPr>
              <w:jc w:val="right"/>
              <w:ind w:right="536"/>
              <w:spacing w:after="0"/>
              <w:rPr>
                <w:sz w:val="20"/>
                <w:szCs w:val="20"/>
                <w:color w:val="auto"/>
              </w:rPr>
            </w:pPr>
            <w:r>
              <w:rPr>
                <w:rFonts w:ascii="Arial" w:cs="Arial" w:eastAsia="Arial" w:hAnsi="Arial"/>
                <w:sz w:val="17"/>
                <w:szCs w:val="17"/>
                <w:color w:val="3A4967"/>
              </w:rPr>
              <w:t>3.4</w:t>
            </w:r>
          </w:p>
        </w:tc>
        <w:tc>
          <w:tcPr>
            <w:tcW w:w="1080" w:type="dxa"/>
            <w:vAlign w:val="bottom"/>
          </w:tcPr>
          <w:p>
            <w:pPr>
              <w:jc w:val="right"/>
              <w:ind w:right="216"/>
              <w:spacing w:after="0"/>
              <w:rPr>
                <w:sz w:val="20"/>
                <w:szCs w:val="20"/>
                <w:color w:val="auto"/>
              </w:rPr>
            </w:pPr>
            <w:r>
              <w:rPr>
                <w:rFonts w:ascii="Arial" w:cs="Arial" w:eastAsia="Arial" w:hAnsi="Arial"/>
                <w:sz w:val="17"/>
                <w:szCs w:val="17"/>
                <w:color w:val="3A4967"/>
              </w:rPr>
              <w:t>0.2</w:t>
            </w:r>
          </w:p>
        </w:tc>
      </w:tr>
      <w:tr>
        <w:trPr>
          <w:trHeight w:val="289"/>
        </w:trPr>
        <w:tc>
          <w:tcPr>
            <w:tcW w:w="6140" w:type="dxa"/>
            <w:vAlign w:val="bottom"/>
          </w:tcPr>
          <w:p>
            <w:pPr>
              <w:ind w:left="80"/>
              <w:spacing w:after="0"/>
              <w:rPr>
                <w:sz w:val="20"/>
                <w:szCs w:val="20"/>
                <w:color w:val="auto"/>
              </w:rPr>
            </w:pPr>
            <w:r>
              <w:rPr>
                <w:rFonts w:ascii="Arial" w:cs="Arial" w:eastAsia="Arial" w:hAnsi="Arial"/>
                <w:sz w:val="17"/>
                <w:szCs w:val="17"/>
                <w:color w:val="3A4967"/>
              </w:rPr>
              <w:t>Non-deductible meals &amp; entertainment</w:t>
            </w:r>
          </w:p>
        </w:tc>
        <w:tc>
          <w:tcPr>
            <w:tcW w:w="1500" w:type="dxa"/>
            <w:vAlign w:val="bottom"/>
          </w:tcPr>
          <w:p>
            <w:pPr>
              <w:jc w:val="right"/>
              <w:ind w:right="556"/>
              <w:spacing w:after="0"/>
              <w:rPr>
                <w:sz w:val="20"/>
                <w:szCs w:val="20"/>
                <w:color w:val="auto"/>
              </w:rPr>
            </w:pPr>
            <w:r>
              <w:rPr>
                <w:rFonts w:ascii="Arial" w:cs="Arial" w:eastAsia="Arial" w:hAnsi="Arial"/>
                <w:sz w:val="17"/>
                <w:szCs w:val="17"/>
                <w:color w:val="3A4967"/>
              </w:rPr>
              <w:t>2.1</w:t>
            </w:r>
          </w:p>
        </w:tc>
        <w:tc>
          <w:tcPr>
            <w:tcW w:w="1440" w:type="dxa"/>
            <w:vAlign w:val="bottom"/>
          </w:tcPr>
          <w:p>
            <w:pPr>
              <w:jc w:val="right"/>
              <w:ind w:right="536"/>
              <w:spacing w:after="0"/>
              <w:rPr>
                <w:sz w:val="20"/>
                <w:szCs w:val="20"/>
                <w:color w:val="auto"/>
              </w:rPr>
            </w:pPr>
            <w:r>
              <w:rPr>
                <w:rFonts w:ascii="Arial" w:cs="Arial" w:eastAsia="Arial" w:hAnsi="Arial"/>
                <w:sz w:val="17"/>
                <w:szCs w:val="17"/>
                <w:color w:val="3A4967"/>
              </w:rPr>
              <w:t>1.2</w:t>
            </w:r>
          </w:p>
        </w:tc>
        <w:tc>
          <w:tcPr>
            <w:tcW w:w="1080" w:type="dxa"/>
            <w:vAlign w:val="bottom"/>
          </w:tcPr>
          <w:p>
            <w:pPr>
              <w:jc w:val="right"/>
              <w:ind w:right="216"/>
              <w:spacing w:after="0"/>
              <w:rPr>
                <w:sz w:val="20"/>
                <w:szCs w:val="20"/>
                <w:color w:val="auto"/>
              </w:rPr>
            </w:pPr>
            <w:r>
              <w:rPr>
                <w:rFonts w:ascii="Arial" w:cs="Arial" w:eastAsia="Arial" w:hAnsi="Arial"/>
                <w:sz w:val="17"/>
                <w:szCs w:val="17"/>
                <w:color w:val="3A4967"/>
              </w:rPr>
              <w:t>0.6</w:t>
            </w:r>
          </w:p>
        </w:tc>
      </w:tr>
      <w:tr>
        <w:trPr>
          <w:trHeight w:val="289"/>
        </w:trPr>
        <w:tc>
          <w:tcPr>
            <w:tcW w:w="6140" w:type="dxa"/>
            <w:vAlign w:val="bottom"/>
          </w:tcPr>
          <w:p>
            <w:pPr>
              <w:ind w:left="80"/>
              <w:spacing w:after="0"/>
              <w:rPr>
                <w:sz w:val="20"/>
                <w:szCs w:val="20"/>
                <w:color w:val="auto"/>
              </w:rPr>
            </w:pPr>
            <w:r>
              <w:rPr>
                <w:rFonts w:ascii="Arial" w:cs="Arial" w:eastAsia="Arial" w:hAnsi="Arial"/>
                <w:sz w:val="17"/>
                <w:szCs w:val="17"/>
                <w:color w:val="3A4967"/>
              </w:rPr>
              <w:t>Change in valuation allowance</w:t>
            </w:r>
          </w:p>
        </w:tc>
        <w:tc>
          <w:tcPr>
            <w:tcW w:w="1500" w:type="dxa"/>
            <w:vAlign w:val="bottom"/>
          </w:tcPr>
          <w:p>
            <w:pPr>
              <w:jc w:val="right"/>
              <w:ind w:right="556"/>
              <w:spacing w:after="0"/>
              <w:rPr>
                <w:sz w:val="20"/>
                <w:szCs w:val="20"/>
                <w:color w:val="auto"/>
              </w:rPr>
            </w:pPr>
            <w:r>
              <w:rPr>
                <w:rFonts w:ascii="Arial" w:cs="Arial" w:eastAsia="Arial" w:hAnsi="Arial"/>
                <w:sz w:val="17"/>
                <w:szCs w:val="17"/>
                <w:color w:val="3A4967"/>
              </w:rPr>
              <w:t>3.0</w:t>
            </w:r>
          </w:p>
        </w:tc>
        <w:tc>
          <w:tcPr>
            <w:tcW w:w="1440" w:type="dxa"/>
            <w:vAlign w:val="bottom"/>
          </w:tcPr>
          <w:p>
            <w:pPr>
              <w:jc w:val="right"/>
              <w:ind w:right="536"/>
              <w:spacing w:after="0"/>
              <w:rPr>
                <w:sz w:val="20"/>
                <w:szCs w:val="20"/>
                <w:color w:val="auto"/>
              </w:rPr>
            </w:pPr>
            <w:r>
              <w:rPr>
                <w:rFonts w:ascii="Arial" w:cs="Arial" w:eastAsia="Arial" w:hAnsi="Arial"/>
                <w:sz w:val="17"/>
                <w:szCs w:val="17"/>
                <w:color w:val="3A4967"/>
              </w:rPr>
              <w:t>1.0</w:t>
            </w:r>
          </w:p>
        </w:tc>
        <w:tc>
          <w:tcPr>
            <w:tcW w:w="1080" w:type="dxa"/>
            <w:vAlign w:val="bottom"/>
          </w:tcPr>
          <w:p>
            <w:pPr>
              <w:jc w:val="right"/>
              <w:ind w:right="216"/>
              <w:spacing w:after="0"/>
              <w:rPr>
                <w:sz w:val="20"/>
                <w:szCs w:val="20"/>
                <w:color w:val="auto"/>
              </w:rPr>
            </w:pPr>
            <w:r>
              <w:rPr>
                <w:rFonts w:ascii="Arial" w:cs="Arial" w:eastAsia="Arial" w:hAnsi="Arial"/>
                <w:sz w:val="17"/>
                <w:szCs w:val="17"/>
                <w:color w:val="3A4967"/>
              </w:rPr>
              <w:t>1.2</w:t>
            </w:r>
          </w:p>
        </w:tc>
      </w:tr>
      <w:tr>
        <w:trPr>
          <w:trHeight w:val="289"/>
        </w:trPr>
        <w:tc>
          <w:tcPr>
            <w:tcW w:w="6140" w:type="dxa"/>
            <w:vAlign w:val="bottom"/>
          </w:tcPr>
          <w:p>
            <w:pPr>
              <w:ind w:left="80"/>
              <w:spacing w:after="0"/>
              <w:rPr>
                <w:sz w:val="20"/>
                <w:szCs w:val="20"/>
                <w:color w:val="auto"/>
              </w:rPr>
            </w:pPr>
            <w:r>
              <w:rPr>
                <w:rFonts w:ascii="Arial" w:cs="Arial" w:eastAsia="Arial" w:hAnsi="Arial"/>
                <w:sz w:val="17"/>
                <w:szCs w:val="17"/>
                <w:color w:val="3A4967"/>
              </w:rPr>
              <w:t>Deduction relating to excess stock-based compensation</w:t>
            </w:r>
          </w:p>
        </w:tc>
        <w:tc>
          <w:tcPr>
            <w:tcW w:w="1500" w:type="dxa"/>
            <w:vAlign w:val="bottom"/>
          </w:tcPr>
          <w:p>
            <w:pPr>
              <w:jc w:val="right"/>
              <w:ind w:right="556"/>
              <w:spacing w:after="0"/>
              <w:rPr>
                <w:sz w:val="20"/>
                <w:szCs w:val="20"/>
                <w:color w:val="auto"/>
              </w:rPr>
            </w:pPr>
            <w:r>
              <w:rPr>
                <w:rFonts w:ascii="Arial" w:cs="Arial" w:eastAsia="Arial" w:hAnsi="Arial"/>
                <w:sz w:val="17"/>
                <w:szCs w:val="17"/>
                <w:color w:val="3A4967"/>
              </w:rPr>
              <w:t>0.6</w:t>
            </w:r>
          </w:p>
        </w:tc>
        <w:tc>
          <w:tcPr>
            <w:tcW w:w="1440" w:type="dxa"/>
            <w:vAlign w:val="bottom"/>
          </w:tcPr>
          <w:p>
            <w:pPr>
              <w:jc w:val="right"/>
              <w:ind w:right="536"/>
              <w:spacing w:after="0"/>
              <w:rPr>
                <w:sz w:val="20"/>
                <w:szCs w:val="20"/>
                <w:color w:val="auto"/>
              </w:rPr>
            </w:pPr>
            <w:r>
              <w:rPr>
                <w:rFonts w:ascii="Arial" w:cs="Arial" w:eastAsia="Arial" w:hAnsi="Arial"/>
                <w:sz w:val="17"/>
                <w:szCs w:val="17"/>
                <w:color w:val="3A4967"/>
              </w:rPr>
              <w:t>0.1</w:t>
            </w:r>
          </w:p>
        </w:tc>
        <w:tc>
          <w:tcPr>
            <w:tcW w:w="1080" w:type="dxa"/>
            <w:vAlign w:val="bottom"/>
          </w:tcPr>
          <w:p>
            <w:pPr>
              <w:jc w:val="right"/>
              <w:ind w:right="156"/>
              <w:spacing w:after="0"/>
              <w:rPr>
                <w:sz w:val="20"/>
                <w:szCs w:val="20"/>
                <w:color w:val="auto"/>
              </w:rPr>
            </w:pPr>
            <w:r>
              <w:rPr>
                <w:rFonts w:ascii="Arial" w:cs="Arial" w:eastAsia="Arial" w:hAnsi="Arial"/>
                <w:sz w:val="17"/>
                <w:szCs w:val="17"/>
                <w:color w:val="3A4967"/>
              </w:rPr>
              <w:t>(0.9 )</w:t>
            </w:r>
          </w:p>
        </w:tc>
      </w:tr>
      <w:tr>
        <w:trPr>
          <w:trHeight w:val="289"/>
        </w:trPr>
        <w:tc>
          <w:tcPr>
            <w:tcW w:w="6140" w:type="dxa"/>
            <w:vAlign w:val="bottom"/>
          </w:tcPr>
          <w:p>
            <w:pPr>
              <w:ind w:left="80"/>
              <w:spacing w:after="0"/>
              <w:rPr>
                <w:sz w:val="20"/>
                <w:szCs w:val="20"/>
                <w:color w:val="auto"/>
              </w:rPr>
            </w:pPr>
            <w:r>
              <w:rPr>
                <w:rFonts w:ascii="Arial" w:cs="Arial" w:eastAsia="Arial" w:hAnsi="Arial"/>
                <w:sz w:val="17"/>
                <w:szCs w:val="17"/>
                <w:color w:val="3A4967"/>
              </w:rPr>
              <w:t>Other</w:t>
            </w:r>
          </w:p>
        </w:tc>
        <w:tc>
          <w:tcPr>
            <w:tcW w:w="1500" w:type="dxa"/>
            <w:vAlign w:val="bottom"/>
          </w:tcPr>
          <w:p>
            <w:pPr>
              <w:jc w:val="right"/>
              <w:ind w:right="516"/>
              <w:spacing w:after="0"/>
              <w:rPr>
                <w:sz w:val="20"/>
                <w:szCs w:val="20"/>
                <w:color w:val="auto"/>
              </w:rPr>
            </w:pPr>
            <w:r>
              <w:rPr>
                <w:rFonts w:ascii="Arial" w:cs="Arial" w:eastAsia="Arial" w:hAnsi="Arial"/>
                <w:sz w:val="17"/>
                <w:szCs w:val="17"/>
                <w:color w:val="3A4967"/>
              </w:rPr>
              <w:t>(1.4)</w:t>
            </w:r>
          </w:p>
        </w:tc>
        <w:tc>
          <w:tcPr>
            <w:tcW w:w="1440" w:type="dxa"/>
            <w:vAlign w:val="bottom"/>
          </w:tcPr>
          <w:p>
            <w:pPr>
              <w:jc w:val="right"/>
              <w:ind w:right="476"/>
              <w:spacing w:after="0"/>
              <w:rPr>
                <w:sz w:val="20"/>
                <w:szCs w:val="20"/>
                <w:color w:val="auto"/>
              </w:rPr>
            </w:pPr>
            <w:r>
              <w:rPr>
                <w:rFonts w:ascii="Arial" w:cs="Arial" w:eastAsia="Arial" w:hAnsi="Arial"/>
                <w:sz w:val="17"/>
                <w:szCs w:val="17"/>
                <w:color w:val="3A4967"/>
              </w:rPr>
              <w:t>(1.1 )</w:t>
            </w:r>
          </w:p>
        </w:tc>
        <w:tc>
          <w:tcPr>
            <w:tcW w:w="1080" w:type="dxa"/>
            <w:vAlign w:val="bottom"/>
          </w:tcPr>
          <w:p>
            <w:pPr>
              <w:jc w:val="right"/>
              <w:ind w:right="216"/>
              <w:spacing w:after="0"/>
              <w:rPr>
                <w:sz w:val="20"/>
                <w:szCs w:val="20"/>
                <w:color w:val="auto"/>
              </w:rPr>
            </w:pPr>
            <w:r>
              <w:rPr>
                <w:rFonts w:ascii="Arial" w:cs="Arial" w:eastAsia="Arial" w:hAnsi="Arial"/>
                <w:sz w:val="17"/>
                <w:szCs w:val="17"/>
                <w:color w:val="3A4967"/>
              </w:rPr>
              <w:t>0.2</w:t>
            </w:r>
          </w:p>
        </w:tc>
      </w:tr>
      <w:tr>
        <w:trPr>
          <w:trHeight w:val="35"/>
        </w:trPr>
        <w:tc>
          <w:tcPr>
            <w:tcW w:w="6140" w:type="dxa"/>
            <w:vAlign w:val="bottom"/>
            <w:tcBorders>
              <w:bottom w:val="single" w:sz="8" w:color="3A4967"/>
            </w:tcBorders>
          </w:tcPr>
          <w:p>
            <w:pPr>
              <w:spacing w:after="0"/>
              <w:rPr>
                <w:sz w:val="3"/>
                <w:szCs w:val="3"/>
                <w:color w:val="auto"/>
              </w:rPr>
            </w:pPr>
          </w:p>
        </w:tc>
        <w:tc>
          <w:tcPr>
            <w:tcW w:w="1500" w:type="dxa"/>
            <w:vAlign w:val="bottom"/>
            <w:tcBorders>
              <w:bottom w:val="single" w:sz="8" w:color="3A4967"/>
            </w:tcBorders>
          </w:tcPr>
          <w:p>
            <w:pPr>
              <w:spacing w:after="0"/>
              <w:rPr>
                <w:sz w:val="3"/>
                <w:szCs w:val="3"/>
                <w:color w:val="auto"/>
              </w:rPr>
            </w:pPr>
          </w:p>
        </w:tc>
        <w:tc>
          <w:tcPr>
            <w:tcW w:w="1440" w:type="dxa"/>
            <w:vAlign w:val="bottom"/>
            <w:tcBorders>
              <w:bottom w:val="single" w:sz="8" w:color="3A4967"/>
            </w:tcBorders>
          </w:tcPr>
          <w:p>
            <w:pPr>
              <w:spacing w:after="0"/>
              <w:rPr>
                <w:sz w:val="3"/>
                <w:szCs w:val="3"/>
                <w:color w:val="auto"/>
              </w:rPr>
            </w:pPr>
          </w:p>
        </w:tc>
        <w:tc>
          <w:tcPr>
            <w:tcW w:w="1080" w:type="dxa"/>
            <w:vAlign w:val="bottom"/>
            <w:tcBorders>
              <w:bottom w:val="single" w:sz="8" w:color="3A4967"/>
            </w:tcBorders>
          </w:tcPr>
          <w:p>
            <w:pPr>
              <w:spacing w:after="0"/>
              <w:rPr>
                <w:sz w:val="3"/>
                <w:szCs w:val="3"/>
                <w:color w:val="auto"/>
              </w:rPr>
            </w:pPr>
          </w:p>
        </w:tc>
      </w:tr>
      <w:tr>
        <w:trPr>
          <w:trHeight w:val="266"/>
        </w:trPr>
        <w:tc>
          <w:tcPr>
            <w:tcW w:w="6140" w:type="dxa"/>
            <w:vAlign w:val="bottom"/>
            <w:tcBorders>
              <w:bottom w:val="single" w:sz="8" w:color="3A4967"/>
            </w:tcBorders>
          </w:tcPr>
          <w:p>
            <w:pPr>
              <w:spacing w:after="0"/>
              <w:rPr>
                <w:sz w:val="23"/>
                <w:szCs w:val="23"/>
                <w:color w:val="auto"/>
              </w:rPr>
            </w:pPr>
          </w:p>
        </w:tc>
        <w:tc>
          <w:tcPr>
            <w:tcW w:w="1500" w:type="dxa"/>
            <w:vAlign w:val="bottom"/>
            <w:tcBorders>
              <w:bottom w:val="single" w:sz="8" w:color="3A4967"/>
            </w:tcBorders>
          </w:tcPr>
          <w:p>
            <w:pPr>
              <w:jc w:val="right"/>
              <w:ind w:right="376"/>
              <w:spacing w:after="0"/>
              <w:rPr>
                <w:sz w:val="20"/>
                <w:szCs w:val="20"/>
                <w:color w:val="auto"/>
              </w:rPr>
            </w:pPr>
            <w:r>
              <w:rPr>
                <w:rFonts w:ascii="Arial" w:cs="Arial" w:eastAsia="Arial" w:hAnsi="Arial"/>
                <w:sz w:val="17"/>
                <w:szCs w:val="17"/>
                <w:b w:val="1"/>
                <w:bCs w:val="1"/>
                <w:color w:val="3A4967"/>
              </w:rPr>
              <w:t>31.9%</w:t>
            </w:r>
          </w:p>
        </w:tc>
        <w:tc>
          <w:tcPr>
            <w:tcW w:w="1440" w:type="dxa"/>
            <w:vAlign w:val="bottom"/>
            <w:tcBorders>
              <w:bottom w:val="single" w:sz="8" w:color="3A4967"/>
            </w:tcBorders>
          </w:tcPr>
          <w:p>
            <w:pPr>
              <w:jc w:val="right"/>
              <w:ind w:right="356"/>
              <w:spacing w:after="0"/>
              <w:rPr>
                <w:sz w:val="20"/>
                <w:szCs w:val="20"/>
                <w:color w:val="auto"/>
              </w:rPr>
            </w:pPr>
            <w:r>
              <w:rPr>
                <w:rFonts w:ascii="Arial" w:cs="Arial" w:eastAsia="Arial" w:hAnsi="Arial"/>
                <w:sz w:val="17"/>
                <w:szCs w:val="17"/>
                <w:b w:val="1"/>
                <w:bCs w:val="1"/>
                <w:color w:val="3A4967"/>
              </w:rPr>
              <w:t>30.4 %</w:t>
            </w:r>
          </w:p>
        </w:tc>
        <w:tc>
          <w:tcPr>
            <w:tcW w:w="108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b w:val="1"/>
                <w:bCs w:val="1"/>
                <w:color w:val="3A4967"/>
              </w:rPr>
              <w:t>26.4 %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2969895</wp:posOffset>
            </wp:positionV>
            <wp:extent cx="2584450" cy="1917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584450" cy="19177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-1477010</wp:posOffset>
            </wp:positionV>
            <wp:extent cx="6487795" cy="12985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487795" cy="129857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50</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60" w:name="page61"/>
    <w:bookmarkEnd w:id="60"/>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3A4967"/>
        </w:rPr>
        <w:t>Significant components of the Company’s deferred tax assets and liabilities were as follows at: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2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1280" w:type="dxa"/>
            <w:vAlign w:val="bottom"/>
          </w:tcPr>
          <w:p>
            <w:pPr>
              <w:spacing w:after="0"/>
              <w:rPr>
                <w:sz w:val="17"/>
                <w:szCs w:val="17"/>
                <w:color w:val="auto"/>
              </w:rPr>
            </w:pPr>
          </w:p>
        </w:tc>
        <w:tc>
          <w:tcPr>
            <w:tcW w:w="1700" w:type="dxa"/>
            <w:vAlign w:val="bottom"/>
          </w:tcPr>
          <w:p>
            <w:pPr>
              <w:jc w:val="right"/>
              <w:ind w:right="155"/>
              <w:spacing w:after="0"/>
              <w:rPr>
                <w:sz w:val="20"/>
                <w:szCs w:val="20"/>
                <w:color w:val="auto"/>
              </w:rPr>
            </w:pPr>
            <w:r>
              <w:rPr>
                <w:rFonts w:ascii="Arial" w:cs="Arial" w:eastAsia="Arial" w:hAnsi="Arial"/>
                <w:sz w:val="16"/>
                <w:szCs w:val="16"/>
                <w:b w:val="1"/>
                <w:bCs w:val="1"/>
                <w:color w:val="3A4967"/>
                <w:w w:val="99"/>
              </w:rPr>
              <w:t>December 28, 2024</w:t>
            </w:r>
          </w:p>
        </w:tc>
        <w:tc>
          <w:tcPr>
            <w:tcW w:w="3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3A4967"/>
              </w:rPr>
              <w:t>December 30, 2023</w:t>
            </w:r>
          </w:p>
        </w:tc>
      </w:tr>
      <w:tr>
        <w:trPr>
          <w:trHeight w:val="36"/>
        </w:trPr>
        <w:tc>
          <w:tcPr>
            <w:tcW w:w="532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1700" w:type="dxa"/>
            <w:vAlign w:val="bottom"/>
            <w:tcBorders>
              <w:bottom w:val="single" w:sz="8" w:color="3A4967"/>
            </w:tcBorders>
          </w:tcPr>
          <w:p>
            <w:pPr>
              <w:spacing w:after="0"/>
              <w:rPr>
                <w:sz w:val="3"/>
                <w:szCs w:val="3"/>
                <w:color w:val="auto"/>
              </w:rPr>
            </w:pPr>
          </w:p>
        </w:tc>
        <w:tc>
          <w:tcPr>
            <w:tcW w:w="300" w:type="dxa"/>
            <w:vAlign w:val="bottom"/>
            <w:tcBorders>
              <w:bottom w:val="single" w:sz="8" w:color="3A4967"/>
            </w:tcBorders>
          </w:tcPr>
          <w:p>
            <w:pPr>
              <w:spacing w:after="0"/>
              <w:rPr>
                <w:sz w:val="3"/>
                <w:szCs w:val="3"/>
                <w:color w:val="auto"/>
              </w:rPr>
            </w:pPr>
          </w:p>
        </w:tc>
        <w:tc>
          <w:tcPr>
            <w:tcW w:w="1560" w:type="dxa"/>
            <w:vAlign w:val="bottom"/>
            <w:tcBorders>
              <w:bottom w:val="single" w:sz="8" w:color="3A4967"/>
            </w:tcBorders>
          </w:tcPr>
          <w:p>
            <w:pPr>
              <w:spacing w:after="0"/>
              <w:rPr>
                <w:sz w:val="3"/>
                <w:szCs w:val="3"/>
                <w:color w:val="auto"/>
              </w:rPr>
            </w:pPr>
          </w:p>
        </w:tc>
      </w:tr>
      <w:tr>
        <w:trPr>
          <w:trHeight w:val="229"/>
        </w:trPr>
        <w:tc>
          <w:tcPr>
            <w:tcW w:w="5320" w:type="dxa"/>
            <w:vAlign w:val="bottom"/>
          </w:tcPr>
          <w:p>
            <w:pPr>
              <w:ind w:left="80"/>
              <w:spacing w:after="0"/>
              <w:rPr>
                <w:sz w:val="20"/>
                <w:szCs w:val="20"/>
                <w:color w:val="auto"/>
              </w:rPr>
            </w:pPr>
            <w:r>
              <w:rPr>
                <w:rFonts w:ascii="Arial" w:cs="Arial" w:eastAsia="Arial" w:hAnsi="Arial"/>
                <w:sz w:val="17"/>
                <w:szCs w:val="17"/>
                <w:b w:val="1"/>
                <w:bCs w:val="1"/>
                <w:color w:val="3A4967"/>
              </w:rPr>
              <w:t>Deferred tax assets:</w:t>
            </w:r>
          </w:p>
        </w:tc>
        <w:tc>
          <w:tcPr>
            <w:tcW w:w="1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9"/>
        </w:trPr>
        <w:tc>
          <w:tcPr>
            <w:tcW w:w="5320" w:type="dxa"/>
            <w:vAlign w:val="bottom"/>
          </w:tcPr>
          <w:p>
            <w:pPr>
              <w:ind w:left="220"/>
              <w:spacing w:after="0"/>
              <w:rPr>
                <w:sz w:val="20"/>
                <w:szCs w:val="20"/>
                <w:color w:val="auto"/>
              </w:rPr>
            </w:pPr>
            <w:r>
              <w:rPr>
                <w:rFonts w:ascii="Arial" w:cs="Arial" w:eastAsia="Arial" w:hAnsi="Arial"/>
                <w:sz w:val="17"/>
                <w:szCs w:val="17"/>
                <w:color w:val="3A4967"/>
              </w:rPr>
              <w:t>Lease liabilities</w:t>
            </w:r>
          </w:p>
        </w:tc>
        <w:tc>
          <w:tcPr>
            <w:tcW w:w="1280" w:type="dxa"/>
            <w:vAlign w:val="bottom"/>
          </w:tcPr>
          <w:p>
            <w:pPr>
              <w:jc w:val="right"/>
              <w:spacing w:after="0"/>
              <w:rPr>
                <w:sz w:val="20"/>
                <w:szCs w:val="20"/>
                <w:color w:val="auto"/>
              </w:rPr>
            </w:pPr>
            <w:r>
              <w:rPr>
                <w:rFonts w:ascii="Arial" w:cs="Arial" w:eastAsia="Arial" w:hAnsi="Arial"/>
                <w:sz w:val="17"/>
                <w:szCs w:val="17"/>
                <w:color w:val="3A4967"/>
              </w:rPr>
              <w:t>$</w:t>
            </w:r>
          </w:p>
        </w:tc>
        <w:tc>
          <w:tcPr>
            <w:tcW w:w="1700" w:type="dxa"/>
            <w:vAlign w:val="bottom"/>
          </w:tcPr>
          <w:p>
            <w:pPr>
              <w:jc w:val="right"/>
              <w:ind w:right="135"/>
              <w:spacing w:after="0"/>
              <w:rPr>
                <w:sz w:val="20"/>
                <w:szCs w:val="20"/>
                <w:color w:val="auto"/>
              </w:rPr>
            </w:pPr>
            <w:r>
              <w:rPr>
                <w:rFonts w:ascii="Arial" w:cs="Arial" w:eastAsia="Arial" w:hAnsi="Arial"/>
                <w:sz w:val="17"/>
                <w:szCs w:val="17"/>
                <w:color w:val="3A4967"/>
              </w:rPr>
              <w:t>9,669</w:t>
            </w:r>
          </w:p>
        </w:tc>
        <w:tc>
          <w:tcPr>
            <w:tcW w:w="300" w:type="dxa"/>
            <w:vAlign w:val="bottom"/>
          </w:tcPr>
          <w:p>
            <w:pPr>
              <w:jc w:val="right"/>
              <w:spacing w:after="0"/>
              <w:rPr>
                <w:sz w:val="20"/>
                <w:szCs w:val="20"/>
                <w:color w:val="auto"/>
              </w:rPr>
            </w:pPr>
            <w:r>
              <w:rPr>
                <w:rFonts w:ascii="Arial" w:cs="Arial" w:eastAsia="Arial" w:hAnsi="Arial"/>
                <w:sz w:val="17"/>
                <w:szCs w:val="17"/>
                <w:color w:val="3A4967"/>
              </w:rPr>
              <w:t>$</w:t>
            </w:r>
          </w:p>
        </w:tc>
        <w:tc>
          <w:tcPr>
            <w:tcW w:w="1560" w:type="dxa"/>
            <w:vAlign w:val="bottom"/>
          </w:tcPr>
          <w:p>
            <w:pPr>
              <w:jc w:val="right"/>
              <w:ind w:right="35"/>
              <w:spacing w:after="0"/>
              <w:rPr>
                <w:sz w:val="20"/>
                <w:szCs w:val="20"/>
                <w:color w:val="auto"/>
              </w:rPr>
            </w:pPr>
            <w:r>
              <w:rPr>
                <w:rFonts w:ascii="Arial" w:cs="Arial" w:eastAsia="Arial" w:hAnsi="Arial"/>
                <w:sz w:val="17"/>
                <w:szCs w:val="17"/>
                <w:color w:val="3A4967"/>
              </w:rPr>
              <w:t>12,034</w:t>
            </w:r>
          </w:p>
        </w:tc>
      </w:tr>
      <w:tr>
        <w:trPr>
          <w:trHeight w:val="281"/>
        </w:trPr>
        <w:tc>
          <w:tcPr>
            <w:tcW w:w="5320" w:type="dxa"/>
            <w:vAlign w:val="bottom"/>
          </w:tcPr>
          <w:p>
            <w:pPr>
              <w:ind w:left="220"/>
              <w:spacing w:after="0"/>
              <w:rPr>
                <w:sz w:val="20"/>
                <w:szCs w:val="20"/>
                <w:color w:val="auto"/>
              </w:rPr>
            </w:pPr>
            <w:r>
              <w:rPr>
                <w:rFonts w:ascii="Arial" w:cs="Arial" w:eastAsia="Arial" w:hAnsi="Arial"/>
                <w:sz w:val="17"/>
                <w:szCs w:val="17"/>
                <w:color w:val="3A4967"/>
              </w:rPr>
              <w:t>Stock-based compensation expense</w:t>
            </w:r>
          </w:p>
        </w:tc>
        <w:tc>
          <w:tcPr>
            <w:tcW w:w="1280" w:type="dxa"/>
            <w:vAlign w:val="bottom"/>
          </w:tcPr>
          <w:p>
            <w:pPr>
              <w:spacing w:after="0"/>
              <w:rPr>
                <w:sz w:val="24"/>
                <w:szCs w:val="24"/>
                <w:color w:val="auto"/>
              </w:rPr>
            </w:pPr>
          </w:p>
        </w:tc>
        <w:tc>
          <w:tcPr>
            <w:tcW w:w="1700" w:type="dxa"/>
            <w:vAlign w:val="bottom"/>
          </w:tcPr>
          <w:p>
            <w:pPr>
              <w:jc w:val="right"/>
              <w:ind w:right="135"/>
              <w:spacing w:after="0"/>
              <w:rPr>
                <w:sz w:val="20"/>
                <w:szCs w:val="20"/>
                <w:color w:val="auto"/>
              </w:rPr>
            </w:pPr>
            <w:r>
              <w:rPr>
                <w:rFonts w:ascii="Arial" w:cs="Arial" w:eastAsia="Arial" w:hAnsi="Arial"/>
                <w:sz w:val="17"/>
                <w:szCs w:val="17"/>
                <w:color w:val="3A4967"/>
              </w:rPr>
              <w:t>9,415</w:t>
            </w:r>
          </w:p>
        </w:tc>
        <w:tc>
          <w:tcPr>
            <w:tcW w:w="300" w:type="dxa"/>
            <w:vAlign w:val="bottom"/>
          </w:tcPr>
          <w:p>
            <w:pPr>
              <w:spacing w:after="0"/>
              <w:rPr>
                <w:sz w:val="24"/>
                <w:szCs w:val="24"/>
                <w:color w:val="auto"/>
              </w:rPr>
            </w:pPr>
          </w:p>
        </w:tc>
        <w:tc>
          <w:tcPr>
            <w:tcW w:w="1560" w:type="dxa"/>
            <w:vAlign w:val="bottom"/>
          </w:tcPr>
          <w:p>
            <w:pPr>
              <w:jc w:val="right"/>
              <w:ind w:right="35"/>
              <w:spacing w:after="0"/>
              <w:rPr>
                <w:sz w:val="20"/>
                <w:szCs w:val="20"/>
                <w:color w:val="auto"/>
              </w:rPr>
            </w:pPr>
            <w:r>
              <w:rPr>
                <w:rFonts w:ascii="Arial" w:cs="Arial" w:eastAsia="Arial" w:hAnsi="Arial"/>
                <w:sz w:val="17"/>
                <w:szCs w:val="17"/>
                <w:color w:val="3A4967"/>
              </w:rPr>
              <w:t>8,062</w:t>
            </w:r>
          </w:p>
        </w:tc>
      </w:tr>
      <w:tr>
        <w:trPr>
          <w:trHeight w:val="289"/>
        </w:trPr>
        <w:tc>
          <w:tcPr>
            <w:tcW w:w="5320" w:type="dxa"/>
            <w:vAlign w:val="bottom"/>
          </w:tcPr>
          <w:p>
            <w:pPr>
              <w:ind w:left="220"/>
              <w:spacing w:after="0"/>
              <w:rPr>
                <w:sz w:val="20"/>
                <w:szCs w:val="20"/>
                <w:color w:val="auto"/>
              </w:rPr>
            </w:pPr>
            <w:r>
              <w:rPr>
                <w:rFonts w:ascii="Arial" w:cs="Arial" w:eastAsia="Arial" w:hAnsi="Arial"/>
                <w:sz w:val="17"/>
                <w:szCs w:val="17"/>
                <w:color w:val="3A4967"/>
              </w:rPr>
              <w:t>Accrued expenses</w:t>
            </w:r>
          </w:p>
        </w:tc>
        <w:tc>
          <w:tcPr>
            <w:tcW w:w="1280" w:type="dxa"/>
            <w:vAlign w:val="bottom"/>
          </w:tcPr>
          <w:p>
            <w:pPr>
              <w:spacing w:after="0"/>
              <w:rPr>
                <w:sz w:val="24"/>
                <w:szCs w:val="24"/>
                <w:color w:val="auto"/>
              </w:rPr>
            </w:pPr>
          </w:p>
        </w:tc>
        <w:tc>
          <w:tcPr>
            <w:tcW w:w="1700" w:type="dxa"/>
            <w:vAlign w:val="bottom"/>
          </w:tcPr>
          <w:p>
            <w:pPr>
              <w:jc w:val="right"/>
              <w:ind w:right="135"/>
              <w:spacing w:after="0"/>
              <w:rPr>
                <w:sz w:val="20"/>
                <w:szCs w:val="20"/>
                <w:color w:val="auto"/>
              </w:rPr>
            </w:pPr>
            <w:r>
              <w:rPr>
                <w:rFonts w:ascii="Arial" w:cs="Arial" w:eastAsia="Arial" w:hAnsi="Arial"/>
                <w:sz w:val="17"/>
                <w:szCs w:val="17"/>
                <w:color w:val="3A4967"/>
              </w:rPr>
              <w:t>3,714</w:t>
            </w:r>
          </w:p>
        </w:tc>
        <w:tc>
          <w:tcPr>
            <w:tcW w:w="300" w:type="dxa"/>
            <w:vAlign w:val="bottom"/>
          </w:tcPr>
          <w:p>
            <w:pPr>
              <w:spacing w:after="0"/>
              <w:rPr>
                <w:sz w:val="24"/>
                <w:szCs w:val="24"/>
                <w:color w:val="auto"/>
              </w:rPr>
            </w:pPr>
          </w:p>
        </w:tc>
        <w:tc>
          <w:tcPr>
            <w:tcW w:w="1560" w:type="dxa"/>
            <w:vAlign w:val="bottom"/>
          </w:tcPr>
          <w:p>
            <w:pPr>
              <w:jc w:val="right"/>
              <w:ind w:right="35"/>
              <w:spacing w:after="0"/>
              <w:rPr>
                <w:sz w:val="20"/>
                <w:szCs w:val="20"/>
                <w:color w:val="auto"/>
              </w:rPr>
            </w:pPr>
            <w:r>
              <w:rPr>
                <w:rFonts w:ascii="Arial" w:cs="Arial" w:eastAsia="Arial" w:hAnsi="Arial"/>
                <w:sz w:val="17"/>
                <w:szCs w:val="17"/>
                <w:color w:val="3A4967"/>
              </w:rPr>
              <w:t>4,146</w:t>
            </w:r>
          </w:p>
        </w:tc>
      </w:tr>
      <w:tr>
        <w:trPr>
          <w:trHeight w:val="289"/>
        </w:trPr>
        <w:tc>
          <w:tcPr>
            <w:tcW w:w="5320" w:type="dxa"/>
            <w:vAlign w:val="bottom"/>
          </w:tcPr>
          <w:p>
            <w:pPr>
              <w:ind w:left="220"/>
              <w:spacing w:after="0"/>
              <w:rPr>
                <w:sz w:val="20"/>
                <w:szCs w:val="20"/>
                <w:color w:val="auto"/>
              </w:rPr>
            </w:pPr>
            <w:r>
              <w:rPr>
                <w:rFonts w:ascii="Arial" w:cs="Arial" w:eastAsia="Arial" w:hAnsi="Arial"/>
                <w:sz w:val="17"/>
                <w:szCs w:val="17"/>
                <w:color w:val="3A4967"/>
              </w:rPr>
              <w:t>Inventory reserves</w:t>
            </w:r>
          </w:p>
        </w:tc>
        <w:tc>
          <w:tcPr>
            <w:tcW w:w="1280" w:type="dxa"/>
            <w:vAlign w:val="bottom"/>
          </w:tcPr>
          <w:p>
            <w:pPr>
              <w:spacing w:after="0"/>
              <w:rPr>
                <w:sz w:val="24"/>
                <w:szCs w:val="24"/>
                <w:color w:val="auto"/>
              </w:rPr>
            </w:pPr>
          </w:p>
        </w:tc>
        <w:tc>
          <w:tcPr>
            <w:tcW w:w="1700" w:type="dxa"/>
            <w:vAlign w:val="bottom"/>
          </w:tcPr>
          <w:p>
            <w:pPr>
              <w:jc w:val="right"/>
              <w:ind w:right="135"/>
              <w:spacing w:after="0"/>
              <w:rPr>
                <w:sz w:val="20"/>
                <w:szCs w:val="20"/>
                <w:color w:val="auto"/>
              </w:rPr>
            </w:pPr>
            <w:r>
              <w:rPr>
                <w:rFonts w:ascii="Arial" w:cs="Arial" w:eastAsia="Arial" w:hAnsi="Arial"/>
                <w:sz w:val="17"/>
                <w:szCs w:val="17"/>
                <w:color w:val="3A4967"/>
              </w:rPr>
              <w:t>8,282</w:t>
            </w:r>
          </w:p>
        </w:tc>
        <w:tc>
          <w:tcPr>
            <w:tcW w:w="300" w:type="dxa"/>
            <w:vAlign w:val="bottom"/>
          </w:tcPr>
          <w:p>
            <w:pPr>
              <w:spacing w:after="0"/>
              <w:rPr>
                <w:sz w:val="24"/>
                <w:szCs w:val="24"/>
                <w:color w:val="auto"/>
              </w:rPr>
            </w:pPr>
          </w:p>
        </w:tc>
        <w:tc>
          <w:tcPr>
            <w:tcW w:w="1560" w:type="dxa"/>
            <w:vAlign w:val="bottom"/>
          </w:tcPr>
          <w:p>
            <w:pPr>
              <w:jc w:val="right"/>
              <w:ind w:right="35"/>
              <w:spacing w:after="0"/>
              <w:rPr>
                <w:sz w:val="20"/>
                <w:szCs w:val="20"/>
                <w:color w:val="auto"/>
              </w:rPr>
            </w:pPr>
            <w:r>
              <w:rPr>
                <w:rFonts w:ascii="Arial" w:cs="Arial" w:eastAsia="Arial" w:hAnsi="Arial"/>
                <w:sz w:val="17"/>
                <w:szCs w:val="17"/>
                <w:color w:val="3A4967"/>
              </w:rPr>
              <w:t>4,689</w:t>
            </w:r>
          </w:p>
        </w:tc>
      </w:tr>
      <w:tr>
        <w:trPr>
          <w:trHeight w:val="289"/>
        </w:trPr>
        <w:tc>
          <w:tcPr>
            <w:tcW w:w="5320" w:type="dxa"/>
            <w:vAlign w:val="bottom"/>
          </w:tcPr>
          <w:p>
            <w:pPr>
              <w:ind w:left="220"/>
              <w:spacing w:after="0"/>
              <w:rPr>
                <w:sz w:val="20"/>
                <w:szCs w:val="20"/>
                <w:color w:val="auto"/>
              </w:rPr>
            </w:pPr>
            <w:r>
              <w:rPr>
                <w:rFonts w:ascii="Arial" w:cs="Arial" w:eastAsia="Arial" w:hAnsi="Arial"/>
                <w:sz w:val="17"/>
                <w:szCs w:val="17"/>
                <w:color w:val="3A4967"/>
              </w:rPr>
              <w:t>Loss carryforwards and tax credit carryforwards</w:t>
            </w:r>
          </w:p>
        </w:tc>
        <w:tc>
          <w:tcPr>
            <w:tcW w:w="1280" w:type="dxa"/>
            <w:vAlign w:val="bottom"/>
          </w:tcPr>
          <w:p>
            <w:pPr>
              <w:spacing w:after="0"/>
              <w:rPr>
                <w:sz w:val="24"/>
                <w:szCs w:val="24"/>
                <w:color w:val="auto"/>
              </w:rPr>
            </w:pPr>
          </w:p>
        </w:tc>
        <w:tc>
          <w:tcPr>
            <w:tcW w:w="1700" w:type="dxa"/>
            <w:vAlign w:val="bottom"/>
          </w:tcPr>
          <w:p>
            <w:pPr>
              <w:jc w:val="right"/>
              <w:ind w:right="135"/>
              <w:spacing w:after="0"/>
              <w:rPr>
                <w:sz w:val="20"/>
                <w:szCs w:val="20"/>
                <w:color w:val="auto"/>
              </w:rPr>
            </w:pPr>
            <w:r>
              <w:rPr>
                <w:rFonts w:ascii="Arial" w:cs="Arial" w:eastAsia="Arial" w:hAnsi="Arial"/>
                <w:sz w:val="17"/>
                <w:szCs w:val="17"/>
                <w:color w:val="3A4967"/>
              </w:rPr>
              <w:t>3,216</w:t>
            </w:r>
          </w:p>
        </w:tc>
        <w:tc>
          <w:tcPr>
            <w:tcW w:w="300" w:type="dxa"/>
            <w:vAlign w:val="bottom"/>
          </w:tcPr>
          <w:p>
            <w:pPr>
              <w:spacing w:after="0"/>
              <w:rPr>
                <w:sz w:val="24"/>
                <w:szCs w:val="24"/>
                <w:color w:val="auto"/>
              </w:rPr>
            </w:pPr>
          </w:p>
        </w:tc>
        <w:tc>
          <w:tcPr>
            <w:tcW w:w="1560" w:type="dxa"/>
            <w:vAlign w:val="bottom"/>
          </w:tcPr>
          <w:p>
            <w:pPr>
              <w:jc w:val="right"/>
              <w:ind w:right="35"/>
              <w:spacing w:after="0"/>
              <w:rPr>
                <w:sz w:val="20"/>
                <w:szCs w:val="20"/>
                <w:color w:val="auto"/>
              </w:rPr>
            </w:pPr>
            <w:r>
              <w:rPr>
                <w:rFonts w:ascii="Arial" w:cs="Arial" w:eastAsia="Arial" w:hAnsi="Arial"/>
                <w:sz w:val="17"/>
                <w:szCs w:val="17"/>
                <w:color w:val="3A4967"/>
              </w:rPr>
              <w:t>2,553</w:t>
            </w:r>
          </w:p>
        </w:tc>
      </w:tr>
      <w:tr>
        <w:trPr>
          <w:trHeight w:val="289"/>
        </w:trPr>
        <w:tc>
          <w:tcPr>
            <w:tcW w:w="5320" w:type="dxa"/>
            <w:vAlign w:val="bottom"/>
          </w:tcPr>
          <w:p>
            <w:pPr>
              <w:ind w:left="220"/>
              <w:spacing w:after="0"/>
              <w:rPr>
                <w:sz w:val="20"/>
                <w:szCs w:val="20"/>
                <w:color w:val="auto"/>
              </w:rPr>
            </w:pPr>
            <w:r>
              <w:rPr>
                <w:rFonts w:ascii="Arial" w:cs="Arial" w:eastAsia="Arial" w:hAnsi="Arial"/>
                <w:sz w:val="17"/>
                <w:szCs w:val="17"/>
                <w:color w:val="3A4967"/>
              </w:rPr>
              <w:t>Capitalized research and development</w:t>
            </w:r>
          </w:p>
        </w:tc>
        <w:tc>
          <w:tcPr>
            <w:tcW w:w="1280" w:type="dxa"/>
            <w:vAlign w:val="bottom"/>
          </w:tcPr>
          <w:p>
            <w:pPr>
              <w:spacing w:after="0"/>
              <w:rPr>
                <w:sz w:val="24"/>
                <w:szCs w:val="24"/>
                <w:color w:val="auto"/>
              </w:rPr>
            </w:pPr>
          </w:p>
        </w:tc>
        <w:tc>
          <w:tcPr>
            <w:tcW w:w="1700" w:type="dxa"/>
            <w:vAlign w:val="bottom"/>
          </w:tcPr>
          <w:p>
            <w:pPr>
              <w:jc w:val="right"/>
              <w:ind w:right="135"/>
              <w:spacing w:after="0"/>
              <w:rPr>
                <w:sz w:val="20"/>
                <w:szCs w:val="20"/>
                <w:color w:val="auto"/>
              </w:rPr>
            </w:pPr>
            <w:r>
              <w:rPr>
                <w:rFonts w:ascii="Arial" w:cs="Arial" w:eastAsia="Arial" w:hAnsi="Arial"/>
                <w:sz w:val="17"/>
                <w:szCs w:val="17"/>
                <w:color w:val="3A4967"/>
              </w:rPr>
              <w:t>3,598</w:t>
            </w:r>
          </w:p>
        </w:tc>
        <w:tc>
          <w:tcPr>
            <w:tcW w:w="300" w:type="dxa"/>
            <w:vAlign w:val="bottom"/>
          </w:tcPr>
          <w:p>
            <w:pPr>
              <w:spacing w:after="0"/>
              <w:rPr>
                <w:sz w:val="24"/>
                <w:szCs w:val="24"/>
                <w:color w:val="auto"/>
              </w:rPr>
            </w:pPr>
          </w:p>
        </w:tc>
        <w:tc>
          <w:tcPr>
            <w:tcW w:w="1560" w:type="dxa"/>
            <w:vAlign w:val="bottom"/>
          </w:tcPr>
          <w:p>
            <w:pPr>
              <w:jc w:val="right"/>
              <w:ind w:right="35"/>
              <w:spacing w:after="0"/>
              <w:rPr>
                <w:sz w:val="20"/>
                <w:szCs w:val="20"/>
                <w:color w:val="auto"/>
              </w:rPr>
            </w:pPr>
            <w:r>
              <w:rPr>
                <w:rFonts w:ascii="Arial" w:cs="Arial" w:eastAsia="Arial" w:hAnsi="Arial"/>
                <w:sz w:val="17"/>
                <w:szCs w:val="17"/>
                <w:color w:val="3A4967"/>
              </w:rPr>
              <w:t>2,954</w:t>
            </w:r>
          </w:p>
        </w:tc>
      </w:tr>
      <w:tr>
        <w:trPr>
          <w:trHeight w:val="289"/>
        </w:trPr>
        <w:tc>
          <w:tcPr>
            <w:tcW w:w="5320" w:type="dxa"/>
            <w:vAlign w:val="bottom"/>
          </w:tcPr>
          <w:p>
            <w:pPr>
              <w:ind w:left="220"/>
              <w:spacing w:after="0"/>
              <w:rPr>
                <w:sz w:val="20"/>
                <w:szCs w:val="20"/>
                <w:color w:val="auto"/>
              </w:rPr>
            </w:pPr>
            <w:r>
              <w:rPr>
                <w:rFonts w:ascii="Arial" w:cs="Arial" w:eastAsia="Arial" w:hAnsi="Arial"/>
                <w:sz w:val="17"/>
                <w:szCs w:val="17"/>
                <w:color w:val="3A4967"/>
              </w:rPr>
              <w:t>Intangible assets amortization</w:t>
            </w:r>
          </w:p>
        </w:tc>
        <w:tc>
          <w:tcPr>
            <w:tcW w:w="1280" w:type="dxa"/>
            <w:vAlign w:val="bottom"/>
          </w:tcPr>
          <w:p>
            <w:pPr>
              <w:spacing w:after="0"/>
              <w:rPr>
                <w:sz w:val="24"/>
                <w:szCs w:val="24"/>
                <w:color w:val="auto"/>
              </w:rPr>
            </w:pPr>
          </w:p>
        </w:tc>
        <w:tc>
          <w:tcPr>
            <w:tcW w:w="1700" w:type="dxa"/>
            <w:vAlign w:val="bottom"/>
          </w:tcPr>
          <w:p>
            <w:pPr>
              <w:jc w:val="right"/>
              <w:ind w:right="135"/>
              <w:spacing w:after="0"/>
              <w:rPr>
                <w:sz w:val="20"/>
                <w:szCs w:val="20"/>
                <w:color w:val="auto"/>
              </w:rPr>
            </w:pPr>
            <w:r>
              <w:rPr>
                <w:rFonts w:ascii="Arial" w:cs="Arial" w:eastAsia="Arial" w:hAnsi="Arial"/>
                <w:sz w:val="17"/>
                <w:szCs w:val="17"/>
                <w:color w:val="3A4967"/>
              </w:rPr>
              <w:t>433</w:t>
            </w:r>
          </w:p>
        </w:tc>
        <w:tc>
          <w:tcPr>
            <w:tcW w:w="300" w:type="dxa"/>
            <w:vAlign w:val="bottom"/>
          </w:tcPr>
          <w:p>
            <w:pPr>
              <w:spacing w:after="0"/>
              <w:rPr>
                <w:sz w:val="24"/>
                <w:szCs w:val="24"/>
                <w:color w:val="auto"/>
              </w:rPr>
            </w:pPr>
          </w:p>
        </w:tc>
        <w:tc>
          <w:tcPr>
            <w:tcW w:w="1560" w:type="dxa"/>
            <w:vAlign w:val="bottom"/>
          </w:tcPr>
          <w:p>
            <w:pPr>
              <w:jc w:val="right"/>
              <w:ind w:right="35"/>
              <w:spacing w:after="0"/>
              <w:rPr>
                <w:sz w:val="20"/>
                <w:szCs w:val="20"/>
                <w:color w:val="auto"/>
              </w:rPr>
            </w:pPr>
            <w:r>
              <w:rPr>
                <w:rFonts w:ascii="Arial" w:cs="Arial" w:eastAsia="Arial" w:hAnsi="Arial"/>
                <w:sz w:val="17"/>
                <w:szCs w:val="17"/>
                <w:color w:val="3A4967"/>
              </w:rPr>
              <w:t>—</w:t>
            </w:r>
          </w:p>
        </w:tc>
      </w:tr>
      <w:tr>
        <w:trPr>
          <w:trHeight w:val="281"/>
        </w:trPr>
        <w:tc>
          <w:tcPr>
            <w:tcW w:w="5320" w:type="dxa"/>
            <w:vAlign w:val="bottom"/>
          </w:tcPr>
          <w:p>
            <w:pPr>
              <w:ind w:left="220"/>
              <w:spacing w:after="0"/>
              <w:rPr>
                <w:sz w:val="20"/>
                <w:szCs w:val="20"/>
                <w:color w:val="auto"/>
              </w:rPr>
            </w:pPr>
            <w:r>
              <w:rPr>
                <w:rFonts w:ascii="Arial" w:cs="Arial" w:eastAsia="Arial" w:hAnsi="Arial"/>
                <w:sz w:val="17"/>
                <w:szCs w:val="17"/>
                <w:color w:val="3A4967"/>
              </w:rPr>
              <w:t>Other</w:t>
            </w:r>
          </w:p>
        </w:tc>
        <w:tc>
          <w:tcPr>
            <w:tcW w:w="1280" w:type="dxa"/>
            <w:vAlign w:val="bottom"/>
          </w:tcPr>
          <w:p>
            <w:pPr>
              <w:spacing w:after="0"/>
              <w:rPr>
                <w:sz w:val="24"/>
                <w:szCs w:val="24"/>
                <w:color w:val="auto"/>
              </w:rPr>
            </w:pPr>
          </w:p>
        </w:tc>
        <w:tc>
          <w:tcPr>
            <w:tcW w:w="1700" w:type="dxa"/>
            <w:vAlign w:val="bottom"/>
          </w:tcPr>
          <w:p>
            <w:pPr>
              <w:jc w:val="right"/>
              <w:ind w:right="135"/>
              <w:spacing w:after="0"/>
              <w:rPr>
                <w:sz w:val="20"/>
                <w:szCs w:val="20"/>
                <w:color w:val="auto"/>
              </w:rPr>
            </w:pPr>
            <w:r>
              <w:rPr>
                <w:rFonts w:ascii="Arial" w:cs="Arial" w:eastAsia="Arial" w:hAnsi="Arial"/>
                <w:sz w:val="17"/>
                <w:szCs w:val="17"/>
                <w:color w:val="3A4967"/>
              </w:rPr>
              <w:t>1,710</w:t>
            </w:r>
          </w:p>
        </w:tc>
        <w:tc>
          <w:tcPr>
            <w:tcW w:w="300" w:type="dxa"/>
            <w:vAlign w:val="bottom"/>
          </w:tcPr>
          <w:p>
            <w:pPr>
              <w:spacing w:after="0"/>
              <w:rPr>
                <w:sz w:val="24"/>
                <w:szCs w:val="24"/>
                <w:color w:val="auto"/>
              </w:rPr>
            </w:pPr>
          </w:p>
        </w:tc>
        <w:tc>
          <w:tcPr>
            <w:tcW w:w="1560" w:type="dxa"/>
            <w:vAlign w:val="bottom"/>
          </w:tcPr>
          <w:p>
            <w:pPr>
              <w:jc w:val="right"/>
              <w:ind w:right="35"/>
              <w:spacing w:after="0"/>
              <w:rPr>
                <w:sz w:val="20"/>
                <w:szCs w:val="20"/>
                <w:color w:val="auto"/>
              </w:rPr>
            </w:pPr>
            <w:r>
              <w:rPr>
                <w:rFonts w:ascii="Arial" w:cs="Arial" w:eastAsia="Arial" w:hAnsi="Arial"/>
                <w:sz w:val="17"/>
                <w:szCs w:val="17"/>
                <w:color w:val="3A4967"/>
              </w:rPr>
              <w:t>1,091</w:t>
            </w:r>
          </w:p>
        </w:tc>
      </w:tr>
      <w:tr>
        <w:trPr>
          <w:trHeight w:val="35"/>
        </w:trPr>
        <w:tc>
          <w:tcPr>
            <w:tcW w:w="532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1700" w:type="dxa"/>
            <w:vAlign w:val="bottom"/>
            <w:tcBorders>
              <w:bottom w:val="single" w:sz="8" w:color="3A4967"/>
            </w:tcBorders>
          </w:tcPr>
          <w:p>
            <w:pPr>
              <w:spacing w:after="0"/>
              <w:rPr>
                <w:sz w:val="3"/>
                <w:szCs w:val="3"/>
                <w:color w:val="auto"/>
              </w:rPr>
            </w:pPr>
          </w:p>
        </w:tc>
        <w:tc>
          <w:tcPr>
            <w:tcW w:w="300" w:type="dxa"/>
            <w:vAlign w:val="bottom"/>
            <w:tcBorders>
              <w:bottom w:val="single" w:sz="8" w:color="3A4967"/>
            </w:tcBorders>
          </w:tcPr>
          <w:p>
            <w:pPr>
              <w:spacing w:after="0"/>
              <w:rPr>
                <w:sz w:val="3"/>
                <w:szCs w:val="3"/>
                <w:color w:val="auto"/>
              </w:rPr>
            </w:pPr>
          </w:p>
        </w:tc>
        <w:tc>
          <w:tcPr>
            <w:tcW w:w="1560" w:type="dxa"/>
            <w:vAlign w:val="bottom"/>
            <w:tcBorders>
              <w:bottom w:val="single" w:sz="8" w:color="3A4967"/>
            </w:tcBorders>
          </w:tcPr>
          <w:p>
            <w:pPr>
              <w:spacing w:after="0"/>
              <w:rPr>
                <w:sz w:val="3"/>
                <w:szCs w:val="3"/>
                <w:color w:val="auto"/>
              </w:rPr>
            </w:pPr>
          </w:p>
        </w:tc>
      </w:tr>
      <w:tr>
        <w:trPr>
          <w:trHeight w:val="226"/>
        </w:trPr>
        <w:tc>
          <w:tcPr>
            <w:tcW w:w="5320" w:type="dxa"/>
            <w:vAlign w:val="bottom"/>
          </w:tcPr>
          <w:p>
            <w:pPr>
              <w:ind w:left="360"/>
              <w:spacing w:after="0"/>
              <w:rPr>
                <w:sz w:val="20"/>
                <w:szCs w:val="20"/>
                <w:color w:val="auto"/>
              </w:rPr>
            </w:pPr>
            <w:r>
              <w:rPr>
                <w:rFonts w:ascii="Arial" w:cs="Arial" w:eastAsia="Arial" w:hAnsi="Arial"/>
                <w:sz w:val="17"/>
                <w:szCs w:val="17"/>
                <w:color w:val="3A4967"/>
              </w:rPr>
              <w:t>Total deferred tax assets</w:t>
            </w:r>
          </w:p>
        </w:tc>
        <w:tc>
          <w:tcPr>
            <w:tcW w:w="128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7"/>
                <w:szCs w:val="17"/>
                <w:color w:val="3A4967"/>
              </w:rPr>
              <w:t>40,037</w:t>
            </w:r>
          </w:p>
        </w:tc>
        <w:tc>
          <w:tcPr>
            <w:tcW w:w="300" w:type="dxa"/>
            <w:vAlign w:val="bottom"/>
          </w:tcPr>
          <w:p>
            <w:pPr>
              <w:spacing w:after="0"/>
              <w:rPr>
                <w:sz w:val="19"/>
                <w:szCs w:val="19"/>
                <w:color w:val="auto"/>
              </w:rPr>
            </w:pPr>
          </w:p>
        </w:tc>
        <w:tc>
          <w:tcPr>
            <w:tcW w:w="1560" w:type="dxa"/>
            <w:vAlign w:val="bottom"/>
          </w:tcPr>
          <w:p>
            <w:pPr>
              <w:jc w:val="right"/>
              <w:ind w:right="35"/>
              <w:spacing w:after="0"/>
              <w:rPr>
                <w:sz w:val="20"/>
                <w:szCs w:val="20"/>
                <w:color w:val="auto"/>
              </w:rPr>
            </w:pPr>
            <w:r>
              <w:rPr>
                <w:rFonts w:ascii="Arial" w:cs="Arial" w:eastAsia="Arial" w:hAnsi="Arial"/>
                <w:sz w:val="17"/>
                <w:szCs w:val="17"/>
                <w:color w:val="3A4967"/>
              </w:rPr>
              <w:t>35,529</w:t>
            </w:r>
          </w:p>
        </w:tc>
      </w:tr>
      <w:tr>
        <w:trPr>
          <w:trHeight w:val="281"/>
        </w:trPr>
        <w:tc>
          <w:tcPr>
            <w:tcW w:w="5320" w:type="dxa"/>
            <w:vAlign w:val="bottom"/>
          </w:tcPr>
          <w:p>
            <w:pPr>
              <w:ind w:left="220"/>
              <w:spacing w:after="0"/>
              <w:rPr>
                <w:sz w:val="20"/>
                <w:szCs w:val="20"/>
                <w:color w:val="auto"/>
              </w:rPr>
            </w:pPr>
            <w:r>
              <w:rPr>
                <w:rFonts w:ascii="Arial" w:cs="Arial" w:eastAsia="Arial" w:hAnsi="Arial"/>
                <w:sz w:val="17"/>
                <w:szCs w:val="17"/>
                <w:color w:val="3A4967"/>
              </w:rPr>
              <w:t>Valuation allowance</w:t>
            </w:r>
          </w:p>
        </w:tc>
        <w:tc>
          <w:tcPr>
            <w:tcW w:w="1280" w:type="dxa"/>
            <w:vAlign w:val="bottom"/>
          </w:tcPr>
          <w:p>
            <w:pPr>
              <w:spacing w:after="0"/>
              <w:rPr>
                <w:sz w:val="24"/>
                <w:szCs w:val="24"/>
                <w:color w:val="auto"/>
              </w:rPr>
            </w:pPr>
          </w:p>
        </w:tc>
        <w:tc>
          <w:tcPr>
            <w:tcW w:w="1700" w:type="dxa"/>
            <w:vAlign w:val="bottom"/>
          </w:tcPr>
          <w:p>
            <w:pPr>
              <w:jc w:val="right"/>
              <w:ind w:right="95"/>
              <w:spacing w:after="0"/>
              <w:rPr>
                <w:sz w:val="20"/>
                <w:szCs w:val="20"/>
                <w:color w:val="auto"/>
              </w:rPr>
            </w:pPr>
            <w:r>
              <w:rPr>
                <w:rFonts w:ascii="Arial" w:cs="Arial" w:eastAsia="Arial" w:hAnsi="Arial"/>
                <w:sz w:val="17"/>
                <w:szCs w:val="17"/>
                <w:color w:val="3A4967"/>
              </w:rPr>
              <w:t>(8,203)</w:t>
            </w:r>
          </w:p>
        </w:tc>
        <w:tc>
          <w:tcPr>
            <w:tcW w:w="3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3A4967"/>
              </w:rPr>
              <w:t>(5,808)</w:t>
            </w:r>
          </w:p>
        </w:tc>
      </w:tr>
      <w:tr>
        <w:trPr>
          <w:trHeight w:val="35"/>
        </w:trPr>
        <w:tc>
          <w:tcPr>
            <w:tcW w:w="532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1700" w:type="dxa"/>
            <w:vAlign w:val="bottom"/>
            <w:tcBorders>
              <w:bottom w:val="single" w:sz="8" w:color="3A4967"/>
            </w:tcBorders>
          </w:tcPr>
          <w:p>
            <w:pPr>
              <w:spacing w:after="0"/>
              <w:rPr>
                <w:sz w:val="3"/>
                <w:szCs w:val="3"/>
                <w:color w:val="auto"/>
              </w:rPr>
            </w:pPr>
          </w:p>
        </w:tc>
        <w:tc>
          <w:tcPr>
            <w:tcW w:w="300" w:type="dxa"/>
            <w:vAlign w:val="bottom"/>
            <w:tcBorders>
              <w:bottom w:val="single" w:sz="8" w:color="3A4967"/>
            </w:tcBorders>
          </w:tcPr>
          <w:p>
            <w:pPr>
              <w:spacing w:after="0"/>
              <w:rPr>
                <w:sz w:val="3"/>
                <w:szCs w:val="3"/>
                <w:color w:val="auto"/>
              </w:rPr>
            </w:pPr>
          </w:p>
        </w:tc>
        <w:tc>
          <w:tcPr>
            <w:tcW w:w="1560" w:type="dxa"/>
            <w:vAlign w:val="bottom"/>
            <w:tcBorders>
              <w:bottom w:val="single" w:sz="8" w:color="3A4967"/>
            </w:tcBorders>
          </w:tcPr>
          <w:p>
            <w:pPr>
              <w:spacing w:after="0"/>
              <w:rPr>
                <w:sz w:val="3"/>
                <w:szCs w:val="3"/>
                <w:color w:val="auto"/>
              </w:rPr>
            </w:pPr>
          </w:p>
        </w:tc>
      </w:tr>
      <w:tr>
        <w:trPr>
          <w:trHeight w:val="226"/>
        </w:trPr>
        <w:tc>
          <w:tcPr>
            <w:tcW w:w="5320" w:type="dxa"/>
            <w:vAlign w:val="bottom"/>
          </w:tcPr>
          <w:p>
            <w:pPr>
              <w:ind w:left="360"/>
              <w:spacing w:after="0"/>
              <w:rPr>
                <w:sz w:val="20"/>
                <w:szCs w:val="20"/>
                <w:color w:val="auto"/>
              </w:rPr>
            </w:pPr>
            <w:r>
              <w:rPr>
                <w:rFonts w:ascii="Arial" w:cs="Arial" w:eastAsia="Arial" w:hAnsi="Arial"/>
                <w:sz w:val="17"/>
                <w:szCs w:val="17"/>
                <w:color w:val="3A4967"/>
              </w:rPr>
              <w:t>Total deferred tax assets, net of valuation allowance</w:t>
            </w:r>
          </w:p>
        </w:tc>
        <w:tc>
          <w:tcPr>
            <w:tcW w:w="128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7"/>
                <w:szCs w:val="17"/>
                <w:color w:val="3A4967"/>
              </w:rPr>
              <w:t>31,834</w:t>
            </w:r>
          </w:p>
        </w:tc>
        <w:tc>
          <w:tcPr>
            <w:tcW w:w="300" w:type="dxa"/>
            <w:vAlign w:val="bottom"/>
          </w:tcPr>
          <w:p>
            <w:pPr>
              <w:spacing w:after="0"/>
              <w:rPr>
                <w:sz w:val="19"/>
                <w:szCs w:val="19"/>
                <w:color w:val="auto"/>
              </w:rPr>
            </w:pPr>
          </w:p>
        </w:tc>
        <w:tc>
          <w:tcPr>
            <w:tcW w:w="1560" w:type="dxa"/>
            <w:vAlign w:val="bottom"/>
          </w:tcPr>
          <w:p>
            <w:pPr>
              <w:jc w:val="right"/>
              <w:ind w:right="35"/>
              <w:spacing w:after="0"/>
              <w:rPr>
                <w:sz w:val="20"/>
                <w:szCs w:val="20"/>
                <w:color w:val="auto"/>
              </w:rPr>
            </w:pPr>
            <w:r>
              <w:rPr>
                <w:rFonts w:ascii="Arial" w:cs="Arial" w:eastAsia="Arial" w:hAnsi="Arial"/>
                <w:sz w:val="17"/>
                <w:szCs w:val="17"/>
                <w:color w:val="3A4967"/>
              </w:rPr>
              <w:t>29,721</w:t>
            </w:r>
          </w:p>
        </w:tc>
      </w:tr>
      <w:tr>
        <w:trPr>
          <w:trHeight w:val="283"/>
        </w:trPr>
        <w:tc>
          <w:tcPr>
            <w:tcW w:w="5320" w:type="dxa"/>
            <w:vAlign w:val="bottom"/>
          </w:tcPr>
          <w:p>
            <w:pPr>
              <w:ind w:left="80"/>
              <w:spacing w:after="0"/>
              <w:rPr>
                <w:sz w:val="20"/>
                <w:szCs w:val="20"/>
                <w:color w:val="auto"/>
              </w:rPr>
            </w:pPr>
            <w:r>
              <w:rPr>
                <w:rFonts w:ascii="Arial" w:cs="Arial" w:eastAsia="Arial" w:hAnsi="Arial"/>
                <w:sz w:val="17"/>
                <w:szCs w:val="17"/>
                <w:b w:val="1"/>
                <w:bCs w:val="1"/>
                <w:color w:val="3A4967"/>
              </w:rPr>
              <w:t>Deferred tax liabilities:</w:t>
            </w:r>
          </w:p>
        </w:tc>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9"/>
        </w:trPr>
        <w:tc>
          <w:tcPr>
            <w:tcW w:w="5320" w:type="dxa"/>
            <w:vAlign w:val="bottom"/>
          </w:tcPr>
          <w:p>
            <w:pPr>
              <w:ind w:left="220"/>
              <w:spacing w:after="0"/>
              <w:rPr>
                <w:sz w:val="20"/>
                <w:szCs w:val="20"/>
                <w:color w:val="auto"/>
              </w:rPr>
            </w:pPr>
            <w:r>
              <w:rPr>
                <w:rFonts w:ascii="Arial" w:cs="Arial" w:eastAsia="Arial" w:hAnsi="Arial"/>
                <w:sz w:val="17"/>
                <w:szCs w:val="17"/>
                <w:color w:val="3A4967"/>
              </w:rPr>
              <w:t>Property, plant, and equipment</w:t>
            </w:r>
          </w:p>
        </w:tc>
        <w:tc>
          <w:tcPr>
            <w:tcW w:w="1280" w:type="dxa"/>
            <w:vAlign w:val="bottom"/>
          </w:tcPr>
          <w:p>
            <w:pPr>
              <w:spacing w:after="0"/>
              <w:rPr>
                <w:sz w:val="24"/>
                <w:szCs w:val="24"/>
                <w:color w:val="auto"/>
              </w:rPr>
            </w:pPr>
          </w:p>
        </w:tc>
        <w:tc>
          <w:tcPr>
            <w:tcW w:w="1700" w:type="dxa"/>
            <w:vAlign w:val="bottom"/>
          </w:tcPr>
          <w:p>
            <w:pPr>
              <w:jc w:val="right"/>
              <w:ind w:right="95"/>
              <w:spacing w:after="0"/>
              <w:rPr>
                <w:sz w:val="20"/>
                <w:szCs w:val="20"/>
                <w:color w:val="auto"/>
              </w:rPr>
            </w:pPr>
            <w:r>
              <w:rPr>
                <w:rFonts w:ascii="Arial" w:cs="Arial" w:eastAsia="Arial" w:hAnsi="Arial"/>
                <w:sz w:val="17"/>
                <w:szCs w:val="17"/>
                <w:color w:val="3A4967"/>
              </w:rPr>
              <w:t>(84,081)</w:t>
            </w:r>
          </w:p>
        </w:tc>
        <w:tc>
          <w:tcPr>
            <w:tcW w:w="3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3A4967"/>
              </w:rPr>
              <w:t>(90,372)</w:t>
            </w:r>
          </w:p>
        </w:tc>
      </w:tr>
      <w:tr>
        <w:trPr>
          <w:trHeight w:val="281"/>
        </w:trPr>
        <w:tc>
          <w:tcPr>
            <w:tcW w:w="5320" w:type="dxa"/>
            <w:vAlign w:val="bottom"/>
          </w:tcPr>
          <w:p>
            <w:pPr>
              <w:ind w:left="220"/>
              <w:spacing w:after="0"/>
              <w:rPr>
                <w:sz w:val="20"/>
                <w:szCs w:val="20"/>
                <w:color w:val="auto"/>
              </w:rPr>
            </w:pPr>
            <w:r>
              <w:rPr>
                <w:rFonts w:ascii="Arial" w:cs="Arial" w:eastAsia="Arial" w:hAnsi="Arial"/>
                <w:sz w:val="17"/>
                <w:szCs w:val="17"/>
                <w:color w:val="3A4967"/>
              </w:rPr>
              <w:t>Right-of-use assets</w:t>
            </w:r>
          </w:p>
        </w:tc>
        <w:tc>
          <w:tcPr>
            <w:tcW w:w="1280" w:type="dxa"/>
            <w:vAlign w:val="bottom"/>
          </w:tcPr>
          <w:p>
            <w:pPr>
              <w:spacing w:after="0"/>
              <w:rPr>
                <w:sz w:val="24"/>
                <w:szCs w:val="24"/>
                <w:color w:val="auto"/>
              </w:rPr>
            </w:pPr>
          </w:p>
        </w:tc>
        <w:tc>
          <w:tcPr>
            <w:tcW w:w="1700" w:type="dxa"/>
            <w:vAlign w:val="bottom"/>
          </w:tcPr>
          <w:p>
            <w:pPr>
              <w:jc w:val="right"/>
              <w:ind w:right="95"/>
              <w:spacing w:after="0"/>
              <w:rPr>
                <w:sz w:val="20"/>
                <w:szCs w:val="20"/>
                <w:color w:val="auto"/>
              </w:rPr>
            </w:pPr>
            <w:r>
              <w:rPr>
                <w:rFonts w:ascii="Arial" w:cs="Arial" w:eastAsia="Arial" w:hAnsi="Arial"/>
                <w:sz w:val="17"/>
                <w:szCs w:val="17"/>
                <w:color w:val="3A4967"/>
              </w:rPr>
              <w:t>(7,643)</w:t>
            </w:r>
          </w:p>
        </w:tc>
        <w:tc>
          <w:tcPr>
            <w:tcW w:w="3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3A4967"/>
              </w:rPr>
              <w:t>(9,590)</w:t>
            </w:r>
          </w:p>
        </w:tc>
      </w:tr>
      <w:tr>
        <w:trPr>
          <w:trHeight w:val="281"/>
        </w:trPr>
        <w:tc>
          <w:tcPr>
            <w:tcW w:w="5320" w:type="dxa"/>
            <w:vAlign w:val="bottom"/>
          </w:tcPr>
          <w:p>
            <w:pPr>
              <w:ind w:left="220"/>
              <w:spacing w:after="0"/>
              <w:rPr>
                <w:sz w:val="20"/>
                <w:szCs w:val="20"/>
                <w:color w:val="auto"/>
              </w:rPr>
            </w:pPr>
            <w:r>
              <w:rPr>
                <w:rFonts w:ascii="Arial" w:cs="Arial" w:eastAsia="Arial" w:hAnsi="Arial"/>
                <w:sz w:val="17"/>
                <w:szCs w:val="17"/>
                <w:color w:val="3A4967"/>
              </w:rPr>
              <w:t>Intangible assets amortization</w:t>
            </w:r>
          </w:p>
        </w:tc>
        <w:tc>
          <w:tcPr>
            <w:tcW w:w="1280" w:type="dxa"/>
            <w:vAlign w:val="bottom"/>
          </w:tcPr>
          <w:p>
            <w:pPr>
              <w:spacing w:after="0"/>
              <w:rPr>
                <w:sz w:val="24"/>
                <w:szCs w:val="24"/>
                <w:color w:val="auto"/>
              </w:rPr>
            </w:pPr>
          </w:p>
        </w:tc>
        <w:tc>
          <w:tcPr>
            <w:tcW w:w="1700" w:type="dxa"/>
            <w:vAlign w:val="bottom"/>
          </w:tcPr>
          <w:p>
            <w:pPr>
              <w:jc w:val="right"/>
              <w:ind w:right="135"/>
              <w:spacing w:after="0"/>
              <w:rPr>
                <w:sz w:val="20"/>
                <w:szCs w:val="20"/>
                <w:color w:val="auto"/>
              </w:rPr>
            </w:pPr>
            <w:r>
              <w:rPr>
                <w:rFonts w:ascii="Arial" w:cs="Arial" w:eastAsia="Arial" w:hAnsi="Arial"/>
                <w:sz w:val="17"/>
                <w:szCs w:val="17"/>
                <w:color w:val="3A4967"/>
              </w:rPr>
              <w:t>—</w:t>
            </w:r>
          </w:p>
        </w:tc>
        <w:tc>
          <w:tcPr>
            <w:tcW w:w="3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3A4967"/>
              </w:rPr>
              <w:t>(8,244)</w:t>
            </w:r>
          </w:p>
        </w:tc>
      </w:tr>
      <w:tr>
        <w:trPr>
          <w:trHeight w:val="281"/>
        </w:trPr>
        <w:tc>
          <w:tcPr>
            <w:tcW w:w="5320" w:type="dxa"/>
            <w:vAlign w:val="bottom"/>
          </w:tcPr>
          <w:p>
            <w:pPr>
              <w:ind w:left="220"/>
              <w:spacing w:after="0"/>
              <w:rPr>
                <w:sz w:val="20"/>
                <w:szCs w:val="20"/>
                <w:color w:val="auto"/>
              </w:rPr>
            </w:pPr>
            <w:r>
              <w:rPr>
                <w:rFonts w:ascii="Arial" w:cs="Arial" w:eastAsia="Arial" w:hAnsi="Arial"/>
                <w:sz w:val="17"/>
                <w:szCs w:val="17"/>
                <w:color w:val="3A4967"/>
              </w:rPr>
              <w:t>Prepaid expenses</w:t>
            </w:r>
          </w:p>
        </w:tc>
        <w:tc>
          <w:tcPr>
            <w:tcW w:w="1280" w:type="dxa"/>
            <w:vAlign w:val="bottom"/>
          </w:tcPr>
          <w:p>
            <w:pPr>
              <w:spacing w:after="0"/>
              <w:rPr>
                <w:sz w:val="24"/>
                <w:szCs w:val="24"/>
                <w:color w:val="auto"/>
              </w:rPr>
            </w:pPr>
          </w:p>
        </w:tc>
        <w:tc>
          <w:tcPr>
            <w:tcW w:w="1700" w:type="dxa"/>
            <w:vAlign w:val="bottom"/>
          </w:tcPr>
          <w:p>
            <w:pPr>
              <w:jc w:val="right"/>
              <w:ind w:right="95"/>
              <w:spacing w:after="0"/>
              <w:rPr>
                <w:sz w:val="20"/>
                <w:szCs w:val="20"/>
                <w:color w:val="auto"/>
              </w:rPr>
            </w:pPr>
            <w:r>
              <w:rPr>
                <w:rFonts w:ascii="Arial" w:cs="Arial" w:eastAsia="Arial" w:hAnsi="Arial"/>
                <w:sz w:val="17"/>
                <w:szCs w:val="17"/>
                <w:color w:val="3A4967"/>
              </w:rPr>
              <w:t>(5,913)</w:t>
            </w:r>
          </w:p>
        </w:tc>
        <w:tc>
          <w:tcPr>
            <w:tcW w:w="3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3A4967"/>
              </w:rPr>
              <w:t>(7,236)</w:t>
            </w:r>
          </w:p>
        </w:tc>
      </w:tr>
      <w:tr>
        <w:trPr>
          <w:trHeight w:val="35"/>
        </w:trPr>
        <w:tc>
          <w:tcPr>
            <w:tcW w:w="532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1700" w:type="dxa"/>
            <w:vAlign w:val="bottom"/>
            <w:tcBorders>
              <w:bottom w:val="single" w:sz="8" w:color="3A4967"/>
            </w:tcBorders>
          </w:tcPr>
          <w:p>
            <w:pPr>
              <w:spacing w:after="0"/>
              <w:rPr>
                <w:sz w:val="3"/>
                <w:szCs w:val="3"/>
                <w:color w:val="auto"/>
              </w:rPr>
            </w:pPr>
          </w:p>
        </w:tc>
        <w:tc>
          <w:tcPr>
            <w:tcW w:w="300" w:type="dxa"/>
            <w:vAlign w:val="bottom"/>
            <w:tcBorders>
              <w:bottom w:val="single" w:sz="8" w:color="3A4967"/>
            </w:tcBorders>
          </w:tcPr>
          <w:p>
            <w:pPr>
              <w:spacing w:after="0"/>
              <w:rPr>
                <w:sz w:val="3"/>
                <w:szCs w:val="3"/>
                <w:color w:val="auto"/>
              </w:rPr>
            </w:pPr>
          </w:p>
        </w:tc>
        <w:tc>
          <w:tcPr>
            <w:tcW w:w="1560" w:type="dxa"/>
            <w:vAlign w:val="bottom"/>
            <w:tcBorders>
              <w:bottom w:val="single" w:sz="8" w:color="3A4967"/>
            </w:tcBorders>
          </w:tcPr>
          <w:p>
            <w:pPr>
              <w:spacing w:after="0"/>
              <w:rPr>
                <w:sz w:val="3"/>
                <w:szCs w:val="3"/>
                <w:color w:val="auto"/>
              </w:rPr>
            </w:pPr>
          </w:p>
        </w:tc>
      </w:tr>
      <w:tr>
        <w:trPr>
          <w:trHeight w:val="226"/>
        </w:trPr>
        <w:tc>
          <w:tcPr>
            <w:tcW w:w="5320" w:type="dxa"/>
            <w:vAlign w:val="bottom"/>
          </w:tcPr>
          <w:p>
            <w:pPr>
              <w:ind w:left="360"/>
              <w:spacing w:after="0"/>
              <w:rPr>
                <w:sz w:val="20"/>
                <w:szCs w:val="20"/>
                <w:color w:val="auto"/>
              </w:rPr>
            </w:pPr>
            <w:r>
              <w:rPr>
                <w:rFonts w:ascii="Arial" w:cs="Arial" w:eastAsia="Arial" w:hAnsi="Arial"/>
                <w:sz w:val="17"/>
                <w:szCs w:val="17"/>
                <w:color w:val="3A4967"/>
              </w:rPr>
              <w:t>Total deferred tax liabilities</w:t>
            </w:r>
          </w:p>
        </w:tc>
        <w:tc>
          <w:tcPr>
            <w:tcW w:w="1280" w:type="dxa"/>
            <w:vAlign w:val="bottom"/>
          </w:tcPr>
          <w:p>
            <w:pPr>
              <w:spacing w:after="0"/>
              <w:rPr>
                <w:sz w:val="19"/>
                <w:szCs w:val="19"/>
                <w:color w:val="auto"/>
              </w:rPr>
            </w:pPr>
          </w:p>
        </w:tc>
        <w:tc>
          <w:tcPr>
            <w:tcW w:w="1700" w:type="dxa"/>
            <w:vAlign w:val="bottom"/>
          </w:tcPr>
          <w:p>
            <w:pPr>
              <w:jc w:val="right"/>
              <w:ind w:right="95"/>
              <w:spacing w:after="0"/>
              <w:rPr>
                <w:sz w:val="20"/>
                <w:szCs w:val="20"/>
                <w:color w:val="auto"/>
              </w:rPr>
            </w:pPr>
            <w:r>
              <w:rPr>
                <w:rFonts w:ascii="Arial" w:cs="Arial" w:eastAsia="Arial" w:hAnsi="Arial"/>
                <w:sz w:val="17"/>
                <w:szCs w:val="17"/>
                <w:color w:val="3A4967"/>
              </w:rPr>
              <w:t>(97,637)</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3A4967"/>
              </w:rPr>
              <w:t>(115,442)</w:t>
            </w:r>
          </w:p>
        </w:tc>
      </w:tr>
      <w:tr>
        <w:trPr>
          <w:trHeight w:val="35"/>
        </w:trPr>
        <w:tc>
          <w:tcPr>
            <w:tcW w:w="532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1700" w:type="dxa"/>
            <w:vAlign w:val="bottom"/>
            <w:tcBorders>
              <w:bottom w:val="single" w:sz="8" w:color="3A4967"/>
            </w:tcBorders>
          </w:tcPr>
          <w:p>
            <w:pPr>
              <w:spacing w:after="0"/>
              <w:rPr>
                <w:sz w:val="3"/>
                <w:szCs w:val="3"/>
                <w:color w:val="auto"/>
              </w:rPr>
            </w:pPr>
          </w:p>
        </w:tc>
        <w:tc>
          <w:tcPr>
            <w:tcW w:w="300" w:type="dxa"/>
            <w:vAlign w:val="bottom"/>
            <w:tcBorders>
              <w:bottom w:val="single" w:sz="8" w:color="3A4967"/>
            </w:tcBorders>
          </w:tcPr>
          <w:p>
            <w:pPr>
              <w:spacing w:after="0"/>
              <w:rPr>
                <w:sz w:val="3"/>
                <w:szCs w:val="3"/>
                <w:color w:val="auto"/>
              </w:rPr>
            </w:pPr>
          </w:p>
        </w:tc>
        <w:tc>
          <w:tcPr>
            <w:tcW w:w="1560" w:type="dxa"/>
            <w:vAlign w:val="bottom"/>
            <w:tcBorders>
              <w:bottom w:val="single" w:sz="8" w:color="3A4967"/>
            </w:tcBorders>
          </w:tcPr>
          <w:p>
            <w:pPr>
              <w:spacing w:after="0"/>
              <w:rPr>
                <w:sz w:val="3"/>
                <w:szCs w:val="3"/>
                <w:color w:val="auto"/>
              </w:rPr>
            </w:pPr>
          </w:p>
        </w:tc>
      </w:tr>
      <w:tr>
        <w:trPr>
          <w:trHeight w:val="266"/>
        </w:trPr>
        <w:tc>
          <w:tcPr>
            <w:tcW w:w="532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NET DEFERRED TAX LIABILITIES</w:t>
            </w:r>
          </w:p>
        </w:tc>
        <w:tc>
          <w:tcPr>
            <w:tcW w:w="12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1700" w:type="dxa"/>
            <w:vAlign w:val="bottom"/>
            <w:tcBorders>
              <w:bottom w:val="single" w:sz="8" w:color="3A4967"/>
            </w:tcBorders>
          </w:tcPr>
          <w:p>
            <w:pPr>
              <w:jc w:val="right"/>
              <w:ind w:right="75"/>
              <w:spacing w:after="0"/>
              <w:rPr>
                <w:sz w:val="20"/>
                <w:szCs w:val="20"/>
                <w:color w:val="auto"/>
              </w:rPr>
            </w:pPr>
            <w:r>
              <w:rPr>
                <w:rFonts w:ascii="Arial" w:cs="Arial" w:eastAsia="Arial" w:hAnsi="Arial"/>
                <w:sz w:val="17"/>
                <w:szCs w:val="17"/>
                <w:b w:val="1"/>
                <w:bCs w:val="1"/>
                <w:color w:val="3A4967"/>
              </w:rPr>
              <w:t>(65,803)</w:t>
            </w:r>
          </w:p>
        </w:tc>
        <w:tc>
          <w:tcPr>
            <w:tcW w:w="30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156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(85,721)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-3437255</wp:posOffset>
            </wp:positionV>
            <wp:extent cx="6473190" cy="34328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473190" cy="3432810"/>
                    </a:xfrm>
                    <a:prstGeom prst="rect">
                      <a:avLst/>
                    </a:prstGeom>
                    <a:noFill/>
                  </pic:spPr>
                </pic:pic>
              </a:graphicData>
            </a:graphic>
          </wp:anchor>
        </w:drawing>
      </w:r>
    </w:p>
    <w:p>
      <w:pPr>
        <w:spacing w:after="0" w:line="108" w:lineRule="exact"/>
        <w:rPr>
          <w:sz w:val="20"/>
          <w:szCs w:val="20"/>
          <w:color w:val="auto"/>
        </w:rPr>
      </w:pPr>
    </w:p>
    <w:p>
      <w:pPr>
        <w:jc w:val="both"/>
        <w:ind w:right="380"/>
        <w:spacing w:after="0" w:line="281" w:lineRule="auto"/>
        <w:rPr>
          <w:sz w:val="20"/>
          <w:szCs w:val="20"/>
          <w:color w:val="auto"/>
        </w:rPr>
      </w:pPr>
      <w:r>
        <w:rPr>
          <w:rFonts w:ascii="Arial" w:cs="Arial" w:eastAsia="Arial" w:hAnsi="Arial"/>
          <w:sz w:val="17"/>
          <w:szCs w:val="17"/>
          <w:color w:val="3A4967"/>
        </w:rPr>
        <w:t>The Company’s policy is to classify interest and penalties related to income tax matters in income tax expense. Interest and penalties included in the provision for income taxes amounted to $(0.2) million in fiscal year 2024, $0.1 million in fiscal year 2023, and $0 in fiscal years 2022. Accrued interest and penalties amounted to $0.1 million at December 28, 2024 and $0.2 million at December 30, 2023.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3A4967"/>
        </w:rPr>
        <w:t>A reconciliation of the beginning and ending amount of unrecognized tax benefits for fiscal 2024 and 2023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0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2340" w:type="dxa"/>
            <w:vAlign w:val="bottom"/>
          </w:tcPr>
          <w:p>
            <w:pPr>
              <w:spacing w:after="0"/>
              <w:rPr>
                <w:sz w:val="17"/>
                <w:szCs w:val="17"/>
                <w:color w:val="auto"/>
              </w:rPr>
            </w:pPr>
          </w:p>
        </w:tc>
        <w:tc>
          <w:tcPr>
            <w:tcW w:w="880" w:type="dxa"/>
            <w:vAlign w:val="bottom"/>
          </w:tcPr>
          <w:p>
            <w:pPr>
              <w:jc w:val="right"/>
              <w:ind w:right="96"/>
              <w:spacing w:after="0"/>
              <w:rPr>
                <w:sz w:val="20"/>
                <w:szCs w:val="20"/>
                <w:color w:val="auto"/>
              </w:rPr>
            </w:pPr>
            <w:r>
              <w:rPr>
                <w:rFonts w:ascii="Arial" w:cs="Arial" w:eastAsia="Arial" w:hAnsi="Arial"/>
                <w:sz w:val="16"/>
                <w:szCs w:val="16"/>
                <w:b w:val="1"/>
                <w:bCs w:val="1"/>
                <w:color w:val="3A4967"/>
              </w:rPr>
              <w:t>2024</w:t>
            </w:r>
          </w:p>
        </w:tc>
        <w:tc>
          <w:tcPr>
            <w:tcW w:w="540" w:type="dxa"/>
            <w:vAlign w:val="bottom"/>
          </w:tcPr>
          <w:p>
            <w:pPr>
              <w:spacing w:after="0"/>
              <w:rPr>
                <w:sz w:val="17"/>
                <w:szCs w:val="17"/>
                <w:color w:val="auto"/>
              </w:rPr>
            </w:pPr>
          </w:p>
        </w:tc>
        <w:tc>
          <w:tcPr>
            <w:tcW w:w="820" w:type="dxa"/>
            <w:vAlign w:val="bottom"/>
          </w:tcPr>
          <w:p>
            <w:pPr>
              <w:jc w:val="right"/>
              <w:ind w:right="56"/>
              <w:spacing w:after="0"/>
              <w:rPr>
                <w:sz w:val="20"/>
                <w:szCs w:val="20"/>
                <w:color w:val="auto"/>
              </w:rPr>
            </w:pPr>
            <w:r>
              <w:rPr>
                <w:rFonts w:ascii="Arial" w:cs="Arial" w:eastAsia="Arial" w:hAnsi="Arial"/>
                <w:sz w:val="16"/>
                <w:szCs w:val="16"/>
                <w:b w:val="1"/>
                <w:bCs w:val="1"/>
                <w:color w:val="3A4967"/>
              </w:rPr>
              <w:t>2023</w:t>
            </w:r>
          </w:p>
        </w:tc>
      </w:tr>
      <w:tr>
        <w:trPr>
          <w:trHeight w:val="36"/>
        </w:trPr>
        <w:tc>
          <w:tcPr>
            <w:tcW w:w="5600" w:type="dxa"/>
            <w:vAlign w:val="bottom"/>
            <w:tcBorders>
              <w:bottom w:val="single" w:sz="8" w:color="3A4967"/>
            </w:tcBorders>
          </w:tcPr>
          <w:p>
            <w:pPr>
              <w:spacing w:after="0"/>
              <w:rPr>
                <w:sz w:val="3"/>
                <w:szCs w:val="3"/>
                <w:color w:val="auto"/>
              </w:rPr>
            </w:pPr>
          </w:p>
        </w:tc>
        <w:tc>
          <w:tcPr>
            <w:tcW w:w="23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540" w:type="dxa"/>
            <w:vAlign w:val="bottom"/>
            <w:tcBorders>
              <w:bottom w:val="single" w:sz="8" w:color="3A4967"/>
            </w:tcBorders>
          </w:tcPr>
          <w:p>
            <w:pPr>
              <w:spacing w:after="0"/>
              <w:rPr>
                <w:sz w:val="3"/>
                <w:szCs w:val="3"/>
                <w:color w:val="auto"/>
              </w:rPr>
            </w:pPr>
          </w:p>
        </w:tc>
        <w:tc>
          <w:tcPr>
            <w:tcW w:w="820" w:type="dxa"/>
            <w:vAlign w:val="bottom"/>
            <w:tcBorders>
              <w:bottom w:val="single" w:sz="8" w:color="3A4967"/>
            </w:tcBorders>
          </w:tcPr>
          <w:p>
            <w:pPr>
              <w:spacing w:after="0"/>
              <w:rPr>
                <w:sz w:val="3"/>
                <w:szCs w:val="3"/>
                <w:color w:val="auto"/>
              </w:rPr>
            </w:pPr>
          </w:p>
        </w:tc>
      </w:tr>
      <w:tr>
        <w:trPr>
          <w:trHeight w:val="227"/>
        </w:trPr>
        <w:tc>
          <w:tcPr>
            <w:tcW w:w="5600" w:type="dxa"/>
            <w:vAlign w:val="bottom"/>
          </w:tcPr>
          <w:p>
            <w:pPr>
              <w:ind w:left="80"/>
              <w:spacing w:after="0"/>
              <w:rPr>
                <w:sz w:val="20"/>
                <w:szCs w:val="20"/>
                <w:color w:val="auto"/>
              </w:rPr>
            </w:pPr>
            <w:r>
              <w:rPr>
                <w:rFonts w:ascii="Arial" w:cs="Arial" w:eastAsia="Arial" w:hAnsi="Arial"/>
                <w:sz w:val="17"/>
                <w:szCs w:val="17"/>
                <w:color w:val="3A4967"/>
              </w:rPr>
              <w:t>Balance at beginning of period</w:t>
            </w:r>
          </w:p>
        </w:tc>
        <w:tc>
          <w:tcPr>
            <w:tcW w:w="2340" w:type="dxa"/>
            <w:vAlign w:val="bottom"/>
          </w:tcPr>
          <w:p>
            <w:pPr>
              <w:jc w:val="right"/>
              <w:ind w:right="255"/>
              <w:spacing w:after="0"/>
              <w:rPr>
                <w:sz w:val="20"/>
                <w:szCs w:val="20"/>
                <w:color w:val="auto"/>
              </w:rPr>
            </w:pPr>
            <w:r>
              <w:rPr>
                <w:rFonts w:ascii="Arial" w:cs="Arial" w:eastAsia="Arial" w:hAnsi="Arial"/>
                <w:sz w:val="17"/>
                <w:szCs w:val="17"/>
                <w:color w:val="3A4967"/>
              </w:rPr>
              <w:t>$</w:t>
            </w:r>
          </w:p>
        </w:tc>
        <w:tc>
          <w:tcPr>
            <w:tcW w:w="880" w:type="dxa"/>
            <w:vAlign w:val="bottom"/>
          </w:tcPr>
          <w:p>
            <w:pPr>
              <w:jc w:val="right"/>
              <w:ind w:right="96"/>
              <w:spacing w:after="0"/>
              <w:rPr>
                <w:sz w:val="20"/>
                <w:szCs w:val="20"/>
                <w:color w:val="auto"/>
              </w:rPr>
            </w:pPr>
            <w:r>
              <w:rPr>
                <w:rFonts w:ascii="Arial" w:cs="Arial" w:eastAsia="Arial" w:hAnsi="Arial"/>
                <w:sz w:val="17"/>
                <w:szCs w:val="17"/>
                <w:color w:val="3A4967"/>
              </w:rPr>
              <w:t>303</w:t>
            </w:r>
          </w:p>
        </w:tc>
        <w:tc>
          <w:tcPr>
            <w:tcW w:w="540" w:type="dxa"/>
            <w:vAlign w:val="bottom"/>
          </w:tcPr>
          <w:p>
            <w:pPr>
              <w:jc w:val="right"/>
              <w:ind w:right="215"/>
              <w:spacing w:after="0"/>
              <w:rPr>
                <w:sz w:val="20"/>
                <w:szCs w:val="20"/>
                <w:color w:val="auto"/>
              </w:rPr>
            </w:pPr>
            <w:r>
              <w:rPr>
                <w:rFonts w:ascii="Arial" w:cs="Arial" w:eastAsia="Arial" w:hAnsi="Arial"/>
                <w:sz w:val="17"/>
                <w:szCs w:val="17"/>
                <w:color w:val="3A4967"/>
              </w:rPr>
              <w:t>$</w:t>
            </w:r>
          </w:p>
        </w:tc>
        <w:tc>
          <w:tcPr>
            <w:tcW w:w="820" w:type="dxa"/>
            <w:vAlign w:val="bottom"/>
          </w:tcPr>
          <w:p>
            <w:pPr>
              <w:jc w:val="right"/>
              <w:ind w:right="56"/>
              <w:spacing w:after="0"/>
              <w:rPr>
                <w:sz w:val="20"/>
                <w:szCs w:val="20"/>
                <w:color w:val="auto"/>
              </w:rPr>
            </w:pPr>
            <w:r>
              <w:rPr>
                <w:rFonts w:ascii="Arial" w:cs="Arial" w:eastAsia="Arial" w:hAnsi="Arial"/>
                <w:sz w:val="17"/>
                <w:szCs w:val="17"/>
                <w:color w:val="3A4967"/>
              </w:rPr>
              <w:t>243</w:t>
            </w:r>
          </w:p>
        </w:tc>
      </w:tr>
      <w:tr>
        <w:trPr>
          <w:trHeight w:val="281"/>
        </w:trPr>
        <w:tc>
          <w:tcPr>
            <w:tcW w:w="5600" w:type="dxa"/>
            <w:vAlign w:val="bottom"/>
          </w:tcPr>
          <w:p>
            <w:pPr>
              <w:ind w:left="80"/>
              <w:spacing w:after="0"/>
              <w:rPr>
                <w:sz w:val="20"/>
                <w:szCs w:val="20"/>
                <w:color w:val="auto"/>
              </w:rPr>
            </w:pPr>
            <w:r>
              <w:rPr>
                <w:rFonts w:ascii="Arial" w:cs="Arial" w:eastAsia="Arial" w:hAnsi="Arial"/>
                <w:sz w:val="17"/>
                <w:szCs w:val="17"/>
                <w:color w:val="3A4967"/>
              </w:rPr>
              <w:t>Increases related to current period tax positions</w:t>
            </w:r>
          </w:p>
        </w:tc>
        <w:tc>
          <w:tcPr>
            <w:tcW w:w="2340" w:type="dxa"/>
            <w:vAlign w:val="bottom"/>
          </w:tcPr>
          <w:p>
            <w:pPr>
              <w:spacing w:after="0"/>
              <w:rPr>
                <w:sz w:val="24"/>
                <w:szCs w:val="24"/>
                <w:color w:val="auto"/>
              </w:rPr>
            </w:pPr>
          </w:p>
        </w:tc>
        <w:tc>
          <w:tcPr>
            <w:tcW w:w="880" w:type="dxa"/>
            <w:vAlign w:val="bottom"/>
          </w:tcPr>
          <w:p>
            <w:pPr>
              <w:jc w:val="right"/>
              <w:ind w:right="96"/>
              <w:spacing w:after="0"/>
              <w:rPr>
                <w:sz w:val="20"/>
                <w:szCs w:val="20"/>
                <w:color w:val="auto"/>
              </w:rPr>
            </w:pPr>
            <w:r>
              <w:rPr>
                <w:rFonts w:ascii="Arial" w:cs="Arial" w:eastAsia="Arial" w:hAnsi="Arial"/>
                <w:sz w:val="17"/>
                <w:szCs w:val="17"/>
                <w:color w:val="3A4967"/>
              </w:rPr>
              <w:t>33</w:t>
            </w:r>
          </w:p>
        </w:tc>
        <w:tc>
          <w:tcPr>
            <w:tcW w:w="54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3A4967"/>
              </w:rPr>
              <w:t>69</w:t>
            </w:r>
          </w:p>
        </w:tc>
      </w:tr>
      <w:tr>
        <w:trPr>
          <w:trHeight w:val="281"/>
        </w:trPr>
        <w:tc>
          <w:tcPr>
            <w:tcW w:w="5600" w:type="dxa"/>
            <w:vAlign w:val="bottom"/>
          </w:tcPr>
          <w:p>
            <w:pPr>
              <w:ind w:left="80"/>
              <w:spacing w:after="0"/>
              <w:rPr>
                <w:sz w:val="20"/>
                <w:szCs w:val="20"/>
                <w:color w:val="auto"/>
              </w:rPr>
            </w:pPr>
            <w:r>
              <w:rPr>
                <w:rFonts w:ascii="Arial" w:cs="Arial" w:eastAsia="Arial" w:hAnsi="Arial"/>
                <w:sz w:val="17"/>
                <w:szCs w:val="17"/>
                <w:color w:val="3A4967"/>
              </w:rPr>
              <w:t>Increases related to prior period tax positions</w:t>
            </w:r>
          </w:p>
        </w:tc>
        <w:tc>
          <w:tcPr>
            <w:tcW w:w="2340" w:type="dxa"/>
            <w:vAlign w:val="bottom"/>
          </w:tcPr>
          <w:p>
            <w:pPr>
              <w:spacing w:after="0"/>
              <w:rPr>
                <w:sz w:val="24"/>
                <w:szCs w:val="24"/>
                <w:color w:val="auto"/>
              </w:rPr>
            </w:pPr>
          </w:p>
        </w:tc>
        <w:tc>
          <w:tcPr>
            <w:tcW w:w="880" w:type="dxa"/>
            <w:vAlign w:val="bottom"/>
          </w:tcPr>
          <w:p>
            <w:pPr>
              <w:jc w:val="right"/>
              <w:ind w:right="96"/>
              <w:spacing w:after="0"/>
              <w:rPr>
                <w:sz w:val="20"/>
                <w:szCs w:val="20"/>
                <w:color w:val="auto"/>
              </w:rPr>
            </w:pPr>
            <w:r>
              <w:rPr>
                <w:rFonts w:ascii="Arial" w:cs="Arial" w:eastAsia="Arial" w:hAnsi="Arial"/>
                <w:sz w:val="17"/>
                <w:szCs w:val="17"/>
                <w:color w:val="3A4967"/>
              </w:rPr>
              <w:t>309</w:t>
            </w:r>
          </w:p>
        </w:tc>
        <w:tc>
          <w:tcPr>
            <w:tcW w:w="540" w:type="dxa"/>
            <w:vAlign w:val="bottom"/>
          </w:tcPr>
          <w:p>
            <w:pPr>
              <w:spacing w:after="0"/>
              <w:rPr>
                <w:sz w:val="24"/>
                <w:szCs w:val="24"/>
                <w:color w:val="auto"/>
              </w:rPr>
            </w:pPr>
          </w:p>
        </w:tc>
        <w:tc>
          <w:tcPr>
            <w:tcW w:w="820" w:type="dxa"/>
            <w:vAlign w:val="bottom"/>
          </w:tcPr>
          <w:p>
            <w:pPr>
              <w:jc w:val="right"/>
              <w:ind w:right="56"/>
              <w:spacing w:after="0"/>
              <w:rPr>
                <w:sz w:val="20"/>
                <w:szCs w:val="20"/>
                <w:color w:val="auto"/>
              </w:rPr>
            </w:pPr>
            <w:r>
              <w:rPr>
                <w:rFonts w:ascii="Arial" w:cs="Arial" w:eastAsia="Arial" w:hAnsi="Arial"/>
                <w:sz w:val="17"/>
                <w:szCs w:val="17"/>
                <w:color w:val="3A4967"/>
              </w:rPr>
              <w:t>4</w:t>
            </w:r>
          </w:p>
        </w:tc>
      </w:tr>
      <w:tr>
        <w:trPr>
          <w:trHeight w:val="289"/>
        </w:trPr>
        <w:tc>
          <w:tcPr>
            <w:tcW w:w="5600" w:type="dxa"/>
            <w:vAlign w:val="bottom"/>
          </w:tcPr>
          <w:p>
            <w:pPr>
              <w:ind w:left="80"/>
              <w:spacing w:after="0"/>
              <w:rPr>
                <w:sz w:val="20"/>
                <w:szCs w:val="20"/>
                <w:color w:val="auto"/>
              </w:rPr>
            </w:pPr>
            <w:r>
              <w:rPr>
                <w:rFonts w:ascii="Arial" w:cs="Arial" w:eastAsia="Arial" w:hAnsi="Arial"/>
                <w:sz w:val="17"/>
                <w:szCs w:val="17"/>
                <w:color w:val="3A4967"/>
              </w:rPr>
              <w:t>Decreases related to lapse of statute of limitations</w:t>
            </w:r>
          </w:p>
        </w:tc>
        <w:tc>
          <w:tcPr>
            <w:tcW w:w="2340" w:type="dxa"/>
            <w:vAlign w:val="bottom"/>
          </w:tcPr>
          <w:p>
            <w:pPr>
              <w:spacing w:after="0"/>
              <w:rPr>
                <w:sz w:val="24"/>
                <w:szCs w:val="24"/>
                <w:color w:val="auto"/>
              </w:rPr>
            </w:pPr>
          </w:p>
        </w:tc>
        <w:tc>
          <w:tcPr>
            <w:tcW w:w="880" w:type="dxa"/>
            <w:vAlign w:val="bottom"/>
          </w:tcPr>
          <w:p>
            <w:pPr>
              <w:jc w:val="right"/>
              <w:ind w:right="56"/>
              <w:spacing w:after="0"/>
              <w:rPr>
                <w:sz w:val="20"/>
                <w:szCs w:val="20"/>
                <w:color w:val="auto"/>
              </w:rPr>
            </w:pPr>
            <w:r>
              <w:rPr>
                <w:rFonts w:ascii="Arial" w:cs="Arial" w:eastAsia="Arial" w:hAnsi="Arial"/>
                <w:sz w:val="17"/>
                <w:szCs w:val="17"/>
                <w:color w:val="3A4967"/>
              </w:rPr>
              <w:t>(165)</w:t>
            </w:r>
          </w:p>
        </w:tc>
        <w:tc>
          <w:tcPr>
            <w:tcW w:w="540" w:type="dxa"/>
            <w:vAlign w:val="bottom"/>
          </w:tcPr>
          <w:p>
            <w:pPr>
              <w:spacing w:after="0"/>
              <w:rPr>
                <w:sz w:val="24"/>
                <w:szCs w:val="24"/>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3A4967"/>
              </w:rPr>
              <w:t>(13)</w:t>
            </w:r>
          </w:p>
        </w:tc>
      </w:tr>
      <w:tr>
        <w:trPr>
          <w:trHeight w:val="42"/>
        </w:trPr>
        <w:tc>
          <w:tcPr>
            <w:tcW w:w="5600" w:type="dxa"/>
            <w:vAlign w:val="bottom"/>
            <w:tcBorders>
              <w:bottom w:val="single" w:sz="8" w:color="3A4967"/>
            </w:tcBorders>
          </w:tcPr>
          <w:p>
            <w:pPr>
              <w:spacing w:after="0"/>
              <w:rPr>
                <w:sz w:val="3"/>
                <w:szCs w:val="3"/>
                <w:color w:val="auto"/>
              </w:rPr>
            </w:pPr>
          </w:p>
        </w:tc>
        <w:tc>
          <w:tcPr>
            <w:tcW w:w="23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540" w:type="dxa"/>
            <w:vAlign w:val="bottom"/>
            <w:tcBorders>
              <w:bottom w:val="single" w:sz="8" w:color="3A4967"/>
            </w:tcBorders>
          </w:tcPr>
          <w:p>
            <w:pPr>
              <w:spacing w:after="0"/>
              <w:rPr>
                <w:sz w:val="3"/>
                <w:szCs w:val="3"/>
                <w:color w:val="auto"/>
              </w:rPr>
            </w:pPr>
          </w:p>
        </w:tc>
        <w:tc>
          <w:tcPr>
            <w:tcW w:w="820" w:type="dxa"/>
            <w:vAlign w:val="bottom"/>
            <w:tcBorders>
              <w:bottom w:val="single" w:sz="8" w:color="3A4967"/>
            </w:tcBorders>
          </w:tcPr>
          <w:p>
            <w:pPr>
              <w:spacing w:after="0"/>
              <w:rPr>
                <w:sz w:val="3"/>
                <w:szCs w:val="3"/>
                <w:color w:val="auto"/>
              </w:rPr>
            </w:pPr>
          </w:p>
        </w:tc>
      </w:tr>
      <w:tr>
        <w:trPr>
          <w:trHeight w:val="266"/>
        </w:trPr>
        <w:tc>
          <w:tcPr>
            <w:tcW w:w="560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BALANCE AT END OF PERIOD</w:t>
            </w:r>
          </w:p>
        </w:tc>
        <w:tc>
          <w:tcPr>
            <w:tcW w:w="2340" w:type="dxa"/>
            <w:vAlign w:val="bottom"/>
            <w:tcBorders>
              <w:bottom w:val="single" w:sz="8" w:color="3A4967"/>
            </w:tcBorders>
          </w:tcPr>
          <w:p>
            <w:pPr>
              <w:jc w:val="right"/>
              <w:ind w:right="255"/>
              <w:spacing w:after="0"/>
              <w:rPr>
                <w:sz w:val="20"/>
                <w:szCs w:val="20"/>
                <w:color w:val="auto"/>
              </w:rPr>
            </w:pPr>
            <w:r>
              <w:rPr>
                <w:rFonts w:ascii="Arial" w:cs="Arial" w:eastAsia="Arial" w:hAnsi="Arial"/>
                <w:sz w:val="17"/>
                <w:szCs w:val="17"/>
                <w:b w:val="1"/>
                <w:bCs w:val="1"/>
                <w:color w:val="3A4967"/>
              </w:rPr>
              <w:t>$</w:t>
            </w:r>
          </w:p>
        </w:tc>
        <w:tc>
          <w:tcPr>
            <w:tcW w:w="880" w:type="dxa"/>
            <w:vAlign w:val="bottom"/>
            <w:tcBorders>
              <w:bottom w:val="single" w:sz="8" w:color="3A4967"/>
            </w:tcBorders>
          </w:tcPr>
          <w:p>
            <w:pPr>
              <w:jc w:val="right"/>
              <w:ind w:right="96"/>
              <w:spacing w:after="0"/>
              <w:rPr>
                <w:sz w:val="20"/>
                <w:szCs w:val="20"/>
                <w:color w:val="auto"/>
              </w:rPr>
            </w:pPr>
            <w:r>
              <w:rPr>
                <w:rFonts w:ascii="Arial" w:cs="Arial" w:eastAsia="Arial" w:hAnsi="Arial"/>
                <w:sz w:val="17"/>
                <w:szCs w:val="17"/>
                <w:b w:val="1"/>
                <w:bCs w:val="1"/>
                <w:color w:val="3A4967"/>
              </w:rPr>
              <w:t>480</w:t>
            </w:r>
          </w:p>
        </w:tc>
        <w:tc>
          <w:tcPr>
            <w:tcW w:w="540" w:type="dxa"/>
            <w:vAlign w:val="bottom"/>
            <w:tcBorders>
              <w:bottom w:val="single" w:sz="8" w:color="3A4967"/>
            </w:tcBorders>
          </w:tcPr>
          <w:p>
            <w:pPr>
              <w:jc w:val="right"/>
              <w:ind w:right="215"/>
              <w:spacing w:after="0"/>
              <w:rPr>
                <w:sz w:val="20"/>
                <w:szCs w:val="20"/>
                <w:color w:val="auto"/>
              </w:rPr>
            </w:pPr>
            <w:r>
              <w:rPr>
                <w:rFonts w:ascii="Arial" w:cs="Arial" w:eastAsia="Arial" w:hAnsi="Arial"/>
                <w:sz w:val="17"/>
                <w:szCs w:val="17"/>
                <w:b w:val="1"/>
                <w:bCs w:val="1"/>
                <w:color w:val="3A4967"/>
              </w:rPr>
              <w:t>$</w:t>
            </w:r>
          </w:p>
        </w:tc>
        <w:tc>
          <w:tcPr>
            <w:tcW w:w="820" w:type="dxa"/>
            <w:vAlign w:val="bottom"/>
            <w:tcBorders>
              <w:bottom w:val="single" w:sz="8" w:color="3A4967"/>
            </w:tcBorders>
          </w:tcPr>
          <w:p>
            <w:pPr>
              <w:jc w:val="right"/>
              <w:ind w:right="56"/>
              <w:spacing w:after="0"/>
              <w:rPr>
                <w:sz w:val="20"/>
                <w:szCs w:val="20"/>
                <w:color w:val="auto"/>
              </w:rPr>
            </w:pPr>
            <w:r>
              <w:rPr>
                <w:rFonts w:ascii="Arial" w:cs="Arial" w:eastAsia="Arial" w:hAnsi="Arial"/>
                <w:sz w:val="17"/>
                <w:szCs w:val="17"/>
                <w:b w:val="1"/>
                <w:bCs w:val="1"/>
                <w:color w:val="3A4967"/>
              </w:rPr>
              <w:t>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-927100</wp:posOffset>
            </wp:positionV>
            <wp:extent cx="6491605" cy="927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491605" cy="92773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3A4967"/>
        </w:rPr>
        <w:t>Included in the balance of unrecognized tax benefits at December 28, 2024 and December 30, 2023 are potential net benefits of $ 0.5 million and $0.3 million, respectively, that would favorably impact the effective tax rate if recognized. Unrecognized tax benefits are included in accrued expenses in the accompanying consolidated balance sheets and adjusted in the period in which new information about a tax position becomes available or the final outcome differs from the amount recorded.</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As of December 28, 2024, the Company’s 2021, 2022, and 2023 federal income tax returns remain subject to examination by the IRS. The Company’s state income tax returns remain subject to examination for three or four years depending on the state’s statute of limitations. In addition, the Company is generally obligated to report changes in taxable income arising from federal income tax audits. The Company is not currently under any income tax audits as of December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175260</wp:posOffset>
            </wp:positionV>
            <wp:extent cx="2584450" cy="1917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ind w:right="380"/>
        <w:spacing w:after="0" w:line="268" w:lineRule="auto"/>
        <w:rPr>
          <w:sz w:val="20"/>
          <w:szCs w:val="20"/>
          <w:color w:val="auto"/>
        </w:rPr>
      </w:pPr>
      <w:r>
        <w:rPr>
          <w:rFonts w:ascii="Arial" w:cs="Arial" w:eastAsia="Arial" w:hAnsi="Arial"/>
          <w:sz w:val="17"/>
          <w:szCs w:val="17"/>
          <w:color w:val="3A4967"/>
        </w:rPr>
        <w:t>As of December 28, 2024, the Company’s deferred tax assets include a valuation allowance of $8.2 million, compared to $5.8 million at December 30, 2023. The valuation allowance as of December 28, 2024 and December 30, 2023 was primarily related to stock-based compensation expected by management to be non-deductible under Internal Revenue Code, Section 162(m), as well as jurisdictional losses not expected to be utilized before expiring. The net increase in total valuation allowance was $2.4 million from December 30, 2023 to December 28, 2024, compared to a net increase of $1.2 million from December 31, 2022 to December 30, 2023 and a net increase of $1.3 million from December 25, 2021 to December 31, 2022.</w:t>
      </w:r>
    </w:p>
    <w:p>
      <w:pPr>
        <w:spacing w:after="0" w:line="1174"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146"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61" w:name="page62"/>
    <w:bookmarkEnd w:id="61"/>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6D7890"/>
        </w:rPr>
        <w:t>M. Commitments and Contingencies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Contractual Obligations</w:t>
      </w:r>
    </w:p>
    <w:p>
      <w:pPr>
        <w:spacing w:after="0" w:line="118" w:lineRule="exact"/>
        <w:rPr>
          <w:sz w:val="20"/>
          <w:szCs w:val="20"/>
          <w:color w:val="auto"/>
        </w:rPr>
      </w:pPr>
    </w:p>
    <w:p>
      <w:pPr>
        <w:ind w:left="400"/>
        <w:spacing w:after="0" w:line="267" w:lineRule="auto"/>
        <w:rPr>
          <w:sz w:val="20"/>
          <w:szCs w:val="20"/>
          <w:color w:val="auto"/>
        </w:rPr>
      </w:pPr>
      <w:r>
        <w:rPr>
          <w:rFonts w:ascii="Arial" w:cs="Arial" w:eastAsia="Arial" w:hAnsi="Arial"/>
          <w:sz w:val="18"/>
          <w:szCs w:val="18"/>
          <w:color w:val="3A4967"/>
        </w:rPr>
        <w:t>As of December 28, 2024, projected cash outflows under non-cancellable contractual obligations for the remaining years under the contracts are as follows:</w:t>
      </w:r>
    </w:p>
    <w:p>
      <w:pPr>
        <w:spacing w:after="0" w:line="161" w:lineRule="exact"/>
        <w:rPr>
          <w:sz w:val="20"/>
          <w:szCs w:val="20"/>
          <w:color w:val="auto"/>
        </w:rPr>
      </w:pPr>
    </w:p>
    <w:tbl>
      <w:tblPr>
        <w:tblLayout w:type="fixed"/>
        <w:tblInd w:w="400" w:type="dxa"/>
        <w:tblCellMar>
          <w:top w:w="0" w:type="dxa"/>
          <w:left w:w="0" w:type="dxa"/>
          <w:bottom w:w="0" w:type="dxa"/>
          <w:right w:w="0" w:type="dxa"/>
        </w:tblCellMar>
      </w:tblPr>
      <w:tr>
        <w:trPr>
          <w:trHeight w:val="198"/>
        </w:trPr>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b w:val="1"/>
                <w:bCs w:val="1"/>
                <w:color w:val="3A4967"/>
              </w:rPr>
              <w:t>Payments Due by Fiscal Year</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6"/>
        </w:trPr>
        <w:tc>
          <w:tcPr>
            <w:tcW w:w="4460" w:type="dxa"/>
            <w:vAlign w:val="bottom"/>
          </w:tcPr>
          <w:p>
            <w:pPr>
              <w:spacing w:after="0"/>
              <w:rPr>
                <w:sz w:val="3"/>
                <w:szCs w:val="3"/>
                <w:color w:val="auto"/>
              </w:rPr>
            </w:pPr>
          </w:p>
        </w:tc>
        <w:tc>
          <w:tcPr>
            <w:tcW w:w="30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28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32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520" w:type="dxa"/>
            <w:vAlign w:val="bottom"/>
            <w:tcBorders>
              <w:bottom w:val="single" w:sz="8" w:color="3A4967"/>
            </w:tcBorders>
          </w:tcPr>
          <w:p>
            <w:pPr>
              <w:spacing w:after="0"/>
              <w:rPr>
                <w:sz w:val="3"/>
                <w:szCs w:val="3"/>
                <w:color w:val="auto"/>
              </w:rPr>
            </w:pPr>
          </w:p>
        </w:tc>
        <w:tc>
          <w:tcPr>
            <w:tcW w:w="620" w:type="dxa"/>
            <w:vAlign w:val="bottom"/>
            <w:tcBorders>
              <w:bottom w:val="single" w:sz="8" w:color="3A4967"/>
            </w:tcBorders>
          </w:tcPr>
          <w:p>
            <w:pPr>
              <w:spacing w:after="0"/>
              <w:rPr>
                <w:sz w:val="3"/>
                <w:szCs w:val="3"/>
                <w:color w:val="auto"/>
              </w:rPr>
            </w:pPr>
          </w:p>
        </w:tc>
        <w:tc>
          <w:tcPr>
            <w:tcW w:w="22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r>
      <w:tr>
        <w:trPr>
          <w:trHeight w:val="244"/>
        </w:trPr>
        <w:tc>
          <w:tcPr>
            <w:tcW w:w="446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30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6"/>
                <w:szCs w:val="16"/>
                <w:b w:val="1"/>
                <w:bCs w:val="1"/>
                <w:color w:val="3A4967"/>
              </w:rPr>
              <w:t>Total</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6"/>
                <w:szCs w:val="16"/>
                <w:b w:val="1"/>
                <w:bCs w:val="1"/>
                <w:color w:val="3A4967"/>
              </w:rPr>
              <w:t>2025</w:t>
            </w:r>
          </w:p>
        </w:tc>
        <w:tc>
          <w:tcPr>
            <w:tcW w:w="3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6"/>
                <w:szCs w:val="16"/>
                <w:b w:val="1"/>
                <w:bCs w:val="1"/>
                <w:color w:val="3A4967"/>
              </w:rPr>
              <w:t>2026</w:t>
            </w:r>
          </w:p>
        </w:tc>
        <w:tc>
          <w:tcPr>
            <w:tcW w:w="520" w:type="dxa"/>
            <w:vAlign w:val="bottom"/>
          </w:tcPr>
          <w:p>
            <w:pPr>
              <w:spacing w:after="0"/>
              <w:rPr>
                <w:sz w:val="21"/>
                <w:szCs w:val="21"/>
                <w:color w:val="auto"/>
              </w:rPr>
            </w:pPr>
          </w:p>
        </w:tc>
        <w:tc>
          <w:tcPr>
            <w:tcW w:w="620" w:type="dxa"/>
            <w:vAlign w:val="bottom"/>
          </w:tcPr>
          <w:p>
            <w:pPr>
              <w:jc w:val="right"/>
              <w:ind w:right="36"/>
              <w:spacing w:after="0"/>
              <w:rPr>
                <w:sz w:val="20"/>
                <w:szCs w:val="20"/>
                <w:color w:val="auto"/>
              </w:rPr>
            </w:pPr>
            <w:r>
              <w:rPr>
                <w:rFonts w:ascii="Arial" w:cs="Arial" w:eastAsia="Arial" w:hAnsi="Arial"/>
                <w:sz w:val="16"/>
                <w:szCs w:val="16"/>
                <w:b w:val="1"/>
                <w:bCs w:val="1"/>
                <w:color w:val="3A4967"/>
              </w:rPr>
              <w:t>2027</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3A4967"/>
                <w:w w:val="99"/>
              </w:rPr>
              <w:t>Thereafter</w:t>
            </w:r>
          </w:p>
        </w:tc>
      </w:tr>
      <w:tr>
        <w:trPr>
          <w:trHeight w:val="36"/>
        </w:trPr>
        <w:tc>
          <w:tcPr>
            <w:tcW w:w="4460" w:type="dxa"/>
            <w:vAlign w:val="bottom"/>
            <w:tcBorders>
              <w:bottom w:val="single" w:sz="8" w:color="3A4967"/>
            </w:tcBorders>
          </w:tcPr>
          <w:p>
            <w:pPr>
              <w:spacing w:after="0"/>
              <w:rPr>
                <w:sz w:val="3"/>
                <w:szCs w:val="3"/>
                <w:color w:val="auto"/>
              </w:rPr>
            </w:pPr>
          </w:p>
        </w:tc>
        <w:tc>
          <w:tcPr>
            <w:tcW w:w="30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28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32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520" w:type="dxa"/>
            <w:vAlign w:val="bottom"/>
            <w:tcBorders>
              <w:bottom w:val="single" w:sz="8" w:color="3A4967"/>
            </w:tcBorders>
          </w:tcPr>
          <w:p>
            <w:pPr>
              <w:spacing w:after="0"/>
              <w:rPr>
                <w:sz w:val="3"/>
                <w:szCs w:val="3"/>
                <w:color w:val="auto"/>
              </w:rPr>
            </w:pPr>
          </w:p>
        </w:tc>
        <w:tc>
          <w:tcPr>
            <w:tcW w:w="620" w:type="dxa"/>
            <w:vAlign w:val="bottom"/>
            <w:tcBorders>
              <w:bottom w:val="single" w:sz="8" w:color="3A4967"/>
            </w:tcBorders>
          </w:tcPr>
          <w:p>
            <w:pPr>
              <w:spacing w:after="0"/>
              <w:rPr>
                <w:sz w:val="3"/>
                <w:szCs w:val="3"/>
                <w:color w:val="auto"/>
              </w:rPr>
            </w:pPr>
          </w:p>
        </w:tc>
        <w:tc>
          <w:tcPr>
            <w:tcW w:w="22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r>
      <w:tr>
        <w:trPr>
          <w:trHeight w:val="227"/>
        </w:trPr>
        <w:tc>
          <w:tcPr>
            <w:tcW w:w="4460" w:type="dxa"/>
            <w:vAlign w:val="bottom"/>
          </w:tcPr>
          <w:p>
            <w:pPr>
              <w:ind w:left="80"/>
              <w:spacing w:after="0"/>
              <w:rPr>
                <w:sz w:val="20"/>
                <w:szCs w:val="20"/>
                <w:color w:val="auto"/>
              </w:rPr>
            </w:pPr>
            <w:r>
              <w:rPr>
                <w:rFonts w:ascii="Arial" w:cs="Arial" w:eastAsia="Arial" w:hAnsi="Arial"/>
                <w:sz w:val="17"/>
                <w:szCs w:val="17"/>
                <w:color w:val="3A4967"/>
              </w:rPr>
              <w:t>Brand support</w:t>
            </w:r>
          </w:p>
        </w:tc>
        <w:tc>
          <w:tcPr>
            <w:tcW w:w="300" w:type="dxa"/>
            <w:vAlign w:val="bottom"/>
          </w:tcPr>
          <w:p>
            <w:pPr>
              <w:jc w:val="right"/>
              <w:spacing w:after="0"/>
              <w:rPr>
                <w:sz w:val="20"/>
                <w:szCs w:val="20"/>
                <w:color w:val="auto"/>
              </w:rPr>
            </w:pPr>
            <w:r>
              <w:rPr>
                <w:rFonts w:ascii="Arial" w:cs="Arial" w:eastAsia="Arial" w:hAnsi="Arial"/>
                <w:sz w:val="17"/>
                <w:szCs w:val="17"/>
                <w:color w:val="3A4967"/>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3A4967"/>
              </w:rPr>
              <w:t>68,602</w:t>
            </w:r>
          </w:p>
        </w:tc>
        <w:tc>
          <w:tcPr>
            <w:tcW w:w="280" w:type="dxa"/>
            <w:vAlign w:val="bottom"/>
          </w:tcPr>
          <w:p>
            <w:pPr>
              <w:jc w:val="right"/>
              <w:spacing w:after="0"/>
              <w:rPr>
                <w:sz w:val="20"/>
                <w:szCs w:val="20"/>
                <w:color w:val="auto"/>
              </w:rPr>
            </w:pPr>
            <w:r>
              <w:rPr>
                <w:rFonts w:ascii="Arial" w:cs="Arial" w:eastAsia="Arial" w:hAnsi="Arial"/>
                <w:sz w:val="17"/>
                <w:szCs w:val="17"/>
                <w:color w:val="3A4967"/>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3A4967"/>
              </w:rPr>
              <w:t>63,618</w:t>
            </w:r>
          </w:p>
        </w:tc>
        <w:tc>
          <w:tcPr>
            <w:tcW w:w="320" w:type="dxa"/>
            <w:vAlign w:val="bottom"/>
          </w:tcPr>
          <w:p>
            <w:pPr>
              <w:jc w:val="right"/>
              <w:ind w:right="15"/>
              <w:spacing w:after="0"/>
              <w:rPr>
                <w:sz w:val="20"/>
                <w:szCs w:val="20"/>
                <w:color w:val="auto"/>
              </w:rPr>
            </w:pPr>
            <w:r>
              <w:rPr>
                <w:rFonts w:ascii="Arial" w:cs="Arial" w:eastAsia="Arial" w:hAnsi="Arial"/>
                <w:sz w:val="17"/>
                <w:szCs w:val="17"/>
                <w:color w:val="3A4967"/>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3A4967"/>
              </w:rPr>
              <w:t>4,559</w:t>
            </w:r>
          </w:p>
        </w:tc>
        <w:tc>
          <w:tcPr>
            <w:tcW w:w="520" w:type="dxa"/>
            <w:vAlign w:val="bottom"/>
          </w:tcPr>
          <w:p>
            <w:pPr>
              <w:jc w:val="right"/>
              <w:ind w:right="215"/>
              <w:spacing w:after="0"/>
              <w:rPr>
                <w:sz w:val="20"/>
                <w:szCs w:val="20"/>
                <w:color w:val="auto"/>
              </w:rPr>
            </w:pPr>
            <w:r>
              <w:rPr>
                <w:rFonts w:ascii="Arial" w:cs="Arial" w:eastAsia="Arial" w:hAnsi="Arial"/>
                <w:sz w:val="17"/>
                <w:szCs w:val="17"/>
                <w:color w:val="3A4967"/>
              </w:rPr>
              <w:t>$</w:t>
            </w:r>
          </w:p>
        </w:tc>
        <w:tc>
          <w:tcPr>
            <w:tcW w:w="620" w:type="dxa"/>
            <w:vAlign w:val="bottom"/>
          </w:tcPr>
          <w:p>
            <w:pPr>
              <w:jc w:val="right"/>
              <w:ind w:right="36"/>
              <w:spacing w:after="0"/>
              <w:rPr>
                <w:sz w:val="20"/>
                <w:szCs w:val="20"/>
                <w:color w:val="auto"/>
              </w:rPr>
            </w:pPr>
            <w:r>
              <w:rPr>
                <w:rFonts w:ascii="Arial" w:cs="Arial" w:eastAsia="Arial" w:hAnsi="Arial"/>
                <w:sz w:val="17"/>
                <w:szCs w:val="17"/>
                <w:color w:val="3A4967"/>
              </w:rPr>
              <w:t>425</w:t>
            </w:r>
          </w:p>
        </w:tc>
        <w:tc>
          <w:tcPr>
            <w:tcW w:w="220" w:type="dxa"/>
            <w:vAlign w:val="bottom"/>
          </w:tcPr>
          <w:p>
            <w:pPr>
              <w:jc w:val="right"/>
              <w:spacing w:after="0"/>
              <w:rPr>
                <w:sz w:val="20"/>
                <w:szCs w:val="20"/>
                <w:color w:val="auto"/>
              </w:rPr>
            </w:pPr>
            <w:r>
              <w:rPr>
                <w:rFonts w:ascii="Arial" w:cs="Arial" w:eastAsia="Arial" w:hAnsi="Arial"/>
                <w:sz w:val="17"/>
                <w:szCs w:val="17"/>
                <w:color w:val="3A4967"/>
              </w:rPr>
              <w:t>$</w:t>
            </w:r>
          </w:p>
        </w:tc>
        <w:tc>
          <w:tcPr>
            <w:tcW w:w="880" w:type="dxa"/>
            <w:vAlign w:val="bottom"/>
          </w:tcPr>
          <w:p>
            <w:pPr>
              <w:jc w:val="right"/>
              <w:spacing w:after="0"/>
              <w:rPr>
                <w:sz w:val="20"/>
                <w:szCs w:val="20"/>
                <w:color w:val="auto"/>
              </w:rPr>
            </w:pPr>
            <w:r>
              <w:rPr>
                <w:rFonts w:ascii="Arial" w:cs="Arial" w:eastAsia="Arial" w:hAnsi="Arial"/>
                <w:sz w:val="17"/>
                <w:szCs w:val="17"/>
                <w:color w:val="3A4967"/>
              </w:rPr>
              <w:t>—</w:t>
            </w:r>
          </w:p>
        </w:tc>
      </w:tr>
      <w:tr>
        <w:trPr>
          <w:trHeight w:val="281"/>
        </w:trPr>
        <w:tc>
          <w:tcPr>
            <w:tcW w:w="4460" w:type="dxa"/>
            <w:vAlign w:val="bottom"/>
          </w:tcPr>
          <w:p>
            <w:pPr>
              <w:ind w:left="80"/>
              <w:spacing w:after="0"/>
              <w:rPr>
                <w:sz w:val="20"/>
                <w:szCs w:val="20"/>
                <w:color w:val="auto"/>
              </w:rPr>
            </w:pPr>
            <w:r>
              <w:rPr>
                <w:rFonts w:ascii="Arial" w:cs="Arial" w:eastAsia="Arial" w:hAnsi="Arial"/>
                <w:sz w:val="17"/>
                <w:szCs w:val="17"/>
                <w:color w:val="3A4967"/>
              </w:rPr>
              <w:t>Ingredients and packaging (excluding hops and malt)</w:t>
            </w:r>
          </w:p>
        </w:tc>
        <w:tc>
          <w:tcPr>
            <w:tcW w:w="300" w:type="dxa"/>
            <w:vAlign w:val="bottom"/>
          </w:tcPr>
          <w:p>
            <w:pPr>
              <w:spacing w:after="0"/>
              <w:rPr>
                <w:sz w:val="24"/>
                <w:szCs w:val="24"/>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3A4967"/>
              </w:rPr>
              <w:t>56,044</w:t>
            </w:r>
          </w:p>
        </w:tc>
        <w:tc>
          <w:tcPr>
            <w:tcW w:w="280" w:type="dxa"/>
            <w:vAlign w:val="bottom"/>
          </w:tcPr>
          <w:p>
            <w:pPr>
              <w:spacing w:after="0"/>
              <w:rPr>
                <w:sz w:val="24"/>
                <w:szCs w:val="24"/>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3A4967"/>
              </w:rPr>
              <w:t>56,044</w:t>
            </w:r>
          </w:p>
        </w:tc>
        <w:tc>
          <w:tcPr>
            <w:tcW w:w="32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3A4967"/>
              </w:rPr>
              <w:t>—</w:t>
            </w:r>
          </w:p>
        </w:tc>
        <w:tc>
          <w:tcPr>
            <w:tcW w:w="52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3A4967"/>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w:t>
            </w:r>
          </w:p>
        </w:tc>
      </w:tr>
      <w:tr>
        <w:trPr>
          <w:trHeight w:val="281"/>
        </w:trPr>
        <w:tc>
          <w:tcPr>
            <w:tcW w:w="4460" w:type="dxa"/>
            <w:vAlign w:val="bottom"/>
          </w:tcPr>
          <w:p>
            <w:pPr>
              <w:ind w:left="80"/>
              <w:spacing w:after="0"/>
              <w:rPr>
                <w:sz w:val="20"/>
                <w:szCs w:val="20"/>
                <w:color w:val="auto"/>
              </w:rPr>
            </w:pPr>
            <w:r>
              <w:rPr>
                <w:rFonts w:ascii="Arial" w:cs="Arial" w:eastAsia="Arial" w:hAnsi="Arial"/>
                <w:sz w:val="17"/>
                <w:szCs w:val="17"/>
                <w:color w:val="3A4967"/>
              </w:rPr>
              <w:t>Hops and malt</w:t>
            </w:r>
          </w:p>
        </w:tc>
        <w:tc>
          <w:tcPr>
            <w:tcW w:w="300" w:type="dxa"/>
            <w:vAlign w:val="bottom"/>
          </w:tcPr>
          <w:p>
            <w:pPr>
              <w:spacing w:after="0"/>
              <w:rPr>
                <w:sz w:val="24"/>
                <w:szCs w:val="24"/>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3A4967"/>
              </w:rPr>
              <w:t>38,264</w:t>
            </w:r>
          </w:p>
        </w:tc>
        <w:tc>
          <w:tcPr>
            <w:tcW w:w="280" w:type="dxa"/>
            <w:vAlign w:val="bottom"/>
          </w:tcPr>
          <w:p>
            <w:pPr>
              <w:spacing w:after="0"/>
              <w:rPr>
                <w:sz w:val="24"/>
                <w:szCs w:val="24"/>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3A4967"/>
              </w:rPr>
              <w:t>33,080</w:t>
            </w:r>
          </w:p>
        </w:tc>
        <w:tc>
          <w:tcPr>
            <w:tcW w:w="32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3A4967"/>
              </w:rPr>
              <w:t>2,005</w:t>
            </w:r>
          </w:p>
        </w:tc>
        <w:tc>
          <w:tcPr>
            <w:tcW w:w="52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3A4967"/>
              </w:rPr>
              <w:t>1,462</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1,717</w:t>
            </w:r>
          </w:p>
        </w:tc>
      </w:tr>
      <w:tr>
        <w:trPr>
          <w:trHeight w:val="281"/>
        </w:trPr>
        <w:tc>
          <w:tcPr>
            <w:tcW w:w="4460" w:type="dxa"/>
            <w:vAlign w:val="bottom"/>
          </w:tcPr>
          <w:p>
            <w:pPr>
              <w:ind w:left="80"/>
              <w:spacing w:after="0"/>
              <w:rPr>
                <w:sz w:val="20"/>
                <w:szCs w:val="20"/>
                <w:color w:val="auto"/>
              </w:rPr>
            </w:pPr>
            <w:r>
              <w:rPr>
                <w:rFonts w:ascii="Arial" w:cs="Arial" w:eastAsia="Arial" w:hAnsi="Arial"/>
                <w:sz w:val="17"/>
                <w:szCs w:val="17"/>
                <w:color w:val="3A4967"/>
              </w:rPr>
              <w:t>Equipment and machinery</w:t>
            </w:r>
          </w:p>
        </w:tc>
        <w:tc>
          <w:tcPr>
            <w:tcW w:w="300" w:type="dxa"/>
            <w:vAlign w:val="bottom"/>
          </w:tcPr>
          <w:p>
            <w:pPr>
              <w:spacing w:after="0"/>
              <w:rPr>
                <w:sz w:val="24"/>
                <w:szCs w:val="24"/>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3A4967"/>
              </w:rPr>
              <w:t>34,240</w:t>
            </w:r>
          </w:p>
        </w:tc>
        <w:tc>
          <w:tcPr>
            <w:tcW w:w="280" w:type="dxa"/>
            <w:vAlign w:val="bottom"/>
          </w:tcPr>
          <w:p>
            <w:pPr>
              <w:spacing w:after="0"/>
              <w:rPr>
                <w:sz w:val="24"/>
                <w:szCs w:val="24"/>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3A4967"/>
              </w:rPr>
              <w:t>31,665</w:t>
            </w:r>
          </w:p>
        </w:tc>
        <w:tc>
          <w:tcPr>
            <w:tcW w:w="32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3A4967"/>
              </w:rPr>
              <w:t>1,934</w:t>
            </w:r>
          </w:p>
        </w:tc>
        <w:tc>
          <w:tcPr>
            <w:tcW w:w="52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3A4967"/>
              </w:rPr>
              <w:t>641</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w:t>
            </w:r>
          </w:p>
        </w:tc>
      </w:tr>
      <w:tr>
        <w:trPr>
          <w:trHeight w:val="281"/>
        </w:trPr>
        <w:tc>
          <w:tcPr>
            <w:tcW w:w="4460" w:type="dxa"/>
            <w:vAlign w:val="bottom"/>
          </w:tcPr>
          <w:p>
            <w:pPr>
              <w:ind w:left="80"/>
              <w:spacing w:after="0"/>
              <w:rPr>
                <w:sz w:val="20"/>
                <w:szCs w:val="20"/>
                <w:color w:val="auto"/>
              </w:rPr>
            </w:pPr>
            <w:r>
              <w:rPr>
                <w:rFonts w:ascii="Arial" w:cs="Arial" w:eastAsia="Arial" w:hAnsi="Arial"/>
                <w:sz w:val="17"/>
                <w:szCs w:val="17"/>
                <w:color w:val="3A4967"/>
              </w:rPr>
              <w:t>Other</w:t>
            </w:r>
          </w:p>
        </w:tc>
        <w:tc>
          <w:tcPr>
            <w:tcW w:w="300" w:type="dxa"/>
            <w:vAlign w:val="bottom"/>
          </w:tcPr>
          <w:p>
            <w:pPr>
              <w:spacing w:after="0"/>
              <w:rPr>
                <w:sz w:val="24"/>
                <w:szCs w:val="24"/>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3A4967"/>
              </w:rPr>
              <w:t>27,927</w:t>
            </w:r>
          </w:p>
        </w:tc>
        <w:tc>
          <w:tcPr>
            <w:tcW w:w="280" w:type="dxa"/>
            <w:vAlign w:val="bottom"/>
          </w:tcPr>
          <w:p>
            <w:pPr>
              <w:spacing w:after="0"/>
              <w:rPr>
                <w:sz w:val="24"/>
                <w:szCs w:val="24"/>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3A4967"/>
              </w:rPr>
              <w:t>18,415</w:t>
            </w:r>
          </w:p>
        </w:tc>
        <w:tc>
          <w:tcPr>
            <w:tcW w:w="320" w:type="dxa"/>
            <w:vAlign w:val="bottom"/>
          </w:tcPr>
          <w:p>
            <w:pPr>
              <w:spacing w:after="0"/>
              <w:rPr>
                <w:sz w:val="24"/>
                <w:szCs w:val="24"/>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3A4967"/>
              </w:rPr>
              <w:t>6,273</w:t>
            </w:r>
          </w:p>
        </w:tc>
        <w:tc>
          <w:tcPr>
            <w:tcW w:w="520" w:type="dxa"/>
            <w:vAlign w:val="bottom"/>
          </w:tcPr>
          <w:p>
            <w:pPr>
              <w:spacing w:after="0"/>
              <w:rPr>
                <w:sz w:val="24"/>
                <w:szCs w:val="24"/>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3A4967"/>
              </w:rPr>
              <w:t>3,170</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3A4967"/>
              </w:rPr>
              <w:t>69</w:t>
            </w:r>
          </w:p>
        </w:tc>
      </w:tr>
      <w:tr>
        <w:trPr>
          <w:trHeight w:val="35"/>
        </w:trPr>
        <w:tc>
          <w:tcPr>
            <w:tcW w:w="4460" w:type="dxa"/>
            <w:vAlign w:val="bottom"/>
            <w:tcBorders>
              <w:bottom w:val="single" w:sz="8" w:color="3A4967"/>
            </w:tcBorders>
          </w:tcPr>
          <w:p>
            <w:pPr>
              <w:spacing w:after="0"/>
              <w:rPr>
                <w:sz w:val="3"/>
                <w:szCs w:val="3"/>
                <w:color w:val="auto"/>
              </w:rPr>
            </w:pPr>
          </w:p>
        </w:tc>
        <w:tc>
          <w:tcPr>
            <w:tcW w:w="30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28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tcPr>
          <w:p>
            <w:pPr>
              <w:spacing w:after="0"/>
              <w:rPr>
                <w:sz w:val="3"/>
                <w:szCs w:val="3"/>
                <w:color w:val="auto"/>
              </w:rPr>
            </w:pPr>
          </w:p>
        </w:tc>
        <w:tc>
          <w:tcPr>
            <w:tcW w:w="32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520" w:type="dxa"/>
            <w:vAlign w:val="bottom"/>
            <w:tcBorders>
              <w:bottom w:val="single" w:sz="8" w:color="3A4967"/>
            </w:tcBorders>
          </w:tcPr>
          <w:p>
            <w:pPr>
              <w:spacing w:after="0"/>
              <w:rPr>
                <w:sz w:val="3"/>
                <w:szCs w:val="3"/>
                <w:color w:val="auto"/>
              </w:rPr>
            </w:pPr>
          </w:p>
        </w:tc>
        <w:tc>
          <w:tcPr>
            <w:tcW w:w="620" w:type="dxa"/>
            <w:vAlign w:val="bottom"/>
            <w:tcBorders>
              <w:bottom w:val="single" w:sz="8" w:color="3A4967"/>
            </w:tcBorders>
          </w:tcPr>
          <w:p>
            <w:pPr>
              <w:spacing w:after="0"/>
              <w:rPr>
                <w:sz w:val="3"/>
                <w:szCs w:val="3"/>
                <w:color w:val="auto"/>
              </w:rPr>
            </w:pPr>
          </w:p>
        </w:tc>
        <w:tc>
          <w:tcPr>
            <w:tcW w:w="22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r>
      <w:tr>
        <w:trPr>
          <w:trHeight w:val="266"/>
        </w:trPr>
        <w:tc>
          <w:tcPr>
            <w:tcW w:w="446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TOTAL CONTRACTUAL OBLIGATIONS</w:t>
            </w:r>
          </w:p>
        </w:tc>
        <w:tc>
          <w:tcPr>
            <w:tcW w:w="30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88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b w:val="1"/>
                <w:bCs w:val="1"/>
                <w:color w:val="3A4967"/>
              </w:rPr>
              <w:t>225,077</w:t>
            </w:r>
          </w:p>
        </w:tc>
        <w:tc>
          <w:tcPr>
            <w:tcW w:w="2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900" w:type="dxa"/>
            <w:vAlign w:val="bottom"/>
            <w:tcBorders>
              <w:bottom w:val="single" w:sz="8" w:color="3A4967"/>
            </w:tcBorders>
          </w:tcPr>
          <w:p>
            <w:pPr>
              <w:jc w:val="right"/>
              <w:ind w:right="36"/>
              <w:spacing w:after="0"/>
              <w:rPr>
                <w:sz w:val="20"/>
                <w:szCs w:val="20"/>
                <w:color w:val="auto"/>
              </w:rPr>
            </w:pPr>
            <w:r>
              <w:rPr>
                <w:rFonts w:ascii="Arial" w:cs="Arial" w:eastAsia="Arial" w:hAnsi="Arial"/>
                <w:sz w:val="17"/>
                <w:szCs w:val="17"/>
                <w:b w:val="1"/>
                <w:bCs w:val="1"/>
                <w:color w:val="3A4967"/>
              </w:rPr>
              <w:t>202,822</w:t>
            </w:r>
          </w:p>
        </w:tc>
        <w:tc>
          <w:tcPr>
            <w:tcW w:w="320" w:type="dxa"/>
            <w:vAlign w:val="bottom"/>
            <w:tcBorders>
              <w:bottom w:val="single" w:sz="8" w:color="3A4967"/>
            </w:tcBorders>
          </w:tcPr>
          <w:p>
            <w:pPr>
              <w:jc w:val="right"/>
              <w:ind w:right="15"/>
              <w:spacing w:after="0"/>
              <w:rPr>
                <w:sz w:val="20"/>
                <w:szCs w:val="20"/>
                <w:color w:val="auto"/>
              </w:rPr>
            </w:pPr>
            <w:r>
              <w:rPr>
                <w:rFonts w:ascii="Arial" w:cs="Arial" w:eastAsia="Arial" w:hAnsi="Arial"/>
                <w:sz w:val="17"/>
                <w:szCs w:val="17"/>
                <w:b w:val="1"/>
                <w:bCs w:val="1"/>
                <w:color w:val="3A4967"/>
              </w:rPr>
              <w:t>$</w:t>
            </w:r>
          </w:p>
        </w:tc>
        <w:tc>
          <w:tcPr>
            <w:tcW w:w="780" w:type="dxa"/>
            <w:vAlign w:val="bottom"/>
            <w:tcBorders>
              <w:bottom w:val="single" w:sz="8" w:color="3A4967"/>
            </w:tcBorders>
          </w:tcPr>
          <w:p>
            <w:pPr>
              <w:jc w:val="right"/>
              <w:ind w:right="16"/>
              <w:spacing w:after="0"/>
              <w:rPr>
                <w:sz w:val="20"/>
                <w:szCs w:val="20"/>
                <w:color w:val="auto"/>
              </w:rPr>
            </w:pPr>
            <w:r>
              <w:rPr>
                <w:rFonts w:ascii="Arial" w:cs="Arial" w:eastAsia="Arial" w:hAnsi="Arial"/>
                <w:sz w:val="17"/>
                <w:szCs w:val="17"/>
                <w:b w:val="1"/>
                <w:bCs w:val="1"/>
                <w:color w:val="3A4967"/>
              </w:rPr>
              <w:t>14,771</w:t>
            </w:r>
          </w:p>
        </w:tc>
        <w:tc>
          <w:tcPr>
            <w:tcW w:w="520" w:type="dxa"/>
            <w:vAlign w:val="bottom"/>
            <w:tcBorders>
              <w:bottom w:val="single" w:sz="8" w:color="3A4967"/>
            </w:tcBorders>
          </w:tcPr>
          <w:p>
            <w:pPr>
              <w:jc w:val="right"/>
              <w:ind w:right="215"/>
              <w:spacing w:after="0"/>
              <w:rPr>
                <w:sz w:val="20"/>
                <w:szCs w:val="20"/>
                <w:color w:val="auto"/>
              </w:rPr>
            </w:pPr>
            <w:r>
              <w:rPr>
                <w:rFonts w:ascii="Arial" w:cs="Arial" w:eastAsia="Arial" w:hAnsi="Arial"/>
                <w:sz w:val="17"/>
                <w:szCs w:val="17"/>
                <w:b w:val="1"/>
                <w:bCs w:val="1"/>
                <w:color w:val="3A4967"/>
              </w:rPr>
              <w:t>$</w:t>
            </w:r>
          </w:p>
        </w:tc>
        <w:tc>
          <w:tcPr>
            <w:tcW w:w="620" w:type="dxa"/>
            <w:vAlign w:val="bottom"/>
            <w:tcBorders>
              <w:bottom w:val="single" w:sz="8" w:color="3A4967"/>
            </w:tcBorders>
          </w:tcPr>
          <w:p>
            <w:pPr>
              <w:jc w:val="right"/>
              <w:ind w:right="36"/>
              <w:spacing w:after="0"/>
              <w:rPr>
                <w:sz w:val="20"/>
                <w:szCs w:val="20"/>
                <w:color w:val="auto"/>
              </w:rPr>
            </w:pPr>
            <w:r>
              <w:rPr>
                <w:rFonts w:ascii="Arial" w:cs="Arial" w:eastAsia="Arial" w:hAnsi="Arial"/>
                <w:sz w:val="17"/>
                <w:szCs w:val="17"/>
                <w:b w:val="1"/>
                <w:bCs w:val="1"/>
                <w:color w:val="3A4967"/>
              </w:rPr>
              <w:t>5,698</w:t>
            </w:r>
          </w:p>
        </w:tc>
        <w:tc>
          <w:tcPr>
            <w:tcW w:w="22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8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1,786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-1091565</wp:posOffset>
            </wp:positionV>
            <wp:extent cx="6472555" cy="9086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472555" cy="90868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sectPr>
      </w:pPr>
    </w:p>
    <w:p>
      <w:pPr>
        <w:spacing w:after="0" w:line="128" w:lineRule="exact"/>
        <w:rPr>
          <w:sz w:val="20"/>
          <w:szCs w:val="20"/>
          <w:color w:val="auto"/>
        </w:rPr>
      </w:pPr>
    </w:p>
    <w:p>
      <w:pPr>
        <w:jc w:val="both"/>
        <w:ind w:left="400"/>
        <w:spacing w:after="0" w:line="284" w:lineRule="auto"/>
        <w:rPr>
          <w:sz w:val="20"/>
          <w:szCs w:val="20"/>
          <w:color w:val="auto"/>
        </w:rPr>
      </w:pPr>
      <w:r>
        <w:rPr>
          <w:rFonts w:ascii="Arial" w:cs="Arial" w:eastAsia="Arial" w:hAnsi="Arial"/>
          <w:sz w:val="16"/>
          <w:szCs w:val="16"/>
          <w:color w:val="3A4967"/>
        </w:rPr>
        <w:t>The Company’s accounting policy for inventory and non-cancellable purchase commitments is to recognize a loss by establishing a reserve to the extent inventory levels and commitments exceed forecasted needs. The computation of the excess inventory requires management to make certain assumptions regarding future sales growth, product mix, cancellation costs and supply, among others. Actual results may differ materially from management’s estimates. The Company continues to manage inventory levels and purchase commitments in an effort to maximize utilization. However, changes in management’s assumptions regarding future sales growth, product mix, and hops market conditions could result in future material losses.</w:t>
      </w:r>
    </w:p>
    <w:p>
      <w:pPr>
        <w:spacing w:after="0" w:line="81" w:lineRule="exact"/>
        <w:rPr>
          <w:sz w:val="20"/>
          <w:szCs w:val="20"/>
          <w:color w:val="auto"/>
        </w:rPr>
      </w:pPr>
    </w:p>
    <w:p>
      <w:pPr>
        <w:jc w:val="both"/>
        <w:ind w:left="400"/>
        <w:spacing w:after="0" w:line="252" w:lineRule="auto"/>
        <w:rPr>
          <w:sz w:val="20"/>
          <w:szCs w:val="20"/>
          <w:color w:val="auto"/>
        </w:rPr>
      </w:pPr>
      <w:r>
        <w:rPr>
          <w:rFonts w:ascii="Arial" w:cs="Arial" w:eastAsia="Arial" w:hAnsi="Arial"/>
          <w:sz w:val="18"/>
          <w:szCs w:val="18"/>
          <w:color w:val="3A4967"/>
        </w:rPr>
        <w:t>Currently, the Company has entered into contracts for barley, wheat and malt used in the Company’s products with four major suppliers. The contracts cover the Company’s barley, wheat, and malt requirements for 2025 and extend through crop year 2026. These purchase commitments outstanding at December 28, 2024 totaled $28.0 million.</w:t>
      </w:r>
    </w:p>
    <w:p>
      <w:pPr>
        <w:spacing w:after="0" w:line="99" w:lineRule="exact"/>
        <w:rPr>
          <w:sz w:val="20"/>
          <w:szCs w:val="20"/>
          <w:color w:val="auto"/>
        </w:rPr>
      </w:pPr>
    </w:p>
    <w:p>
      <w:pPr>
        <w:jc w:val="both"/>
        <w:ind w:left="400"/>
        <w:spacing w:after="0" w:line="267" w:lineRule="auto"/>
        <w:rPr>
          <w:sz w:val="20"/>
          <w:szCs w:val="20"/>
          <w:color w:val="auto"/>
        </w:rPr>
      </w:pPr>
      <w:r>
        <w:rPr>
          <w:rFonts w:ascii="Arial" w:cs="Arial" w:eastAsia="Arial" w:hAnsi="Arial"/>
          <w:sz w:val="17"/>
          <w:szCs w:val="17"/>
          <w:color w:val="3A4967"/>
        </w:rPr>
        <w:t>The Company utilizes several varieties of hops in the production of its products. To ensure adequate supplies of these varieties, the Company enters into advance multi-year purchase commitments based on forecasted future hop requirements, among other factors. These purchase commitments extend through crop year 2029 and specify both the quantities and prices, denominated in U.S. Dollar, Euros, New Zealand Dollars and British Pounds, to which the Company is committed. Hops purchase commitments outstanding at December 28, 2024 totaled $10.3 million, based on the exchange rates on that date.</w:t>
      </w:r>
    </w:p>
    <w:p>
      <w:pPr>
        <w:spacing w:after="0" w:line="89" w:lineRule="exact"/>
        <w:rPr>
          <w:sz w:val="20"/>
          <w:szCs w:val="20"/>
          <w:color w:val="auto"/>
        </w:rPr>
      </w:pPr>
    </w:p>
    <w:p>
      <w:pPr>
        <w:jc w:val="both"/>
        <w:ind w:left="400"/>
        <w:spacing w:after="0" w:line="287" w:lineRule="auto"/>
        <w:rPr>
          <w:sz w:val="20"/>
          <w:szCs w:val="20"/>
          <w:color w:val="auto"/>
        </w:rPr>
      </w:pPr>
      <w:r>
        <w:rPr>
          <w:rFonts w:ascii="Arial" w:cs="Arial" w:eastAsia="Arial" w:hAnsi="Arial"/>
          <w:sz w:val="16"/>
          <w:szCs w:val="16"/>
          <w:color w:val="3A4967"/>
        </w:rPr>
        <w:t>The Company does not use forward currency exchange contracts and intends to purchase future hops using the exchange rate at the time of purchase. These contracts were deemed necessary in order to bring hop inventory levels and purchase commitments into balance with the Company’s current brewing volume and hop usage forecasts. In addition, these contracts enable the Company to secure its position for future supply with hop vendors in the face of some competitive buying activity.</w:t>
      </w:r>
    </w:p>
    <w:p>
      <w:pPr>
        <w:spacing w:after="0" w:line="73" w:lineRule="exact"/>
        <w:rPr>
          <w:sz w:val="20"/>
          <w:szCs w:val="20"/>
          <w:color w:val="auto"/>
        </w:rPr>
      </w:pPr>
    </w:p>
    <w:p>
      <w:pPr>
        <w:jc w:val="both"/>
        <w:ind w:left="400"/>
        <w:spacing w:after="0" w:line="266" w:lineRule="auto"/>
        <w:rPr>
          <w:sz w:val="20"/>
          <w:szCs w:val="20"/>
          <w:color w:val="auto"/>
        </w:rPr>
      </w:pPr>
      <w:r>
        <w:rPr>
          <w:rFonts w:ascii="Arial" w:cs="Arial" w:eastAsia="Arial" w:hAnsi="Arial"/>
          <w:sz w:val="18"/>
          <w:szCs w:val="18"/>
          <w:color w:val="3A4967"/>
        </w:rPr>
        <w:t>The Company anticipates paying shortfall fees at certain of its third-party production locations in future periods. See Note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424815</wp:posOffset>
            </wp:positionV>
            <wp:extent cx="2584450" cy="1917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3A4967"/>
        </w:rPr>
        <w:t>for further discussion of the Company’s third-party production arrangements and the anticipated shortfall fees. The anticipated shortfall fees are not included in the contractual obligations above.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Litigation</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The Company is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able to be estimated. Material pending legal proceedings are discussed below.</w:t>
      </w:r>
    </w:p>
    <w:p>
      <w:pPr>
        <w:spacing w:after="0" w:line="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3A4967"/>
        </w:rPr>
        <w:t>Supplier Dispute. On December 31, 2022, Ardagh Metal Packaging USA Corp. (“Ardagh”) filed an action against the Company alleging, among other things, that the Company had failed to purchase contractual minimum volumes of certain aluminum beverage can containers in 2021 and 2022. The Company filed an Amended Answer, Amended Affirmative Defenses and Amended Counterclaims on March 25, 2024. On November 9, 2023, Ardagh filed a Notice of Plaintiff’s Motion for Judgment on the Pleadings on Count II of the Complaint, to which the Company filed an Opposition on November 22, 2023. On February 26, 2024, the Court granted the Motion. On March 27, 2024, the Company filed a Motion to Clarify and to Reconsider the Court’s decision. Following briefing by the parties, on June 17, 2024, the Court granted the Company’s Motion to Reconsider, denied Ardagh’s Motion for Judgment on the Pleadings, and vacated its February 26, 2024 Order. The Court set a fact discovery deadline of November 25, 2024 with some discovery motions still pending. Expert discovery has begun and the Court has set an expert discovery deadline of April 18, 2025. The Court has not set a date for summary judgment filings or trial. The Company denies that it breached the terms of the parties’ contract and intends to defend against the Ardagh claims vigorously.</w:t>
      </w:r>
    </w:p>
    <w:p>
      <w:pPr>
        <w:spacing w:after="0" w:line="817"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52</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62" w:name="page63"/>
    <w:bookmarkEnd w:id="62"/>
    <w:p>
      <w:pPr>
        <w:ind w:left="9689"/>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463665" cy="4763"/>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569"/>
          </w:cols>
          <w:pgMar w:left="851"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6D7890"/>
        </w:rPr>
        <w:t>N. Fair Value Measurements</w:t>
      </w:r>
    </w:p>
    <w:p>
      <w:pPr>
        <w:spacing w:after="0" w:line="114" w:lineRule="exact"/>
        <w:rPr>
          <w:sz w:val="20"/>
          <w:szCs w:val="20"/>
          <w:color w:val="auto"/>
        </w:rPr>
      </w:pPr>
    </w:p>
    <w:p>
      <w:pPr>
        <w:jc w:val="both"/>
        <w:ind w:left="9"/>
        <w:spacing w:after="0" w:line="268" w:lineRule="auto"/>
        <w:rPr>
          <w:sz w:val="20"/>
          <w:szCs w:val="20"/>
          <w:color w:val="auto"/>
        </w:rPr>
      </w:pPr>
      <w:r>
        <w:rPr>
          <w:rFonts w:ascii="Arial" w:cs="Arial" w:eastAsia="Arial" w:hAnsi="Arial"/>
          <w:sz w:val="17"/>
          <w:szCs w:val="17"/>
          <w:color w:val="3A4967"/>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88" w:lineRule="exact"/>
        <w:rPr>
          <w:sz w:val="20"/>
          <w:szCs w:val="20"/>
          <w:color w:val="auto"/>
        </w:rPr>
      </w:pPr>
    </w:p>
    <w:p>
      <w:pPr>
        <w:jc w:val="both"/>
        <w:ind w:left="169" w:right="20" w:hanging="169"/>
        <w:spacing w:after="0" w:line="306" w:lineRule="auto"/>
        <w:tabs>
          <w:tab w:leader="none" w:pos="169" w:val="left"/>
        </w:tabs>
        <w:numPr>
          <w:ilvl w:val="0"/>
          <w:numId w:val="16"/>
        </w:numPr>
        <w:rPr>
          <w:rFonts w:ascii="Wingdings" w:cs="Wingdings" w:eastAsia="Wingdings" w:hAnsi="Wingdings"/>
          <w:sz w:val="13"/>
          <w:szCs w:val="13"/>
          <w:color w:val="3A4967"/>
        </w:rPr>
      </w:pPr>
      <w:r>
        <w:rPr>
          <w:rFonts w:ascii="Arial" w:cs="Arial" w:eastAsia="Arial" w:hAnsi="Arial"/>
          <w:sz w:val="16"/>
          <w:szCs w:val="16"/>
          <w:color w:val="3A4967"/>
        </w:rPr>
        <w:t>Level 1 — Level 1 inputs are quoted prices (unadjusted) in active markets for identical assets or liabilities that the reporting entity has the ability to access at the measurement date.</w:t>
      </w:r>
    </w:p>
    <w:p>
      <w:pPr>
        <w:jc w:val="both"/>
        <w:ind w:left="169" w:hanging="169"/>
        <w:spacing w:after="0" w:line="273" w:lineRule="auto"/>
        <w:tabs>
          <w:tab w:leader="none" w:pos="169" w:val="left"/>
        </w:tabs>
        <w:numPr>
          <w:ilvl w:val="0"/>
          <w:numId w:val="16"/>
        </w:numPr>
        <w:rPr>
          <w:rFonts w:ascii="Wingdings" w:cs="Wingdings" w:eastAsia="Wingdings" w:hAnsi="Wingdings"/>
          <w:sz w:val="14"/>
          <w:szCs w:val="14"/>
          <w:color w:val="3A4967"/>
        </w:rPr>
      </w:pPr>
      <w:r>
        <w:rPr>
          <w:rFonts w:ascii="Arial" w:cs="Arial" w:eastAsia="Arial" w:hAnsi="Arial"/>
          <w:sz w:val="17"/>
          <w:szCs w:val="17"/>
          <w:color w:val="3A4967"/>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24" w:lineRule="exact"/>
        <w:rPr>
          <w:rFonts w:ascii="Wingdings" w:cs="Wingdings" w:eastAsia="Wingdings" w:hAnsi="Wingdings"/>
          <w:sz w:val="14"/>
          <w:szCs w:val="14"/>
          <w:color w:val="3A4967"/>
        </w:rPr>
      </w:pPr>
    </w:p>
    <w:p>
      <w:pPr>
        <w:jc w:val="both"/>
        <w:ind w:left="169" w:hanging="169"/>
        <w:spacing w:after="0" w:line="259" w:lineRule="auto"/>
        <w:tabs>
          <w:tab w:leader="none" w:pos="169" w:val="left"/>
        </w:tabs>
        <w:numPr>
          <w:ilvl w:val="0"/>
          <w:numId w:val="16"/>
        </w:numPr>
        <w:rPr>
          <w:rFonts w:ascii="Wingdings" w:cs="Wingdings" w:eastAsia="Wingdings" w:hAnsi="Wingdings"/>
          <w:sz w:val="15"/>
          <w:szCs w:val="15"/>
          <w:color w:val="3A4967"/>
        </w:rPr>
      </w:pPr>
      <w:r>
        <w:rPr>
          <w:rFonts w:ascii="Arial" w:cs="Arial" w:eastAsia="Arial" w:hAnsi="Arial"/>
          <w:sz w:val="18"/>
          <w:szCs w:val="18"/>
          <w:color w:val="3A4967"/>
        </w:rPr>
        <w:t>Level 3 — Level 3 inputs are unobservable inputs for the asset or liability in which there is little, if any, market activity for the asset or liability at the measurement date.</w:t>
      </w:r>
    </w:p>
    <w:p>
      <w:pPr>
        <w:spacing w:after="0" w:line="35" w:lineRule="exact"/>
        <w:rPr>
          <w:sz w:val="20"/>
          <w:szCs w:val="20"/>
          <w:color w:val="auto"/>
        </w:rPr>
      </w:pPr>
    </w:p>
    <w:p>
      <w:pPr>
        <w:jc w:val="both"/>
        <w:ind w:left="9"/>
        <w:spacing w:after="0" w:line="287" w:lineRule="auto"/>
        <w:rPr>
          <w:sz w:val="20"/>
          <w:szCs w:val="20"/>
          <w:color w:val="auto"/>
        </w:rPr>
      </w:pPr>
      <w:r>
        <w:rPr>
          <w:rFonts w:ascii="Arial" w:cs="Arial" w:eastAsia="Arial" w:hAnsi="Arial"/>
          <w:sz w:val="16"/>
          <w:szCs w:val="16"/>
          <w:color w:val="3A4967"/>
        </w:rPr>
        <w:t>The Company’s investments in money market funds are measured at fair value on a recurring basis (at least annually) and are classified within Level 1 of the fair value hierarchy because they are valued using quoted market prices. The money market funds are invested substantially in United States Treasury and government securities. The Company does not adjust the quoted market price for such financial instruments. Cash, accounts receivable, accounts payable, and accrued expenses are carried at their cost, which approximates fair value, because of their short-term nature.</w:t>
      </w:r>
    </w:p>
    <w:p>
      <w:pPr>
        <w:spacing w:after="0" w:line="77" w:lineRule="exact"/>
        <w:rPr>
          <w:sz w:val="20"/>
          <w:szCs w:val="20"/>
          <w:color w:val="auto"/>
        </w:rPr>
      </w:pPr>
    </w:p>
    <w:p>
      <w:pPr>
        <w:jc w:val="both"/>
        <w:ind w:left="9"/>
        <w:spacing w:after="0" w:line="269" w:lineRule="auto"/>
        <w:rPr>
          <w:sz w:val="20"/>
          <w:szCs w:val="20"/>
          <w:color w:val="auto"/>
        </w:rPr>
      </w:pPr>
      <w:r>
        <w:rPr>
          <w:rFonts w:ascii="Arial" w:cs="Arial" w:eastAsia="Arial" w:hAnsi="Arial"/>
          <w:sz w:val="17"/>
          <w:szCs w:val="17"/>
          <w:color w:val="3A4967"/>
        </w:rPr>
        <w:t>At December 28, 2024 and December 30, 2023, the Company had funds invested in a “Triple A” rated money market fund. The Company considers the “Triple A” rated money market fund to be a large, highly -rated investment-grade institution. As of December 28, 2024 and December 30, 2023, the Company’s cash and cash equivalents balance was $211.8 million and $298.5 million, respectively, including money market funds amounting to $203.1 million and $291.5 million, respectively.</w:t>
      </w:r>
    </w:p>
    <w:p>
      <w:pPr>
        <w:spacing w:after="0" w:line="208"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3A4967"/>
        </w:rPr>
        <w:t>Non-Recurring Fair Value Measurement</w:t>
      </w:r>
    </w:p>
    <w:p>
      <w:pPr>
        <w:spacing w:after="0" w:line="118" w:lineRule="exact"/>
        <w:rPr>
          <w:sz w:val="20"/>
          <w:szCs w:val="20"/>
          <w:color w:val="auto"/>
        </w:rPr>
      </w:pPr>
    </w:p>
    <w:p>
      <w:pPr>
        <w:jc w:val="both"/>
        <w:ind w:left="9"/>
        <w:spacing w:after="0" w:line="254" w:lineRule="auto"/>
        <w:rPr>
          <w:sz w:val="20"/>
          <w:szCs w:val="20"/>
          <w:color w:val="auto"/>
        </w:rPr>
      </w:pPr>
      <w:r>
        <w:rPr>
          <w:rFonts w:ascii="Arial" w:cs="Arial" w:eastAsia="Arial" w:hAnsi="Arial"/>
          <w:sz w:val="18"/>
          <w:szCs w:val="18"/>
          <w:color w:val="3A4967"/>
        </w:rPr>
        <w:t>The fair value as of the issuance date of the Company’s note receivable as discussed further in Note I is classified within Level 2 of the fair value hierarchy as the fair value was partially derived from publicly quoted inputs of market interest rates for a loan of similar terms, provisions, and maturity.</w:t>
      </w:r>
    </w:p>
    <w:p>
      <w:pPr>
        <w:spacing w:after="0" w:line="98" w:lineRule="exact"/>
        <w:rPr>
          <w:sz w:val="20"/>
          <w:szCs w:val="20"/>
          <w:color w:val="auto"/>
        </w:rPr>
      </w:pPr>
    </w:p>
    <w:p>
      <w:pPr>
        <w:jc w:val="both"/>
        <w:ind w:left="9"/>
        <w:spacing w:after="0" w:line="270" w:lineRule="auto"/>
        <w:rPr>
          <w:sz w:val="20"/>
          <w:szCs w:val="20"/>
          <w:color w:val="auto"/>
        </w:rPr>
      </w:pPr>
      <w:r>
        <w:rPr>
          <w:rFonts w:ascii="Arial" w:cs="Arial" w:eastAsia="Arial" w:hAnsi="Arial"/>
          <w:sz w:val="17"/>
          <w:szCs w:val="17"/>
          <w:color w:val="3A4967"/>
        </w:rPr>
        <w:t>The fair value of the Company’s Dogfish Head trademark intangible assets as of the 2024 impairment assessment date is classified within Level 3 of the fair value hierarchy because there are no observable inputs of market activity. When performing a quantitative assessment for impairment of the trademark asset, the Company measures the amount of impairment by calculating the amount by which the carrying value of the trademark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380365</wp:posOffset>
            </wp:positionV>
            <wp:extent cx="2584450" cy="1917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1649"/>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9" w:right="380"/>
        <w:spacing w:after="0" w:line="268" w:lineRule="auto"/>
        <w:rPr>
          <w:sz w:val="20"/>
          <w:szCs w:val="20"/>
          <w:color w:val="auto"/>
        </w:rPr>
      </w:pPr>
      <w:r>
        <w:rPr>
          <w:rFonts w:ascii="Arial" w:cs="Arial" w:eastAsia="Arial" w:hAnsi="Arial"/>
          <w:sz w:val="17"/>
          <w:szCs w:val="17"/>
          <w:color w:val="3A4967"/>
        </w:rPr>
        <w:t>exceeds its estimated fair value. The estimated fair value is determined based on an income approach using the relief from royalty method, which assumes that, in lieu of ownership, a third party would be willing to pay a royalty in order to exploit the related benefits of the trademark asset. The cash flow projections the Company uses to estimate the fair value of its Dogfish Head trademark intangible asset involves several assumptions, including (i) projected revenue growth, (ii) an estimated royalty rate, (iii) after-tax royalty savings expected from ownership of the trademark and (iv) a discount rate used to derive the estimated fair value of the trademark asset.</w:t>
      </w:r>
    </w:p>
    <w:p>
      <w:pPr>
        <w:spacing w:after="0" w:line="213" w:lineRule="exact"/>
        <w:rPr>
          <w:sz w:val="20"/>
          <w:szCs w:val="20"/>
          <w:color w:val="auto"/>
        </w:rPr>
      </w:pPr>
    </w:p>
    <w:p>
      <w:pPr>
        <w:ind w:left="309" w:right="1360" w:hanging="309"/>
        <w:spacing w:after="0" w:line="269" w:lineRule="auto"/>
        <w:rPr>
          <w:sz w:val="20"/>
          <w:szCs w:val="20"/>
          <w:color w:val="auto"/>
        </w:rPr>
      </w:pPr>
      <w:r>
        <w:rPr>
          <w:rFonts w:ascii="Arial" w:cs="Arial" w:eastAsia="Arial" w:hAnsi="Arial"/>
          <w:sz w:val="22"/>
          <w:szCs w:val="22"/>
          <w:b w:val="1"/>
          <w:bCs w:val="1"/>
          <w:color w:val="6D7890"/>
        </w:rPr>
        <w:t>O. Common Stock and Share-Based Compensation</w:t>
      </w:r>
    </w:p>
    <w:p>
      <w:pPr>
        <w:spacing w:after="0" w:line="183"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3A4967"/>
        </w:rPr>
        <w:t>Class A Common Stock</w:t>
      </w:r>
    </w:p>
    <w:p>
      <w:pPr>
        <w:spacing w:after="0" w:line="118" w:lineRule="exact"/>
        <w:rPr>
          <w:sz w:val="20"/>
          <w:szCs w:val="20"/>
          <w:color w:val="auto"/>
        </w:rPr>
      </w:pPr>
    </w:p>
    <w:p>
      <w:pPr>
        <w:ind w:left="9" w:right="400"/>
        <w:spacing w:after="0" w:line="267" w:lineRule="auto"/>
        <w:rPr>
          <w:sz w:val="20"/>
          <w:szCs w:val="20"/>
          <w:color w:val="auto"/>
        </w:rPr>
      </w:pPr>
      <w:r>
        <w:rPr>
          <w:rFonts w:ascii="Arial" w:cs="Arial" w:eastAsia="Arial" w:hAnsi="Arial"/>
          <w:sz w:val="17"/>
          <w:szCs w:val="17"/>
          <w:color w:val="3A4967"/>
        </w:rPr>
        <w:t>The Class A Common Stock has no voting rights, except (1) as required by law, (2) for the election of Class A Directors, and</w:t>
      </w:r>
    </w:p>
    <w:p>
      <w:pPr>
        <w:spacing w:after="0" w:line="1" w:lineRule="exact"/>
        <w:rPr>
          <w:sz w:val="20"/>
          <w:szCs w:val="20"/>
          <w:color w:val="auto"/>
        </w:rPr>
      </w:pPr>
    </w:p>
    <w:p>
      <w:pPr>
        <w:jc w:val="both"/>
        <w:ind w:left="9" w:right="380" w:hanging="9"/>
        <w:spacing w:after="0" w:line="287" w:lineRule="auto"/>
        <w:tabs>
          <w:tab w:leader="none" w:pos="254" w:val="left"/>
        </w:tabs>
        <w:numPr>
          <w:ilvl w:val="0"/>
          <w:numId w:val="17"/>
        </w:numPr>
        <w:rPr>
          <w:rFonts w:ascii="Arial" w:cs="Arial" w:eastAsia="Arial" w:hAnsi="Arial"/>
          <w:sz w:val="16"/>
          <w:szCs w:val="16"/>
          <w:color w:val="3A4967"/>
        </w:rPr>
      </w:pPr>
      <w:r>
        <w:rPr>
          <w:rFonts w:ascii="Arial" w:cs="Arial" w:eastAsia="Arial" w:hAnsi="Arial"/>
          <w:sz w:val="16"/>
          <w:szCs w:val="16"/>
          <w:color w:val="3A4967"/>
        </w:rPr>
        <w:t>that the approval of the holders of the Class A Common Stock is required for (a) certain future authorizations or issuances of additional securities which have rights senior to Class A Common Stock, (b) certain alterations of rights or terms of the Class A or Class B Common Stock as set forth in the Articles of Organization of the Company, (c) other amendments of the Articles of Organization of the Company, (d) certain mergers or consolidations with, or acquisitions of, other entities, and (e) sales or dispositions of any significant portion of the Company’s assets.</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3A4967"/>
        </w:rPr>
        <w:t>Class B Common Stock</w:t>
      </w:r>
    </w:p>
    <w:p>
      <w:pPr>
        <w:spacing w:after="0" w:line="118" w:lineRule="exact"/>
        <w:rPr>
          <w:sz w:val="20"/>
          <w:szCs w:val="20"/>
          <w:color w:val="auto"/>
        </w:rPr>
      </w:pPr>
    </w:p>
    <w:p>
      <w:pPr>
        <w:jc w:val="both"/>
        <w:ind w:left="9" w:right="380"/>
        <w:spacing w:after="0" w:line="286" w:lineRule="auto"/>
        <w:rPr>
          <w:sz w:val="20"/>
          <w:szCs w:val="20"/>
          <w:color w:val="auto"/>
        </w:rPr>
      </w:pPr>
      <w:r>
        <w:rPr>
          <w:rFonts w:ascii="Arial" w:cs="Arial" w:eastAsia="Arial" w:hAnsi="Arial"/>
          <w:sz w:val="16"/>
          <w:szCs w:val="16"/>
          <w:color w:val="3A4967"/>
        </w:rPr>
        <w:t>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The Company’s Class B Common Stock is not listed for trading. Each share of Class B Common Stock is freely convertible into one share of Class A Common Stock, upon request of any Class B holder, and participates equally in earnings.</w:t>
      </w:r>
    </w:p>
    <w:p>
      <w:pPr>
        <w:spacing w:after="0" w:line="78" w:lineRule="exact"/>
        <w:rPr>
          <w:sz w:val="20"/>
          <w:szCs w:val="20"/>
          <w:color w:val="auto"/>
        </w:rPr>
      </w:pPr>
    </w:p>
    <w:p>
      <w:pPr>
        <w:jc w:val="both"/>
        <w:ind w:left="9" w:right="380"/>
        <w:spacing w:after="0" w:line="269" w:lineRule="auto"/>
        <w:rPr>
          <w:sz w:val="20"/>
          <w:szCs w:val="20"/>
          <w:color w:val="auto"/>
        </w:rPr>
      </w:pPr>
      <w:r>
        <w:rPr>
          <w:rFonts w:ascii="Arial" w:cs="Arial" w:eastAsia="Arial" w:hAnsi="Arial"/>
          <w:sz w:val="17"/>
          <w:szCs w:val="17"/>
          <w:color w:val="3A4967"/>
        </w:rPr>
        <w:t>All distributions with respect to the Company’s capital stock are restricted by the Company’s credit agreement, with the exception of distributions of capital stock from subsidiaries to The Boston Beer Company, Inc. and Boston Beer Corporation, repurchase from former employees of non-vested investment shares of Class A Common Stock issued under the Company’s equity incentive plan, redemption of certain shares of Class A Common Stock as approved by the Board of Directors and payment of cash dividends to its holders of common stock.</w:t>
      </w:r>
    </w:p>
    <w:p>
      <w:pPr>
        <w:spacing w:after="0" w:line="205"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3A4967"/>
        </w:rPr>
        <w:t>Employee Stock Compensation Plan</w:t>
      </w:r>
    </w:p>
    <w:p>
      <w:pPr>
        <w:spacing w:after="0" w:line="118" w:lineRule="exact"/>
        <w:rPr>
          <w:sz w:val="20"/>
          <w:szCs w:val="20"/>
          <w:color w:val="auto"/>
        </w:rPr>
      </w:pPr>
    </w:p>
    <w:p>
      <w:pPr>
        <w:jc w:val="both"/>
        <w:ind w:left="9" w:right="380"/>
        <w:spacing w:after="0" w:line="276" w:lineRule="auto"/>
        <w:rPr>
          <w:sz w:val="20"/>
          <w:szCs w:val="20"/>
          <w:color w:val="auto"/>
        </w:rPr>
      </w:pPr>
      <w:r>
        <w:rPr>
          <w:rFonts w:ascii="Arial" w:cs="Arial" w:eastAsia="Arial" w:hAnsi="Arial"/>
          <w:sz w:val="17"/>
          <w:szCs w:val="17"/>
          <w:color w:val="3A4967"/>
        </w:rPr>
        <w:t>The Company’s Employee Equity Incentive Plan (the “Equity Plan”) currently provides for the grant of discretionary options, restricted stock awards and restricted stock units to employees, and provides for shares to be sold to employees of the Company</w:t>
      </w:r>
    </w:p>
    <w:p>
      <w:pPr>
        <w:spacing w:after="0" w:line="200" w:lineRule="exact"/>
        <w:rPr>
          <w:sz w:val="20"/>
          <w:szCs w:val="20"/>
          <w:color w:val="auto"/>
        </w:rPr>
      </w:pPr>
    </w:p>
    <w:p>
      <w:pPr>
        <w:sectPr>
          <w:pgSz w:w="11880" w:h="15481" w:orient="portrait"/>
          <w:cols w:equalWidth="0" w:num="2">
            <w:col w:w="4929" w:space="331"/>
            <w:col w:w="5309"/>
          </w:cols>
          <w:pgMar w:left="851" w:top="579" w:right="461" w:bottom="0" w:gutter="0" w:footer="0" w:header="0"/>
          <w:type w:val="continuous"/>
        </w:sectPr>
      </w:pPr>
    </w:p>
    <w:p>
      <w:pPr>
        <w:spacing w:after="0" w:line="381" w:lineRule="exact"/>
        <w:rPr>
          <w:sz w:val="20"/>
          <w:szCs w:val="20"/>
          <w:color w:val="auto"/>
        </w:rPr>
      </w:pPr>
    </w:p>
    <w:p>
      <w:pPr>
        <w:ind w:left="3149"/>
        <w:spacing w:after="0"/>
        <w:tabs>
          <w:tab w:leader="none" w:pos="10369"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939925" cy="4763"/>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-97155</wp:posOffset>
            </wp:positionV>
            <wp:extent cx="1939925" cy="4763"/>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-539750</wp:posOffset>
            </wp:positionH>
            <wp:positionV relativeFrom="paragraph">
              <wp:posOffset>205740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205740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9"/>
          </w:cols>
          <w:pgMar w:left="851" w:top="579" w:right="461" w:bottom="0" w:gutter="0" w:footer="0" w:header="0"/>
          <w:type w:val="continuous"/>
        </w:sectPr>
      </w:pPr>
    </w:p>
    <w:bookmarkStart w:id="63" w:name="page64"/>
    <w:bookmarkEnd w:id="63"/>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00"/>
        <w:spacing w:after="0" w:line="266" w:lineRule="auto"/>
        <w:rPr>
          <w:sz w:val="20"/>
          <w:szCs w:val="20"/>
          <w:color w:val="auto"/>
        </w:rPr>
      </w:pPr>
      <w:r>
        <w:rPr>
          <w:rFonts w:ascii="Arial" w:cs="Arial" w:eastAsia="Arial" w:hAnsi="Arial"/>
          <w:sz w:val="17"/>
          <w:szCs w:val="17"/>
          <w:color w:val="3A4967"/>
        </w:rPr>
        <w:t>at a discounted purchase price under its investment share program. The Equity Plan is administered by the Board of Directors of the Company, based on recommendations received from the Compensation Committee of the Board of Directors. The Compensation Committee consists of three independent directors. In determining the quantities and types of awards for grant, the Compensation Committee periodically reviews the objectives of the Company’s compensation system and takes into account the position and responsibilities of the employee being considered, the nature and value to the Company of his or her service and accomplishments, his or her present and potential contributions to the success of the Company, the value of the type of awards to the employee and such other factors as the Compensation Committee deems relevant.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The Company has reserved 6.7 million shares of Class A Common Stock for issuance pursuant to the Equity Plan, of which 0.8 million shares were available for grant as of December 28, 2024. Shares reserved for issuance under cancelled employee stock options and forfeited restricted stock are returned to the reserve under the Equity Plan for future grants or purchases. The Company also purchases unvested investment shares from employees who have left the Company at the lesser of (i) the price paid for the shares when the employee acquired the shares or (ii) the fair market value of the shares as of the date next preceding the date on which the shares are called for redemption by the Company. These shares are also returned to the reserve under the Equity Plan for future grants or purchases.</w:t>
      </w:r>
    </w:p>
    <w:p>
      <w:pPr>
        <w:spacing w:after="0" w:line="214"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96" w:lineRule="exact"/>
        <w:rPr>
          <w:sz w:val="20"/>
          <w:szCs w:val="20"/>
          <w:color w:val="auto"/>
        </w:rPr>
      </w:pPr>
    </w:p>
    <w:p>
      <w:pPr>
        <w:jc w:val="both"/>
        <w:ind w:left="400"/>
        <w:spacing w:after="0" w:line="286" w:lineRule="auto"/>
        <w:rPr>
          <w:sz w:val="20"/>
          <w:szCs w:val="20"/>
          <w:color w:val="auto"/>
        </w:rPr>
      </w:pPr>
      <w:r>
        <w:rPr>
          <w:rFonts w:ascii="Arial" w:cs="Arial" w:eastAsia="Arial" w:hAnsi="Arial"/>
          <w:sz w:val="16"/>
          <w:szCs w:val="16"/>
          <w:color w:val="3A4967"/>
        </w:rPr>
        <w:t>Stock options and related vesting requirements and terms are granted at the Board of Directors’ discretion, but generally vest ratably over three to five-year periods and, with respect to certain options granted to members of senior management, based on the Company’s performance. Generally, the maximum contractual term of stock options is ten years, although the Board of Directors may grant options that exceed the ten-year term. During fiscal years 2024, 2023, and 2022, the Company granted options to purchase 21,205 shares, 58,054 shares, and 17,114 shares, respectively, of its Class A Common Stock to employees at market value on the grant dates. All of the 2024 stock option grants were service-based awards and none contain any performance conditions.</w:t>
      </w:r>
    </w:p>
    <w:p>
      <w:pPr>
        <w:spacing w:after="0" w:line="74" w:lineRule="exact"/>
        <w:rPr>
          <w:sz w:val="20"/>
          <w:szCs w:val="20"/>
          <w:color w:val="auto"/>
        </w:rPr>
      </w:pPr>
    </w:p>
    <w:p>
      <w:pPr>
        <w:jc w:val="both"/>
        <w:ind w:left="400"/>
        <w:spacing w:after="0" w:line="273" w:lineRule="auto"/>
        <w:rPr>
          <w:sz w:val="20"/>
          <w:szCs w:val="20"/>
          <w:color w:val="auto"/>
        </w:rPr>
      </w:pPr>
      <w:r>
        <w:rPr>
          <w:rFonts w:ascii="Arial" w:cs="Arial" w:eastAsia="Arial" w:hAnsi="Arial"/>
          <w:sz w:val="17"/>
          <w:szCs w:val="17"/>
          <w:color w:val="3A4967"/>
        </w:rPr>
        <w:t>During fiscal years 2024, 2023, and 2022, the Company granted 74,262 shares, 53,884 shares, and 32,744 shares, respectively, of restricted stock units to certain senior managers and key employees. 39,308 of the 2024 restricted stock unit grants were service-based while 34,954 were performance-based.</w:t>
      </w:r>
    </w:p>
    <w:p>
      <w:pPr>
        <w:spacing w:after="0" w:line="82" w:lineRule="exact"/>
        <w:rPr>
          <w:sz w:val="20"/>
          <w:szCs w:val="20"/>
          <w:color w:val="auto"/>
        </w:rPr>
      </w:pPr>
    </w:p>
    <w:p>
      <w:pPr>
        <w:jc w:val="both"/>
        <w:ind w:left="400"/>
        <w:spacing w:after="0" w:line="268" w:lineRule="auto"/>
        <w:rPr>
          <w:sz w:val="20"/>
          <w:szCs w:val="20"/>
          <w:color w:val="auto"/>
        </w:rPr>
      </w:pPr>
      <w:r>
        <w:rPr>
          <w:rFonts w:ascii="Arial" w:cs="Arial" w:eastAsia="Arial" w:hAnsi="Arial"/>
          <w:sz w:val="17"/>
          <w:szCs w:val="17"/>
          <w:color w:val="3A4967"/>
        </w:rPr>
        <w:t>The Equity Plan also has an investment share program which permits employees who have been with the Company for at least one year to purchase shares of Class A Common Stock at a discount from current market value of 0% to 40%, based on the employee’s tenure with the Company. Investment shares vest ratably over service periods of five years. Participants may pay for these shares either up front or through payroll deductions over an eleven-month period during the year of purchase. During fiscal years 2024, 2023, and 2022, employees elected to purchase an aggregate of 12,007 investment shares, 10,594 investment shares, and 10,845 investment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2319655</wp:posOffset>
            </wp:positionV>
            <wp:extent cx="2584450" cy="19177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3A4967"/>
        </w:rPr>
        <w:t>Non-Employee Director Plan</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The Company has a stock option and restricted stock unit plan for non - employee directors of the Company (the “Non-Employee Director Plan”), pursuant to which each non-employee director of the Company is granted a combination of options to purchase shares of the Company’s Class A Common Stock and restricted stock units upon election or re-election to the Board of Directors. Stock options issued to non-employee directors vest upon grant and have a maximum contractual term of ten years. Restricted stock units granted to non-employee directors vest over a 1-year service period, During fiscal years 2024, 2023, and 2022 the Company granted options to purchase an aggregate of 4,430 shares, 2,941 shares, and 3,810 shares of the Company’s Class A Common Stock to non-employee directors, respectively. During fiscal year 2024 and 2023 1,997 and 1,442 respectively, of restricted stock units were granted to non-employee directors. No restricted stock units were granted to non-employee directors during fiscal years 2022.</w:t>
      </w:r>
    </w:p>
    <w:p>
      <w:pPr>
        <w:spacing w:after="0" w:line="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3A4967"/>
        </w:rPr>
        <w:t>The Company has reserved 0.6 million shares of Class A Common Stock for issuance pursuant to the Non-Employee Director Plan, of which 0.1 million shares were available for grant as of December 28, 2024. Shares under any cancelled non-employee directors’ restricted stock units or stock options or options that expire unexercised are returned to the reserve under the Non-Employee Director Plan for future grants.</w:t>
      </w:r>
    </w:p>
    <w:p>
      <w:pPr>
        <w:spacing w:after="0" w:line="924"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54</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64" w:name="page65"/>
    <w:bookmarkEnd w:id="64"/>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Option Activity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3A4967"/>
        </w:rPr>
        <w:t>Information related to stock options under the Equity Plan and the Non-Employee Director Plan is summarized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jc w:val="right"/>
              <w:ind w:right="78"/>
              <w:spacing w:after="0"/>
              <w:rPr>
                <w:sz w:val="20"/>
                <w:szCs w:val="20"/>
                <w:color w:val="auto"/>
              </w:rPr>
            </w:pPr>
            <w:r>
              <w:rPr>
                <w:rFonts w:ascii="Arial" w:cs="Arial" w:eastAsia="Arial" w:hAnsi="Arial"/>
                <w:sz w:val="16"/>
                <w:szCs w:val="16"/>
                <w:b w:val="1"/>
                <w:bCs w:val="1"/>
                <w:color w:val="3A4967"/>
              </w:rPr>
              <w:t>Weighted-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4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jc w:val="right"/>
              <w:ind w:right="78"/>
              <w:spacing w:after="0"/>
              <w:rPr>
                <w:sz w:val="20"/>
                <w:szCs w:val="20"/>
                <w:color w:val="auto"/>
              </w:rPr>
            </w:pPr>
            <w:r>
              <w:rPr>
                <w:rFonts w:ascii="Arial" w:cs="Arial" w:eastAsia="Arial" w:hAnsi="Arial"/>
                <w:sz w:val="16"/>
                <w:szCs w:val="16"/>
                <w:b w:val="1"/>
                <w:bCs w:val="1"/>
                <w:color w:val="3A4967"/>
              </w:rPr>
              <w:t>Average</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3A4967"/>
                <w:w w:val="98"/>
              </w:rPr>
              <w:t>Aggregate</w:t>
            </w:r>
          </w:p>
        </w:tc>
      </w:tr>
      <w:tr>
        <w:trPr>
          <w:trHeight w:val="192"/>
        </w:trPr>
        <w:tc>
          <w:tcPr>
            <w:tcW w:w="4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jc w:val="right"/>
              <w:ind w:right="276"/>
              <w:spacing w:after="0"/>
              <w:rPr>
                <w:sz w:val="20"/>
                <w:szCs w:val="20"/>
                <w:color w:val="auto"/>
              </w:rPr>
            </w:pPr>
            <w:r>
              <w:rPr>
                <w:rFonts w:ascii="Arial" w:cs="Arial" w:eastAsia="Arial" w:hAnsi="Arial"/>
                <w:sz w:val="16"/>
                <w:szCs w:val="16"/>
                <w:b w:val="1"/>
                <w:bCs w:val="1"/>
                <w:color w:val="3A4967"/>
              </w:rPr>
              <w:t>Weighted-</w:t>
            </w:r>
          </w:p>
        </w:tc>
        <w:tc>
          <w:tcPr>
            <w:tcW w:w="1560" w:type="dxa"/>
            <w:vAlign w:val="bottom"/>
          </w:tcPr>
          <w:p>
            <w:pPr>
              <w:jc w:val="right"/>
              <w:ind w:right="78"/>
              <w:spacing w:after="0"/>
              <w:rPr>
                <w:sz w:val="20"/>
                <w:szCs w:val="20"/>
                <w:color w:val="auto"/>
              </w:rPr>
            </w:pPr>
            <w:r>
              <w:rPr>
                <w:rFonts w:ascii="Arial" w:cs="Arial" w:eastAsia="Arial" w:hAnsi="Arial"/>
                <w:sz w:val="16"/>
                <w:szCs w:val="16"/>
                <w:b w:val="1"/>
                <w:bCs w:val="1"/>
                <w:color w:val="3A4967"/>
              </w:rPr>
              <w:t>Remaining</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3A4967"/>
              </w:rPr>
              <w:t>Intrinsic</w:t>
            </w:r>
          </w:p>
        </w:tc>
      </w:tr>
      <w:tr>
        <w:trPr>
          <w:trHeight w:val="192"/>
        </w:trPr>
        <w:tc>
          <w:tcPr>
            <w:tcW w:w="4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tcPr>
          <w:p>
            <w:pPr>
              <w:jc w:val="right"/>
              <w:ind w:right="276"/>
              <w:spacing w:after="0"/>
              <w:rPr>
                <w:sz w:val="20"/>
                <w:szCs w:val="20"/>
                <w:color w:val="auto"/>
              </w:rPr>
            </w:pPr>
            <w:r>
              <w:rPr>
                <w:rFonts w:ascii="Arial" w:cs="Arial" w:eastAsia="Arial" w:hAnsi="Arial"/>
                <w:sz w:val="16"/>
                <w:szCs w:val="16"/>
                <w:b w:val="1"/>
                <w:bCs w:val="1"/>
                <w:color w:val="3A4967"/>
              </w:rPr>
              <w:t>Average</w:t>
            </w:r>
          </w:p>
        </w:tc>
        <w:tc>
          <w:tcPr>
            <w:tcW w:w="1560" w:type="dxa"/>
            <w:vAlign w:val="bottom"/>
          </w:tcPr>
          <w:p>
            <w:pPr>
              <w:jc w:val="right"/>
              <w:ind w:right="78"/>
              <w:spacing w:after="0"/>
              <w:rPr>
                <w:sz w:val="20"/>
                <w:szCs w:val="20"/>
                <w:color w:val="auto"/>
              </w:rPr>
            </w:pPr>
            <w:r>
              <w:rPr>
                <w:rFonts w:ascii="Arial" w:cs="Arial" w:eastAsia="Arial" w:hAnsi="Arial"/>
                <w:sz w:val="16"/>
                <w:szCs w:val="16"/>
                <w:b w:val="1"/>
                <w:bCs w:val="1"/>
                <w:color w:val="3A4967"/>
              </w:rPr>
              <w:t>Contractual</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3A4967"/>
              </w:rPr>
              <w:t>Value</w:t>
            </w:r>
          </w:p>
        </w:tc>
      </w:tr>
      <w:tr>
        <w:trPr>
          <w:trHeight w:val="198"/>
        </w:trPr>
        <w:tc>
          <w:tcPr>
            <w:tcW w:w="4400" w:type="dxa"/>
            <w:vAlign w:val="bottom"/>
          </w:tcPr>
          <w:p>
            <w:pPr>
              <w:spacing w:after="0"/>
              <w:rPr>
                <w:sz w:val="17"/>
                <w:szCs w:val="17"/>
                <w:color w:val="auto"/>
              </w:rPr>
            </w:pPr>
          </w:p>
        </w:tc>
        <w:tc>
          <w:tcPr>
            <w:tcW w:w="1320" w:type="dxa"/>
            <w:vAlign w:val="bottom"/>
          </w:tcPr>
          <w:p>
            <w:pPr>
              <w:jc w:val="right"/>
              <w:ind w:right="76"/>
              <w:spacing w:after="0"/>
              <w:rPr>
                <w:sz w:val="20"/>
                <w:szCs w:val="20"/>
                <w:color w:val="auto"/>
              </w:rPr>
            </w:pPr>
            <w:r>
              <w:rPr>
                <w:rFonts w:ascii="Arial" w:cs="Arial" w:eastAsia="Arial" w:hAnsi="Arial"/>
                <w:sz w:val="16"/>
                <w:szCs w:val="16"/>
                <w:b w:val="1"/>
                <w:bCs w:val="1"/>
                <w:color w:val="3A4967"/>
              </w:rPr>
              <w:t>Shares</w:t>
            </w:r>
          </w:p>
        </w:tc>
        <w:tc>
          <w:tcPr>
            <w:tcW w:w="1580" w:type="dxa"/>
            <w:vAlign w:val="bottom"/>
            <w:gridSpan w:val="2"/>
          </w:tcPr>
          <w:p>
            <w:pPr>
              <w:jc w:val="right"/>
              <w:ind w:right="276"/>
              <w:spacing w:after="0"/>
              <w:rPr>
                <w:sz w:val="20"/>
                <w:szCs w:val="20"/>
                <w:color w:val="auto"/>
              </w:rPr>
            </w:pPr>
            <w:r>
              <w:rPr>
                <w:rFonts w:ascii="Arial" w:cs="Arial" w:eastAsia="Arial" w:hAnsi="Arial"/>
                <w:sz w:val="16"/>
                <w:szCs w:val="16"/>
                <w:b w:val="1"/>
                <w:bCs w:val="1"/>
                <w:color w:val="3A4967"/>
              </w:rPr>
              <w:t>Exercise Price</w:t>
            </w:r>
          </w:p>
        </w:tc>
        <w:tc>
          <w:tcPr>
            <w:tcW w:w="1560" w:type="dxa"/>
            <w:vAlign w:val="bottom"/>
          </w:tcPr>
          <w:p>
            <w:pPr>
              <w:jc w:val="right"/>
              <w:ind w:right="78"/>
              <w:spacing w:after="0"/>
              <w:rPr>
                <w:sz w:val="20"/>
                <w:szCs w:val="20"/>
                <w:color w:val="auto"/>
              </w:rPr>
            </w:pPr>
            <w:r>
              <w:rPr>
                <w:rFonts w:ascii="Arial" w:cs="Arial" w:eastAsia="Arial" w:hAnsi="Arial"/>
                <w:sz w:val="16"/>
                <w:szCs w:val="16"/>
                <w:b w:val="1"/>
                <w:bCs w:val="1"/>
                <w:color w:val="3A4967"/>
              </w:rPr>
              <w:t>Term in Years</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3A4967"/>
              </w:rPr>
              <w:t>(in thousands)</w:t>
            </w:r>
          </w:p>
        </w:tc>
      </w:tr>
      <w:tr>
        <w:trPr>
          <w:trHeight w:val="36"/>
        </w:trPr>
        <w:tc>
          <w:tcPr>
            <w:tcW w:w="4400" w:type="dxa"/>
            <w:vAlign w:val="bottom"/>
            <w:tcBorders>
              <w:bottom w:val="single" w:sz="8" w:color="3A4967"/>
            </w:tcBorders>
          </w:tcPr>
          <w:p>
            <w:pPr>
              <w:spacing w:after="0"/>
              <w:rPr>
                <w:sz w:val="3"/>
                <w:szCs w:val="3"/>
                <w:color w:val="auto"/>
              </w:rPr>
            </w:pPr>
          </w:p>
        </w:tc>
        <w:tc>
          <w:tcPr>
            <w:tcW w:w="1320" w:type="dxa"/>
            <w:vAlign w:val="bottom"/>
            <w:tcBorders>
              <w:bottom w:val="single" w:sz="8" w:color="3A4967"/>
            </w:tcBorders>
          </w:tcPr>
          <w:p>
            <w:pPr>
              <w:spacing w:after="0"/>
              <w:rPr>
                <w:sz w:val="3"/>
                <w:szCs w:val="3"/>
                <w:color w:val="auto"/>
              </w:rPr>
            </w:pPr>
          </w:p>
        </w:tc>
        <w:tc>
          <w:tcPr>
            <w:tcW w:w="42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1560" w:type="dxa"/>
            <w:vAlign w:val="bottom"/>
            <w:tcBorders>
              <w:bottom w:val="single" w:sz="8" w:color="3A4967"/>
            </w:tcBorders>
          </w:tcPr>
          <w:p>
            <w:pPr>
              <w:spacing w:after="0"/>
              <w:rPr>
                <w:sz w:val="3"/>
                <w:szCs w:val="3"/>
                <w:color w:val="auto"/>
              </w:rPr>
            </w:pPr>
          </w:p>
        </w:tc>
        <w:tc>
          <w:tcPr>
            <w:tcW w:w="4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r>
      <w:tr>
        <w:trPr>
          <w:trHeight w:val="227"/>
        </w:trPr>
        <w:tc>
          <w:tcPr>
            <w:tcW w:w="4400" w:type="dxa"/>
            <w:vAlign w:val="bottom"/>
          </w:tcPr>
          <w:p>
            <w:pPr>
              <w:ind w:left="80"/>
              <w:spacing w:after="0"/>
              <w:rPr>
                <w:sz w:val="20"/>
                <w:szCs w:val="20"/>
                <w:color w:val="auto"/>
              </w:rPr>
            </w:pPr>
            <w:r>
              <w:rPr>
                <w:rFonts w:ascii="Arial" w:cs="Arial" w:eastAsia="Arial" w:hAnsi="Arial"/>
                <w:sz w:val="17"/>
                <w:szCs w:val="17"/>
                <w:color w:val="3A4967"/>
              </w:rPr>
              <w:t>Outstanding at December 30, 2023</w:t>
            </w:r>
          </w:p>
        </w:tc>
        <w:tc>
          <w:tcPr>
            <w:tcW w:w="1320" w:type="dxa"/>
            <w:vAlign w:val="bottom"/>
          </w:tcPr>
          <w:p>
            <w:pPr>
              <w:jc w:val="right"/>
              <w:ind w:right="76"/>
              <w:spacing w:after="0"/>
              <w:rPr>
                <w:sz w:val="20"/>
                <w:szCs w:val="20"/>
                <w:color w:val="auto"/>
              </w:rPr>
            </w:pPr>
            <w:r>
              <w:rPr>
                <w:rFonts w:ascii="Arial" w:cs="Arial" w:eastAsia="Arial" w:hAnsi="Arial"/>
                <w:sz w:val="17"/>
                <w:szCs w:val="17"/>
                <w:color w:val="3A4967"/>
              </w:rPr>
              <w:t>207,810</w:t>
            </w:r>
          </w:p>
        </w:tc>
        <w:tc>
          <w:tcPr>
            <w:tcW w:w="420" w:type="dxa"/>
            <w:vAlign w:val="bottom"/>
          </w:tcPr>
          <w:p>
            <w:pPr>
              <w:jc w:val="right"/>
              <w:spacing w:after="0"/>
              <w:rPr>
                <w:sz w:val="20"/>
                <w:szCs w:val="20"/>
                <w:color w:val="auto"/>
              </w:rPr>
            </w:pPr>
            <w:r>
              <w:rPr>
                <w:rFonts w:ascii="Arial" w:cs="Arial" w:eastAsia="Arial" w:hAnsi="Arial"/>
                <w:sz w:val="17"/>
                <w:szCs w:val="17"/>
                <w:color w:val="3A4967"/>
              </w:rPr>
              <w:t>$</w:t>
            </w:r>
          </w:p>
        </w:tc>
        <w:tc>
          <w:tcPr>
            <w:tcW w:w="1160" w:type="dxa"/>
            <w:vAlign w:val="bottom"/>
          </w:tcPr>
          <w:p>
            <w:pPr>
              <w:jc w:val="right"/>
              <w:ind w:right="276"/>
              <w:spacing w:after="0"/>
              <w:rPr>
                <w:sz w:val="20"/>
                <w:szCs w:val="20"/>
                <w:color w:val="auto"/>
              </w:rPr>
            </w:pPr>
            <w:r>
              <w:rPr>
                <w:rFonts w:ascii="Arial" w:cs="Arial" w:eastAsia="Arial" w:hAnsi="Arial"/>
                <w:sz w:val="17"/>
                <w:szCs w:val="17"/>
                <w:color w:val="3A4967"/>
              </w:rPr>
              <w:t>361.53</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81"/>
        </w:trPr>
        <w:tc>
          <w:tcPr>
            <w:tcW w:w="4400" w:type="dxa"/>
            <w:vAlign w:val="bottom"/>
          </w:tcPr>
          <w:p>
            <w:pPr>
              <w:ind w:left="220"/>
              <w:spacing w:after="0"/>
              <w:rPr>
                <w:sz w:val="20"/>
                <w:szCs w:val="20"/>
                <w:color w:val="auto"/>
              </w:rPr>
            </w:pPr>
            <w:r>
              <w:rPr>
                <w:rFonts w:ascii="Arial" w:cs="Arial" w:eastAsia="Arial" w:hAnsi="Arial"/>
                <w:sz w:val="17"/>
                <w:szCs w:val="17"/>
                <w:color w:val="3A4967"/>
              </w:rPr>
              <w:t>Granted</w:t>
            </w:r>
          </w:p>
        </w:tc>
        <w:tc>
          <w:tcPr>
            <w:tcW w:w="1320" w:type="dxa"/>
            <w:vAlign w:val="bottom"/>
          </w:tcPr>
          <w:p>
            <w:pPr>
              <w:jc w:val="right"/>
              <w:ind w:right="76"/>
              <w:spacing w:after="0"/>
              <w:rPr>
                <w:sz w:val="20"/>
                <w:szCs w:val="20"/>
                <w:color w:val="auto"/>
              </w:rPr>
            </w:pPr>
            <w:r>
              <w:rPr>
                <w:rFonts w:ascii="Arial" w:cs="Arial" w:eastAsia="Arial" w:hAnsi="Arial"/>
                <w:sz w:val="17"/>
                <w:szCs w:val="17"/>
                <w:color w:val="3A4967"/>
              </w:rPr>
              <w:t>25,635</w:t>
            </w:r>
          </w:p>
        </w:tc>
        <w:tc>
          <w:tcPr>
            <w:tcW w:w="420" w:type="dxa"/>
            <w:vAlign w:val="bottom"/>
          </w:tcPr>
          <w:p>
            <w:pPr>
              <w:spacing w:after="0"/>
              <w:rPr>
                <w:sz w:val="24"/>
                <w:szCs w:val="24"/>
                <w:color w:val="auto"/>
              </w:rPr>
            </w:pPr>
          </w:p>
        </w:tc>
        <w:tc>
          <w:tcPr>
            <w:tcW w:w="1160" w:type="dxa"/>
            <w:vAlign w:val="bottom"/>
          </w:tcPr>
          <w:p>
            <w:pPr>
              <w:jc w:val="right"/>
              <w:ind w:right="276"/>
              <w:spacing w:after="0"/>
              <w:rPr>
                <w:sz w:val="20"/>
                <w:szCs w:val="20"/>
                <w:color w:val="auto"/>
              </w:rPr>
            </w:pPr>
            <w:r>
              <w:rPr>
                <w:rFonts w:ascii="Arial" w:cs="Arial" w:eastAsia="Arial" w:hAnsi="Arial"/>
                <w:sz w:val="17"/>
                <w:szCs w:val="17"/>
                <w:color w:val="3A4967"/>
              </w:rPr>
              <w:t>299.57</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1"/>
        </w:trPr>
        <w:tc>
          <w:tcPr>
            <w:tcW w:w="4400" w:type="dxa"/>
            <w:vAlign w:val="bottom"/>
          </w:tcPr>
          <w:p>
            <w:pPr>
              <w:ind w:left="220"/>
              <w:spacing w:after="0"/>
              <w:rPr>
                <w:sz w:val="20"/>
                <w:szCs w:val="20"/>
                <w:color w:val="auto"/>
              </w:rPr>
            </w:pPr>
            <w:r>
              <w:rPr>
                <w:rFonts w:ascii="Arial" w:cs="Arial" w:eastAsia="Arial" w:hAnsi="Arial"/>
                <w:sz w:val="17"/>
                <w:szCs w:val="17"/>
                <w:color w:val="3A4967"/>
              </w:rPr>
              <w:t>Exercised</w:t>
            </w:r>
          </w:p>
        </w:tc>
        <w:tc>
          <w:tcPr>
            <w:tcW w:w="1320" w:type="dxa"/>
            <w:vAlign w:val="bottom"/>
          </w:tcPr>
          <w:p>
            <w:pPr>
              <w:jc w:val="right"/>
              <w:ind w:right="36"/>
              <w:spacing w:after="0"/>
              <w:rPr>
                <w:sz w:val="20"/>
                <w:szCs w:val="20"/>
                <w:color w:val="auto"/>
              </w:rPr>
            </w:pPr>
            <w:r>
              <w:rPr>
                <w:rFonts w:ascii="Arial" w:cs="Arial" w:eastAsia="Arial" w:hAnsi="Arial"/>
                <w:sz w:val="17"/>
                <w:szCs w:val="17"/>
                <w:color w:val="3A4967"/>
              </w:rPr>
              <w:t>(8,164)</w:t>
            </w:r>
          </w:p>
        </w:tc>
        <w:tc>
          <w:tcPr>
            <w:tcW w:w="420" w:type="dxa"/>
            <w:vAlign w:val="bottom"/>
          </w:tcPr>
          <w:p>
            <w:pPr>
              <w:spacing w:after="0"/>
              <w:rPr>
                <w:sz w:val="24"/>
                <w:szCs w:val="24"/>
                <w:color w:val="auto"/>
              </w:rPr>
            </w:pPr>
          </w:p>
        </w:tc>
        <w:tc>
          <w:tcPr>
            <w:tcW w:w="1160" w:type="dxa"/>
            <w:vAlign w:val="bottom"/>
          </w:tcPr>
          <w:p>
            <w:pPr>
              <w:jc w:val="right"/>
              <w:ind w:right="276"/>
              <w:spacing w:after="0"/>
              <w:rPr>
                <w:sz w:val="20"/>
                <w:szCs w:val="20"/>
                <w:color w:val="auto"/>
              </w:rPr>
            </w:pPr>
            <w:r>
              <w:rPr>
                <w:rFonts w:ascii="Arial" w:cs="Arial" w:eastAsia="Arial" w:hAnsi="Arial"/>
                <w:sz w:val="17"/>
                <w:szCs w:val="17"/>
                <w:color w:val="3A4967"/>
              </w:rPr>
              <w:t>203.68</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1"/>
        </w:trPr>
        <w:tc>
          <w:tcPr>
            <w:tcW w:w="4400" w:type="dxa"/>
            <w:vAlign w:val="bottom"/>
          </w:tcPr>
          <w:p>
            <w:pPr>
              <w:ind w:left="220"/>
              <w:spacing w:after="0"/>
              <w:rPr>
                <w:sz w:val="20"/>
                <w:szCs w:val="20"/>
                <w:color w:val="auto"/>
              </w:rPr>
            </w:pPr>
            <w:r>
              <w:rPr>
                <w:rFonts w:ascii="Arial" w:cs="Arial" w:eastAsia="Arial" w:hAnsi="Arial"/>
                <w:sz w:val="17"/>
                <w:szCs w:val="17"/>
                <w:color w:val="3A4967"/>
              </w:rPr>
              <w:t>Cancelled/Forfeited</w:t>
            </w:r>
          </w:p>
        </w:tc>
        <w:tc>
          <w:tcPr>
            <w:tcW w:w="1320" w:type="dxa"/>
            <w:vAlign w:val="bottom"/>
          </w:tcPr>
          <w:p>
            <w:pPr>
              <w:jc w:val="right"/>
              <w:ind w:right="76"/>
              <w:spacing w:after="0"/>
              <w:rPr>
                <w:sz w:val="20"/>
                <w:szCs w:val="20"/>
                <w:color w:val="auto"/>
              </w:rPr>
            </w:pPr>
            <w:r>
              <w:rPr>
                <w:rFonts w:ascii="Arial" w:cs="Arial" w:eastAsia="Arial" w:hAnsi="Arial"/>
                <w:sz w:val="17"/>
                <w:szCs w:val="17"/>
                <w:color w:val="3A4967"/>
              </w:rPr>
              <w:t>(15,487)</w:t>
            </w:r>
          </w:p>
        </w:tc>
        <w:tc>
          <w:tcPr>
            <w:tcW w:w="420" w:type="dxa"/>
            <w:vAlign w:val="bottom"/>
          </w:tcPr>
          <w:p>
            <w:pPr>
              <w:spacing w:after="0"/>
              <w:rPr>
                <w:sz w:val="24"/>
                <w:szCs w:val="24"/>
                <w:color w:val="auto"/>
              </w:rPr>
            </w:pPr>
          </w:p>
        </w:tc>
        <w:tc>
          <w:tcPr>
            <w:tcW w:w="1160" w:type="dxa"/>
            <w:vAlign w:val="bottom"/>
          </w:tcPr>
          <w:p>
            <w:pPr>
              <w:jc w:val="right"/>
              <w:ind w:right="276"/>
              <w:spacing w:after="0"/>
              <w:rPr>
                <w:sz w:val="20"/>
                <w:szCs w:val="20"/>
                <w:color w:val="auto"/>
              </w:rPr>
            </w:pPr>
            <w:r>
              <w:rPr>
                <w:rFonts w:ascii="Arial" w:cs="Arial" w:eastAsia="Arial" w:hAnsi="Arial"/>
                <w:sz w:val="17"/>
                <w:szCs w:val="17"/>
                <w:color w:val="3A4967"/>
              </w:rPr>
              <w:t>383.46</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1"/>
        </w:trPr>
        <w:tc>
          <w:tcPr>
            <w:tcW w:w="4400" w:type="dxa"/>
            <w:vAlign w:val="bottom"/>
          </w:tcPr>
          <w:p>
            <w:pPr>
              <w:ind w:left="80"/>
              <w:spacing w:after="0"/>
              <w:rPr>
                <w:sz w:val="20"/>
                <w:szCs w:val="20"/>
                <w:color w:val="auto"/>
              </w:rPr>
            </w:pPr>
            <w:r>
              <w:rPr>
                <w:rFonts w:ascii="Arial" w:cs="Arial" w:eastAsia="Arial" w:hAnsi="Arial"/>
                <w:sz w:val="17"/>
                <w:szCs w:val="17"/>
                <w:color w:val="3A4967"/>
              </w:rPr>
              <w:t>Expired</w:t>
            </w:r>
          </w:p>
        </w:tc>
        <w:tc>
          <w:tcPr>
            <w:tcW w:w="1320" w:type="dxa"/>
            <w:vAlign w:val="bottom"/>
          </w:tcPr>
          <w:p>
            <w:pPr>
              <w:jc w:val="right"/>
              <w:ind w:right="76"/>
              <w:spacing w:after="0"/>
              <w:rPr>
                <w:sz w:val="20"/>
                <w:szCs w:val="20"/>
                <w:color w:val="auto"/>
              </w:rPr>
            </w:pPr>
            <w:r>
              <w:rPr>
                <w:rFonts w:ascii="Arial" w:cs="Arial" w:eastAsia="Arial" w:hAnsi="Arial"/>
                <w:sz w:val="17"/>
                <w:szCs w:val="17"/>
                <w:color w:val="3A4967"/>
              </w:rPr>
              <w:t>—</w:t>
            </w:r>
          </w:p>
        </w:tc>
        <w:tc>
          <w:tcPr>
            <w:tcW w:w="420" w:type="dxa"/>
            <w:vAlign w:val="bottom"/>
          </w:tcPr>
          <w:p>
            <w:pPr>
              <w:spacing w:after="0"/>
              <w:rPr>
                <w:sz w:val="24"/>
                <w:szCs w:val="24"/>
                <w:color w:val="auto"/>
              </w:rPr>
            </w:pPr>
          </w:p>
        </w:tc>
        <w:tc>
          <w:tcPr>
            <w:tcW w:w="1160" w:type="dxa"/>
            <w:vAlign w:val="bottom"/>
          </w:tcPr>
          <w:p>
            <w:pPr>
              <w:jc w:val="right"/>
              <w:ind w:right="276"/>
              <w:spacing w:after="0"/>
              <w:rPr>
                <w:sz w:val="20"/>
                <w:szCs w:val="20"/>
                <w:color w:val="auto"/>
              </w:rPr>
            </w:pPr>
            <w:r>
              <w:rPr>
                <w:rFonts w:ascii="Arial" w:cs="Arial" w:eastAsia="Arial" w:hAnsi="Arial"/>
                <w:sz w:val="17"/>
                <w:szCs w:val="17"/>
                <w:color w:val="3A4967"/>
              </w:rPr>
              <w:t>—</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
        </w:trPr>
        <w:tc>
          <w:tcPr>
            <w:tcW w:w="4400" w:type="dxa"/>
            <w:vAlign w:val="bottom"/>
            <w:tcBorders>
              <w:bottom w:val="single" w:sz="8" w:color="3A4967"/>
            </w:tcBorders>
          </w:tcPr>
          <w:p>
            <w:pPr>
              <w:spacing w:after="0"/>
              <w:rPr>
                <w:sz w:val="3"/>
                <w:szCs w:val="3"/>
                <w:color w:val="auto"/>
              </w:rPr>
            </w:pPr>
          </w:p>
        </w:tc>
        <w:tc>
          <w:tcPr>
            <w:tcW w:w="1320" w:type="dxa"/>
            <w:vAlign w:val="bottom"/>
            <w:tcBorders>
              <w:bottom w:val="single" w:sz="8" w:color="3A4967"/>
            </w:tcBorders>
          </w:tcPr>
          <w:p>
            <w:pPr>
              <w:spacing w:after="0"/>
              <w:rPr>
                <w:sz w:val="3"/>
                <w:szCs w:val="3"/>
                <w:color w:val="auto"/>
              </w:rPr>
            </w:pPr>
          </w:p>
        </w:tc>
        <w:tc>
          <w:tcPr>
            <w:tcW w:w="42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1560" w:type="dxa"/>
            <w:vAlign w:val="bottom"/>
            <w:tcBorders>
              <w:bottom w:val="single" w:sz="8" w:color="3A4967"/>
            </w:tcBorders>
          </w:tcPr>
          <w:p>
            <w:pPr>
              <w:spacing w:after="0"/>
              <w:rPr>
                <w:sz w:val="3"/>
                <w:szCs w:val="3"/>
                <w:color w:val="auto"/>
              </w:rPr>
            </w:pPr>
          </w:p>
        </w:tc>
        <w:tc>
          <w:tcPr>
            <w:tcW w:w="4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r>
      <w:tr>
        <w:trPr>
          <w:trHeight w:val="226"/>
        </w:trPr>
        <w:tc>
          <w:tcPr>
            <w:tcW w:w="4400" w:type="dxa"/>
            <w:vAlign w:val="bottom"/>
          </w:tcPr>
          <w:p>
            <w:pPr>
              <w:ind w:left="80"/>
              <w:spacing w:after="0"/>
              <w:rPr>
                <w:sz w:val="20"/>
                <w:szCs w:val="20"/>
                <w:color w:val="auto"/>
              </w:rPr>
            </w:pPr>
            <w:r>
              <w:rPr>
                <w:rFonts w:ascii="Arial" w:cs="Arial" w:eastAsia="Arial" w:hAnsi="Arial"/>
                <w:sz w:val="17"/>
                <w:szCs w:val="17"/>
                <w:color w:val="3A4967"/>
              </w:rPr>
              <w:t>Outstanding at December 28, 2024</w:t>
            </w:r>
          </w:p>
        </w:tc>
        <w:tc>
          <w:tcPr>
            <w:tcW w:w="1320" w:type="dxa"/>
            <w:vAlign w:val="bottom"/>
          </w:tcPr>
          <w:p>
            <w:pPr>
              <w:jc w:val="right"/>
              <w:ind w:right="76"/>
              <w:spacing w:after="0"/>
              <w:rPr>
                <w:sz w:val="20"/>
                <w:szCs w:val="20"/>
                <w:color w:val="auto"/>
              </w:rPr>
            </w:pPr>
            <w:r>
              <w:rPr>
                <w:rFonts w:ascii="Arial" w:cs="Arial" w:eastAsia="Arial" w:hAnsi="Arial"/>
                <w:sz w:val="17"/>
                <w:szCs w:val="17"/>
                <w:color w:val="3A4967"/>
              </w:rPr>
              <w:t>209,794</w:t>
            </w:r>
          </w:p>
        </w:tc>
        <w:tc>
          <w:tcPr>
            <w:tcW w:w="420" w:type="dxa"/>
            <w:vAlign w:val="bottom"/>
          </w:tcPr>
          <w:p>
            <w:pPr>
              <w:jc w:val="right"/>
              <w:spacing w:after="0"/>
              <w:rPr>
                <w:sz w:val="20"/>
                <w:szCs w:val="20"/>
                <w:color w:val="auto"/>
              </w:rPr>
            </w:pPr>
            <w:r>
              <w:rPr>
                <w:rFonts w:ascii="Arial" w:cs="Arial" w:eastAsia="Arial" w:hAnsi="Arial"/>
                <w:sz w:val="17"/>
                <w:szCs w:val="17"/>
                <w:color w:val="3A4967"/>
              </w:rPr>
              <w:t>$</w:t>
            </w:r>
          </w:p>
        </w:tc>
        <w:tc>
          <w:tcPr>
            <w:tcW w:w="1160" w:type="dxa"/>
            <w:vAlign w:val="bottom"/>
          </w:tcPr>
          <w:p>
            <w:pPr>
              <w:jc w:val="right"/>
              <w:ind w:right="276"/>
              <w:spacing w:after="0"/>
              <w:rPr>
                <w:sz w:val="20"/>
                <w:szCs w:val="20"/>
                <w:color w:val="auto"/>
              </w:rPr>
            </w:pPr>
            <w:r>
              <w:rPr>
                <w:rFonts w:ascii="Arial" w:cs="Arial" w:eastAsia="Arial" w:hAnsi="Arial"/>
                <w:sz w:val="17"/>
                <w:szCs w:val="17"/>
                <w:color w:val="3A4967"/>
              </w:rPr>
              <w:t>358.48</w:t>
            </w:r>
          </w:p>
        </w:tc>
        <w:tc>
          <w:tcPr>
            <w:tcW w:w="1560" w:type="dxa"/>
            <w:vAlign w:val="bottom"/>
          </w:tcPr>
          <w:p>
            <w:pPr>
              <w:jc w:val="right"/>
              <w:ind w:right="78"/>
              <w:spacing w:after="0"/>
              <w:rPr>
                <w:sz w:val="20"/>
                <w:szCs w:val="20"/>
                <w:color w:val="auto"/>
              </w:rPr>
            </w:pPr>
            <w:r>
              <w:rPr>
                <w:rFonts w:ascii="Arial" w:cs="Arial" w:eastAsia="Arial" w:hAnsi="Arial"/>
                <w:sz w:val="17"/>
                <w:szCs w:val="17"/>
                <w:color w:val="3A4967"/>
              </w:rPr>
              <w:t>4.93</w:t>
            </w:r>
          </w:p>
        </w:tc>
        <w:tc>
          <w:tcPr>
            <w:tcW w:w="440" w:type="dxa"/>
            <w:vAlign w:val="bottom"/>
          </w:tcPr>
          <w:p>
            <w:pPr>
              <w:jc w:val="right"/>
              <w:spacing w:after="0"/>
              <w:rPr>
                <w:sz w:val="20"/>
                <w:szCs w:val="20"/>
                <w:color w:val="auto"/>
              </w:rPr>
            </w:pPr>
            <w:r>
              <w:rPr>
                <w:rFonts w:ascii="Arial" w:cs="Arial" w:eastAsia="Arial" w:hAnsi="Arial"/>
                <w:sz w:val="17"/>
                <w:szCs w:val="17"/>
                <w:color w:val="3A4967"/>
              </w:rPr>
              <w:t>$</w:t>
            </w:r>
          </w:p>
        </w:tc>
        <w:tc>
          <w:tcPr>
            <w:tcW w:w="880" w:type="dxa"/>
            <w:vAlign w:val="bottom"/>
          </w:tcPr>
          <w:p>
            <w:pPr>
              <w:jc w:val="right"/>
              <w:spacing w:after="0"/>
              <w:rPr>
                <w:sz w:val="20"/>
                <w:szCs w:val="20"/>
                <w:color w:val="auto"/>
              </w:rPr>
            </w:pPr>
            <w:r>
              <w:rPr>
                <w:rFonts w:ascii="Arial" w:cs="Arial" w:eastAsia="Arial" w:hAnsi="Arial"/>
                <w:sz w:val="17"/>
                <w:szCs w:val="17"/>
                <w:color w:val="3A4967"/>
              </w:rPr>
              <w:t>5,913</w:t>
            </w:r>
          </w:p>
        </w:tc>
      </w:tr>
      <w:tr>
        <w:trPr>
          <w:trHeight w:val="35"/>
        </w:trPr>
        <w:tc>
          <w:tcPr>
            <w:tcW w:w="4400" w:type="dxa"/>
            <w:vAlign w:val="bottom"/>
            <w:tcBorders>
              <w:bottom w:val="single" w:sz="8" w:color="3A4967"/>
            </w:tcBorders>
          </w:tcPr>
          <w:p>
            <w:pPr>
              <w:spacing w:after="0"/>
              <w:rPr>
                <w:sz w:val="3"/>
                <w:szCs w:val="3"/>
                <w:color w:val="auto"/>
              </w:rPr>
            </w:pPr>
          </w:p>
        </w:tc>
        <w:tc>
          <w:tcPr>
            <w:tcW w:w="1320" w:type="dxa"/>
            <w:vAlign w:val="bottom"/>
            <w:tcBorders>
              <w:bottom w:val="single" w:sz="8" w:color="3A4967"/>
            </w:tcBorders>
          </w:tcPr>
          <w:p>
            <w:pPr>
              <w:spacing w:after="0"/>
              <w:rPr>
                <w:sz w:val="3"/>
                <w:szCs w:val="3"/>
                <w:color w:val="auto"/>
              </w:rPr>
            </w:pPr>
          </w:p>
        </w:tc>
        <w:tc>
          <w:tcPr>
            <w:tcW w:w="42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1560" w:type="dxa"/>
            <w:vAlign w:val="bottom"/>
            <w:tcBorders>
              <w:bottom w:val="single" w:sz="8" w:color="3A4967"/>
            </w:tcBorders>
          </w:tcPr>
          <w:p>
            <w:pPr>
              <w:spacing w:after="0"/>
              <w:rPr>
                <w:sz w:val="3"/>
                <w:szCs w:val="3"/>
                <w:color w:val="auto"/>
              </w:rPr>
            </w:pPr>
          </w:p>
        </w:tc>
        <w:tc>
          <w:tcPr>
            <w:tcW w:w="4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r>
      <w:tr>
        <w:trPr>
          <w:trHeight w:val="226"/>
        </w:trPr>
        <w:tc>
          <w:tcPr>
            <w:tcW w:w="4400" w:type="dxa"/>
            <w:vAlign w:val="bottom"/>
          </w:tcPr>
          <w:p>
            <w:pPr>
              <w:ind w:left="80"/>
              <w:spacing w:after="0"/>
              <w:rPr>
                <w:sz w:val="20"/>
                <w:szCs w:val="20"/>
                <w:color w:val="auto"/>
              </w:rPr>
            </w:pPr>
            <w:r>
              <w:rPr>
                <w:rFonts w:ascii="Arial" w:cs="Arial" w:eastAsia="Arial" w:hAnsi="Arial"/>
                <w:sz w:val="17"/>
                <w:szCs w:val="17"/>
                <w:color w:val="3A4967"/>
              </w:rPr>
              <w:t>Exercisable at December 28, 2024</w:t>
            </w:r>
          </w:p>
        </w:tc>
        <w:tc>
          <w:tcPr>
            <w:tcW w:w="1320" w:type="dxa"/>
            <w:vAlign w:val="bottom"/>
          </w:tcPr>
          <w:p>
            <w:pPr>
              <w:jc w:val="right"/>
              <w:ind w:right="76"/>
              <w:spacing w:after="0"/>
              <w:rPr>
                <w:sz w:val="20"/>
                <w:szCs w:val="20"/>
                <w:color w:val="auto"/>
              </w:rPr>
            </w:pPr>
            <w:r>
              <w:rPr>
                <w:rFonts w:ascii="Arial" w:cs="Arial" w:eastAsia="Arial" w:hAnsi="Arial"/>
                <w:sz w:val="17"/>
                <w:szCs w:val="17"/>
                <w:color w:val="3A4967"/>
              </w:rPr>
              <w:t>126,930</w:t>
            </w:r>
          </w:p>
        </w:tc>
        <w:tc>
          <w:tcPr>
            <w:tcW w:w="420" w:type="dxa"/>
            <w:vAlign w:val="bottom"/>
          </w:tcPr>
          <w:p>
            <w:pPr>
              <w:jc w:val="right"/>
              <w:spacing w:after="0"/>
              <w:rPr>
                <w:sz w:val="20"/>
                <w:szCs w:val="20"/>
                <w:color w:val="auto"/>
              </w:rPr>
            </w:pPr>
            <w:r>
              <w:rPr>
                <w:rFonts w:ascii="Arial" w:cs="Arial" w:eastAsia="Arial" w:hAnsi="Arial"/>
                <w:sz w:val="17"/>
                <w:szCs w:val="17"/>
                <w:color w:val="3A4967"/>
              </w:rPr>
              <w:t>$</w:t>
            </w:r>
          </w:p>
        </w:tc>
        <w:tc>
          <w:tcPr>
            <w:tcW w:w="1160" w:type="dxa"/>
            <w:vAlign w:val="bottom"/>
          </w:tcPr>
          <w:p>
            <w:pPr>
              <w:jc w:val="right"/>
              <w:ind w:right="276"/>
              <w:spacing w:after="0"/>
              <w:rPr>
                <w:sz w:val="20"/>
                <w:szCs w:val="20"/>
                <w:color w:val="auto"/>
              </w:rPr>
            </w:pPr>
            <w:r>
              <w:rPr>
                <w:rFonts w:ascii="Arial" w:cs="Arial" w:eastAsia="Arial" w:hAnsi="Arial"/>
                <w:sz w:val="17"/>
                <w:szCs w:val="17"/>
                <w:color w:val="3A4967"/>
              </w:rPr>
              <w:t>328.56</w:t>
            </w:r>
          </w:p>
        </w:tc>
        <w:tc>
          <w:tcPr>
            <w:tcW w:w="1560" w:type="dxa"/>
            <w:vAlign w:val="bottom"/>
          </w:tcPr>
          <w:p>
            <w:pPr>
              <w:jc w:val="right"/>
              <w:ind w:right="78"/>
              <w:spacing w:after="0"/>
              <w:rPr>
                <w:sz w:val="20"/>
                <w:szCs w:val="20"/>
                <w:color w:val="auto"/>
              </w:rPr>
            </w:pPr>
            <w:r>
              <w:rPr>
                <w:rFonts w:ascii="Arial" w:cs="Arial" w:eastAsia="Arial" w:hAnsi="Arial"/>
                <w:sz w:val="17"/>
                <w:szCs w:val="17"/>
                <w:color w:val="3A4967"/>
              </w:rPr>
              <w:t>3.91</w:t>
            </w:r>
          </w:p>
        </w:tc>
        <w:tc>
          <w:tcPr>
            <w:tcW w:w="440" w:type="dxa"/>
            <w:vAlign w:val="bottom"/>
          </w:tcPr>
          <w:p>
            <w:pPr>
              <w:jc w:val="right"/>
              <w:spacing w:after="0"/>
              <w:rPr>
                <w:sz w:val="20"/>
                <w:szCs w:val="20"/>
                <w:color w:val="auto"/>
              </w:rPr>
            </w:pPr>
            <w:r>
              <w:rPr>
                <w:rFonts w:ascii="Arial" w:cs="Arial" w:eastAsia="Arial" w:hAnsi="Arial"/>
                <w:sz w:val="17"/>
                <w:szCs w:val="17"/>
                <w:color w:val="3A4967"/>
              </w:rPr>
              <w:t>$</w:t>
            </w:r>
          </w:p>
        </w:tc>
        <w:tc>
          <w:tcPr>
            <w:tcW w:w="880" w:type="dxa"/>
            <w:vAlign w:val="bottom"/>
          </w:tcPr>
          <w:p>
            <w:pPr>
              <w:jc w:val="right"/>
              <w:spacing w:after="0"/>
              <w:rPr>
                <w:sz w:val="20"/>
                <w:szCs w:val="20"/>
                <w:color w:val="auto"/>
              </w:rPr>
            </w:pPr>
            <w:r>
              <w:rPr>
                <w:rFonts w:ascii="Arial" w:cs="Arial" w:eastAsia="Arial" w:hAnsi="Arial"/>
                <w:sz w:val="17"/>
                <w:szCs w:val="17"/>
                <w:color w:val="3A4967"/>
              </w:rPr>
              <w:t>5,611</w:t>
            </w:r>
          </w:p>
        </w:tc>
      </w:tr>
      <w:tr>
        <w:trPr>
          <w:trHeight w:val="35"/>
        </w:trPr>
        <w:tc>
          <w:tcPr>
            <w:tcW w:w="4400" w:type="dxa"/>
            <w:vAlign w:val="bottom"/>
            <w:tcBorders>
              <w:bottom w:val="single" w:sz="8" w:color="3A4967"/>
            </w:tcBorders>
          </w:tcPr>
          <w:p>
            <w:pPr>
              <w:spacing w:after="0"/>
              <w:rPr>
                <w:sz w:val="3"/>
                <w:szCs w:val="3"/>
                <w:color w:val="auto"/>
              </w:rPr>
            </w:pPr>
          </w:p>
        </w:tc>
        <w:tc>
          <w:tcPr>
            <w:tcW w:w="1320" w:type="dxa"/>
            <w:vAlign w:val="bottom"/>
            <w:tcBorders>
              <w:bottom w:val="single" w:sz="8" w:color="3A4967"/>
            </w:tcBorders>
          </w:tcPr>
          <w:p>
            <w:pPr>
              <w:spacing w:after="0"/>
              <w:rPr>
                <w:sz w:val="3"/>
                <w:szCs w:val="3"/>
                <w:color w:val="auto"/>
              </w:rPr>
            </w:pPr>
          </w:p>
        </w:tc>
        <w:tc>
          <w:tcPr>
            <w:tcW w:w="42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1560" w:type="dxa"/>
            <w:vAlign w:val="bottom"/>
            <w:tcBorders>
              <w:bottom w:val="single" w:sz="8" w:color="3A4967"/>
            </w:tcBorders>
          </w:tcPr>
          <w:p>
            <w:pPr>
              <w:spacing w:after="0"/>
              <w:rPr>
                <w:sz w:val="3"/>
                <w:szCs w:val="3"/>
                <w:color w:val="auto"/>
              </w:rPr>
            </w:pPr>
          </w:p>
        </w:tc>
        <w:tc>
          <w:tcPr>
            <w:tcW w:w="4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r>
      <w:tr>
        <w:trPr>
          <w:trHeight w:val="226"/>
        </w:trPr>
        <w:tc>
          <w:tcPr>
            <w:tcW w:w="4400" w:type="dxa"/>
            <w:vAlign w:val="bottom"/>
          </w:tcPr>
          <w:p>
            <w:pPr>
              <w:ind w:left="80"/>
              <w:spacing w:after="0"/>
              <w:rPr>
                <w:sz w:val="20"/>
                <w:szCs w:val="20"/>
                <w:color w:val="auto"/>
              </w:rPr>
            </w:pPr>
            <w:r>
              <w:rPr>
                <w:rFonts w:ascii="Arial" w:cs="Arial" w:eastAsia="Arial" w:hAnsi="Arial"/>
                <w:sz w:val="17"/>
                <w:szCs w:val="17"/>
                <w:color w:val="3A4967"/>
              </w:rPr>
              <w:t>Vested and expected to vest at December 28, 2024</w:t>
            </w:r>
          </w:p>
        </w:tc>
        <w:tc>
          <w:tcPr>
            <w:tcW w:w="1320" w:type="dxa"/>
            <w:vAlign w:val="bottom"/>
          </w:tcPr>
          <w:p>
            <w:pPr>
              <w:jc w:val="right"/>
              <w:ind w:right="76"/>
              <w:spacing w:after="0"/>
              <w:rPr>
                <w:sz w:val="20"/>
                <w:szCs w:val="20"/>
                <w:color w:val="auto"/>
              </w:rPr>
            </w:pPr>
            <w:r>
              <w:rPr>
                <w:rFonts w:ascii="Arial" w:cs="Arial" w:eastAsia="Arial" w:hAnsi="Arial"/>
                <w:sz w:val="17"/>
                <w:szCs w:val="17"/>
                <w:color w:val="3A4967"/>
              </w:rPr>
              <w:t>200,272</w:t>
            </w:r>
          </w:p>
        </w:tc>
        <w:tc>
          <w:tcPr>
            <w:tcW w:w="420" w:type="dxa"/>
            <w:vAlign w:val="bottom"/>
          </w:tcPr>
          <w:p>
            <w:pPr>
              <w:jc w:val="right"/>
              <w:spacing w:after="0"/>
              <w:rPr>
                <w:sz w:val="20"/>
                <w:szCs w:val="20"/>
                <w:color w:val="auto"/>
              </w:rPr>
            </w:pPr>
            <w:r>
              <w:rPr>
                <w:rFonts w:ascii="Arial" w:cs="Arial" w:eastAsia="Arial" w:hAnsi="Arial"/>
                <w:sz w:val="17"/>
                <w:szCs w:val="17"/>
                <w:color w:val="3A4967"/>
              </w:rPr>
              <w:t>$</w:t>
            </w:r>
          </w:p>
        </w:tc>
        <w:tc>
          <w:tcPr>
            <w:tcW w:w="1160" w:type="dxa"/>
            <w:vAlign w:val="bottom"/>
          </w:tcPr>
          <w:p>
            <w:pPr>
              <w:jc w:val="right"/>
              <w:ind w:right="276"/>
              <w:spacing w:after="0"/>
              <w:rPr>
                <w:sz w:val="20"/>
                <w:szCs w:val="20"/>
                <w:color w:val="auto"/>
              </w:rPr>
            </w:pPr>
            <w:r>
              <w:rPr>
                <w:rFonts w:ascii="Arial" w:cs="Arial" w:eastAsia="Arial" w:hAnsi="Arial"/>
                <w:sz w:val="17"/>
                <w:szCs w:val="17"/>
                <w:color w:val="3A4967"/>
              </w:rPr>
              <w:t>360.37</w:t>
            </w:r>
          </w:p>
        </w:tc>
        <w:tc>
          <w:tcPr>
            <w:tcW w:w="1560" w:type="dxa"/>
            <w:vAlign w:val="bottom"/>
          </w:tcPr>
          <w:p>
            <w:pPr>
              <w:jc w:val="right"/>
              <w:ind w:right="78"/>
              <w:spacing w:after="0"/>
              <w:rPr>
                <w:sz w:val="20"/>
                <w:szCs w:val="20"/>
                <w:color w:val="auto"/>
              </w:rPr>
            </w:pPr>
            <w:r>
              <w:rPr>
                <w:rFonts w:ascii="Arial" w:cs="Arial" w:eastAsia="Arial" w:hAnsi="Arial"/>
                <w:sz w:val="17"/>
                <w:szCs w:val="17"/>
                <w:color w:val="3A4967"/>
              </w:rPr>
              <w:t>4.77</w:t>
            </w:r>
          </w:p>
        </w:tc>
        <w:tc>
          <w:tcPr>
            <w:tcW w:w="440" w:type="dxa"/>
            <w:vAlign w:val="bottom"/>
          </w:tcPr>
          <w:p>
            <w:pPr>
              <w:jc w:val="right"/>
              <w:spacing w:after="0"/>
              <w:rPr>
                <w:sz w:val="20"/>
                <w:szCs w:val="20"/>
                <w:color w:val="auto"/>
              </w:rPr>
            </w:pPr>
            <w:r>
              <w:rPr>
                <w:rFonts w:ascii="Arial" w:cs="Arial" w:eastAsia="Arial" w:hAnsi="Arial"/>
                <w:sz w:val="17"/>
                <w:szCs w:val="17"/>
                <w:color w:val="3A4967"/>
              </w:rPr>
              <w:t>$</w:t>
            </w:r>
          </w:p>
        </w:tc>
        <w:tc>
          <w:tcPr>
            <w:tcW w:w="880" w:type="dxa"/>
            <w:vAlign w:val="bottom"/>
          </w:tcPr>
          <w:p>
            <w:pPr>
              <w:jc w:val="right"/>
              <w:spacing w:after="0"/>
              <w:rPr>
                <w:sz w:val="20"/>
                <w:szCs w:val="20"/>
                <w:color w:val="auto"/>
              </w:rPr>
            </w:pPr>
            <w:r>
              <w:rPr>
                <w:rFonts w:ascii="Arial" w:cs="Arial" w:eastAsia="Arial" w:hAnsi="Arial"/>
                <w:sz w:val="17"/>
                <w:szCs w:val="17"/>
                <w:color w:val="3A4967"/>
              </w:rPr>
              <w:t>5,865</w:t>
            </w:r>
          </w:p>
        </w:tc>
      </w:tr>
      <w:tr>
        <w:trPr>
          <w:trHeight w:val="40"/>
        </w:trPr>
        <w:tc>
          <w:tcPr>
            <w:tcW w:w="4400" w:type="dxa"/>
            <w:vAlign w:val="bottom"/>
            <w:tcBorders>
              <w:bottom w:val="single" w:sz="8" w:color="3A4967"/>
            </w:tcBorders>
          </w:tcPr>
          <w:p>
            <w:pPr>
              <w:spacing w:after="0"/>
              <w:rPr>
                <w:sz w:val="3"/>
                <w:szCs w:val="3"/>
                <w:color w:val="auto"/>
              </w:rPr>
            </w:pPr>
          </w:p>
        </w:tc>
        <w:tc>
          <w:tcPr>
            <w:tcW w:w="1320" w:type="dxa"/>
            <w:vAlign w:val="bottom"/>
            <w:tcBorders>
              <w:bottom w:val="single" w:sz="8" w:color="3A4967"/>
            </w:tcBorders>
          </w:tcPr>
          <w:p>
            <w:pPr>
              <w:spacing w:after="0"/>
              <w:rPr>
                <w:sz w:val="3"/>
                <w:szCs w:val="3"/>
                <w:color w:val="auto"/>
              </w:rPr>
            </w:pPr>
          </w:p>
        </w:tc>
        <w:tc>
          <w:tcPr>
            <w:tcW w:w="420" w:type="dxa"/>
            <w:vAlign w:val="bottom"/>
            <w:tcBorders>
              <w:bottom w:val="single" w:sz="8" w:color="3A4967"/>
            </w:tcBorders>
          </w:tcPr>
          <w:p>
            <w:pPr>
              <w:spacing w:after="0"/>
              <w:rPr>
                <w:sz w:val="3"/>
                <w:szCs w:val="3"/>
                <w:color w:val="auto"/>
              </w:rPr>
            </w:pPr>
          </w:p>
        </w:tc>
        <w:tc>
          <w:tcPr>
            <w:tcW w:w="1160" w:type="dxa"/>
            <w:vAlign w:val="bottom"/>
            <w:tcBorders>
              <w:bottom w:val="single" w:sz="8" w:color="3A4967"/>
            </w:tcBorders>
          </w:tcPr>
          <w:p>
            <w:pPr>
              <w:spacing w:after="0"/>
              <w:rPr>
                <w:sz w:val="3"/>
                <w:szCs w:val="3"/>
                <w:color w:val="auto"/>
              </w:rPr>
            </w:pPr>
          </w:p>
        </w:tc>
        <w:tc>
          <w:tcPr>
            <w:tcW w:w="1560" w:type="dxa"/>
            <w:vAlign w:val="bottom"/>
            <w:tcBorders>
              <w:bottom w:val="single" w:sz="8" w:color="3A4967"/>
            </w:tcBorders>
          </w:tcPr>
          <w:p>
            <w:pPr>
              <w:spacing w:after="0"/>
              <w:rPr>
                <w:sz w:val="3"/>
                <w:szCs w:val="3"/>
                <w:color w:val="auto"/>
              </w:rPr>
            </w:pPr>
          </w:p>
        </w:tc>
        <w:tc>
          <w:tcPr>
            <w:tcW w:w="4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-1449070</wp:posOffset>
            </wp:positionV>
            <wp:extent cx="6485890" cy="12661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485890" cy="1266190"/>
                    </a:xfrm>
                    <a:prstGeom prst="rect">
                      <a:avLst/>
                    </a:prstGeom>
                    <a:noFill/>
                  </pic:spPr>
                </pic:pic>
              </a:graphicData>
            </a:graphic>
          </wp:anchor>
        </w:drawing>
      </w:r>
    </w:p>
    <w:p>
      <w:pPr>
        <w:spacing w:after="0" w:line="108" w:lineRule="exact"/>
        <w:rPr>
          <w:sz w:val="20"/>
          <w:szCs w:val="20"/>
          <w:color w:val="auto"/>
        </w:rPr>
      </w:pPr>
    </w:p>
    <w:p>
      <w:pPr>
        <w:jc w:val="both"/>
        <w:ind w:right="380"/>
        <w:spacing w:after="0" w:line="267" w:lineRule="auto"/>
        <w:rPr>
          <w:sz w:val="20"/>
          <w:szCs w:val="20"/>
          <w:color w:val="auto"/>
        </w:rPr>
      </w:pPr>
      <w:r>
        <w:rPr>
          <w:rFonts w:ascii="Arial" w:cs="Arial" w:eastAsia="Arial" w:hAnsi="Arial"/>
          <w:sz w:val="18"/>
          <w:szCs w:val="18"/>
          <w:color w:val="3A4967"/>
        </w:rPr>
        <w:t>Of the total options outstanding at December 28, 2024, 6,348 shares were performance-based options for which the performance criteria had yet to be achieved.</w:t>
      </w:r>
    </w:p>
    <w:p>
      <w:pPr>
        <w:spacing w:after="0" w:line="85" w:lineRule="exact"/>
        <w:rPr>
          <w:sz w:val="20"/>
          <w:szCs w:val="20"/>
          <w:color w:val="auto"/>
        </w:rPr>
      </w:pPr>
    </w:p>
    <w:p>
      <w:pPr>
        <w:jc w:val="both"/>
        <w:ind w:right="380"/>
        <w:spacing w:after="0" w:line="267" w:lineRule="auto"/>
        <w:rPr>
          <w:sz w:val="20"/>
          <w:szCs w:val="20"/>
          <w:color w:val="auto"/>
        </w:rPr>
      </w:pPr>
      <w:r>
        <w:rPr>
          <w:rFonts w:ascii="Arial" w:cs="Arial" w:eastAsia="Arial" w:hAnsi="Arial"/>
          <w:sz w:val="18"/>
          <w:szCs w:val="18"/>
          <w:color w:val="3A4967"/>
        </w:rPr>
        <w:t>Weighted average assumptions used to estimate fair values of stock options on the date of grants for fiscal 2024, 2023, and 2022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20" w:type="dxa"/>
            <w:vAlign w:val="bottom"/>
          </w:tcPr>
          <w:p>
            <w:pPr>
              <w:spacing w:after="0"/>
              <w:rPr>
                <w:sz w:val="17"/>
                <w:szCs w:val="17"/>
                <w:color w:val="auto"/>
              </w:rPr>
            </w:pPr>
          </w:p>
        </w:tc>
        <w:tc>
          <w:tcPr>
            <w:tcW w:w="2940" w:type="dxa"/>
            <w:vAlign w:val="bottom"/>
          </w:tcPr>
          <w:p>
            <w:pPr>
              <w:jc w:val="right"/>
              <w:ind w:right="436"/>
              <w:spacing w:after="0"/>
              <w:rPr>
                <w:sz w:val="20"/>
                <w:szCs w:val="20"/>
                <w:color w:val="auto"/>
              </w:rPr>
            </w:pPr>
            <w:r>
              <w:rPr>
                <w:rFonts w:ascii="Arial" w:cs="Arial" w:eastAsia="Arial" w:hAnsi="Arial"/>
                <w:sz w:val="16"/>
                <w:szCs w:val="16"/>
                <w:b w:val="1"/>
                <w:bCs w:val="1"/>
                <w:color w:val="3A4967"/>
              </w:rPr>
              <w:t>2024</w:t>
            </w:r>
          </w:p>
        </w:tc>
        <w:tc>
          <w:tcPr>
            <w:tcW w:w="1460" w:type="dxa"/>
            <w:vAlign w:val="bottom"/>
          </w:tcPr>
          <w:p>
            <w:pPr>
              <w:jc w:val="right"/>
              <w:ind w:right="436"/>
              <w:spacing w:after="0"/>
              <w:rPr>
                <w:sz w:val="20"/>
                <w:szCs w:val="20"/>
                <w:color w:val="auto"/>
              </w:rPr>
            </w:pPr>
            <w:r>
              <w:rPr>
                <w:rFonts w:ascii="Arial" w:cs="Arial" w:eastAsia="Arial" w:hAnsi="Arial"/>
                <w:sz w:val="16"/>
                <w:szCs w:val="16"/>
                <w:b w:val="1"/>
                <w:bCs w:val="1"/>
                <w:color w:val="3A4967"/>
              </w:rPr>
              <w:t>2023</w:t>
            </w:r>
          </w:p>
        </w:tc>
        <w:tc>
          <w:tcPr>
            <w:tcW w:w="1140" w:type="dxa"/>
            <w:vAlign w:val="bottom"/>
          </w:tcPr>
          <w:p>
            <w:pPr>
              <w:jc w:val="right"/>
              <w:ind w:right="136"/>
              <w:spacing w:after="0"/>
              <w:rPr>
                <w:sz w:val="20"/>
                <w:szCs w:val="20"/>
                <w:color w:val="auto"/>
              </w:rPr>
            </w:pPr>
            <w:r>
              <w:rPr>
                <w:rFonts w:ascii="Arial" w:cs="Arial" w:eastAsia="Arial" w:hAnsi="Arial"/>
                <w:sz w:val="16"/>
                <w:szCs w:val="16"/>
                <w:b w:val="1"/>
                <w:bCs w:val="1"/>
                <w:color w:val="3A4967"/>
              </w:rPr>
              <w:t>2022</w:t>
            </w:r>
          </w:p>
        </w:tc>
      </w:tr>
      <w:tr>
        <w:trPr>
          <w:trHeight w:val="36"/>
        </w:trPr>
        <w:tc>
          <w:tcPr>
            <w:tcW w:w="4620" w:type="dxa"/>
            <w:vAlign w:val="bottom"/>
            <w:tcBorders>
              <w:bottom w:val="single" w:sz="8" w:color="3A4967"/>
            </w:tcBorders>
          </w:tcPr>
          <w:p>
            <w:pPr>
              <w:spacing w:after="0"/>
              <w:rPr>
                <w:sz w:val="3"/>
                <w:szCs w:val="3"/>
                <w:color w:val="auto"/>
              </w:rPr>
            </w:pPr>
          </w:p>
        </w:tc>
        <w:tc>
          <w:tcPr>
            <w:tcW w:w="2940" w:type="dxa"/>
            <w:vAlign w:val="bottom"/>
            <w:tcBorders>
              <w:bottom w:val="single" w:sz="8" w:color="3A4967"/>
            </w:tcBorders>
          </w:tcPr>
          <w:p>
            <w:pPr>
              <w:spacing w:after="0"/>
              <w:rPr>
                <w:sz w:val="3"/>
                <w:szCs w:val="3"/>
                <w:color w:val="auto"/>
              </w:rPr>
            </w:pPr>
          </w:p>
        </w:tc>
        <w:tc>
          <w:tcPr>
            <w:tcW w:w="1460" w:type="dxa"/>
            <w:vAlign w:val="bottom"/>
            <w:tcBorders>
              <w:bottom w:val="single" w:sz="8" w:color="3A4967"/>
            </w:tcBorders>
          </w:tcPr>
          <w:p>
            <w:pPr>
              <w:spacing w:after="0"/>
              <w:rPr>
                <w:sz w:val="3"/>
                <w:szCs w:val="3"/>
                <w:color w:val="auto"/>
              </w:rPr>
            </w:pPr>
          </w:p>
        </w:tc>
        <w:tc>
          <w:tcPr>
            <w:tcW w:w="1140" w:type="dxa"/>
            <w:vAlign w:val="bottom"/>
            <w:tcBorders>
              <w:bottom w:val="single" w:sz="8" w:color="3A4967"/>
            </w:tcBorders>
          </w:tcPr>
          <w:p>
            <w:pPr>
              <w:spacing w:after="0"/>
              <w:rPr>
                <w:sz w:val="3"/>
                <w:szCs w:val="3"/>
                <w:color w:val="auto"/>
              </w:rPr>
            </w:pPr>
          </w:p>
        </w:tc>
      </w:tr>
      <w:tr>
        <w:trPr>
          <w:trHeight w:val="227"/>
        </w:trPr>
        <w:tc>
          <w:tcPr>
            <w:tcW w:w="4620" w:type="dxa"/>
            <w:vAlign w:val="bottom"/>
          </w:tcPr>
          <w:p>
            <w:pPr>
              <w:ind w:left="80"/>
              <w:spacing w:after="0"/>
              <w:rPr>
                <w:sz w:val="20"/>
                <w:szCs w:val="20"/>
                <w:color w:val="auto"/>
              </w:rPr>
            </w:pPr>
            <w:r>
              <w:rPr>
                <w:rFonts w:ascii="Arial" w:cs="Arial" w:eastAsia="Arial" w:hAnsi="Arial"/>
                <w:sz w:val="17"/>
                <w:szCs w:val="17"/>
                <w:color w:val="3A4967"/>
              </w:rPr>
              <w:t>Expected volatility</w:t>
            </w:r>
          </w:p>
        </w:tc>
        <w:tc>
          <w:tcPr>
            <w:tcW w:w="2940" w:type="dxa"/>
            <w:vAlign w:val="bottom"/>
          </w:tcPr>
          <w:p>
            <w:pPr>
              <w:jc w:val="right"/>
              <w:ind w:right="296"/>
              <w:spacing w:after="0"/>
              <w:rPr>
                <w:sz w:val="20"/>
                <w:szCs w:val="20"/>
                <w:color w:val="auto"/>
              </w:rPr>
            </w:pPr>
            <w:r>
              <w:rPr>
                <w:rFonts w:ascii="Arial" w:cs="Arial" w:eastAsia="Arial" w:hAnsi="Arial"/>
                <w:sz w:val="17"/>
                <w:szCs w:val="17"/>
                <w:color w:val="3A4967"/>
              </w:rPr>
              <w:t>40.0%</w:t>
            </w:r>
          </w:p>
        </w:tc>
        <w:tc>
          <w:tcPr>
            <w:tcW w:w="1460" w:type="dxa"/>
            <w:vAlign w:val="bottom"/>
          </w:tcPr>
          <w:p>
            <w:pPr>
              <w:jc w:val="right"/>
              <w:ind w:right="296"/>
              <w:spacing w:after="0"/>
              <w:rPr>
                <w:sz w:val="20"/>
                <w:szCs w:val="20"/>
                <w:color w:val="auto"/>
              </w:rPr>
            </w:pPr>
            <w:r>
              <w:rPr>
                <w:rFonts w:ascii="Arial" w:cs="Arial" w:eastAsia="Arial" w:hAnsi="Arial"/>
                <w:sz w:val="17"/>
                <w:szCs w:val="17"/>
                <w:color w:val="3A4967"/>
              </w:rPr>
              <w:t>39.7%</w:t>
            </w:r>
          </w:p>
        </w:tc>
        <w:tc>
          <w:tcPr>
            <w:tcW w:w="1140" w:type="dxa"/>
            <w:vAlign w:val="bottom"/>
          </w:tcPr>
          <w:p>
            <w:pPr>
              <w:jc w:val="right"/>
              <w:spacing w:after="0"/>
              <w:rPr>
                <w:sz w:val="20"/>
                <w:szCs w:val="20"/>
                <w:color w:val="auto"/>
              </w:rPr>
            </w:pPr>
            <w:r>
              <w:rPr>
                <w:rFonts w:ascii="Arial" w:cs="Arial" w:eastAsia="Arial" w:hAnsi="Arial"/>
                <w:sz w:val="17"/>
                <w:szCs w:val="17"/>
                <w:color w:val="3A4967"/>
              </w:rPr>
              <w:t>38.0%</w:t>
            </w:r>
          </w:p>
        </w:tc>
      </w:tr>
      <w:tr>
        <w:trPr>
          <w:trHeight w:val="281"/>
        </w:trPr>
        <w:tc>
          <w:tcPr>
            <w:tcW w:w="4620" w:type="dxa"/>
            <w:vAlign w:val="bottom"/>
          </w:tcPr>
          <w:p>
            <w:pPr>
              <w:ind w:left="80"/>
              <w:spacing w:after="0"/>
              <w:rPr>
                <w:sz w:val="20"/>
                <w:szCs w:val="20"/>
                <w:color w:val="auto"/>
              </w:rPr>
            </w:pPr>
            <w:r>
              <w:rPr>
                <w:rFonts w:ascii="Arial" w:cs="Arial" w:eastAsia="Arial" w:hAnsi="Arial"/>
                <w:sz w:val="17"/>
                <w:szCs w:val="17"/>
                <w:color w:val="3A4967"/>
              </w:rPr>
              <w:t>Risk-free interest rate</w:t>
            </w:r>
          </w:p>
        </w:tc>
        <w:tc>
          <w:tcPr>
            <w:tcW w:w="2940" w:type="dxa"/>
            <w:vAlign w:val="bottom"/>
          </w:tcPr>
          <w:p>
            <w:pPr>
              <w:jc w:val="right"/>
              <w:ind w:right="296"/>
              <w:spacing w:after="0"/>
              <w:rPr>
                <w:sz w:val="20"/>
                <w:szCs w:val="20"/>
                <w:color w:val="auto"/>
              </w:rPr>
            </w:pPr>
            <w:r>
              <w:rPr>
                <w:rFonts w:ascii="Arial" w:cs="Arial" w:eastAsia="Arial" w:hAnsi="Arial"/>
                <w:sz w:val="17"/>
                <w:szCs w:val="17"/>
                <w:color w:val="3A4967"/>
              </w:rPr>
              <w:t>4.23%</w:t>
            </w:r>
          </w:p>
        </w:tc>
        <w:tc>
          <w:tcPr>
            <w:tcW w:w="1460" w:type="dxa"/>
            <w:vAlign w:val="bottom"/>
          </w:tcPr>
          <w:p>
            <w:pPr>
              <w:jc w:val="right"/>
              <w:ind w:right="296"/>
              <w:spacing w:after="0"/>
              <w:rPr>
                <w:sz w:val="20"/>
                <w:szCs w:val="20"/>
                <w:color w:val="auto"/>
              </w:rPr>
            </w:pPr>
            <w:r>
              <w:rPr>
                <w:rFonts w:ascii="Arial" w:cs="Arial" w:eastAsia="Arial" w:hAnsi="Arial"/>
                <w:sz w:val="17"/>
                <w:szCs w:val="17"/>
                <w:color w:val="3A4967"/>
              </w:rPr>
              <w:t>3.96%</w:t>
            </w:r>
          </w:p>
        </w:tc>
        <w:tc>
          <w:tcPr>
            <w:tcW w:w="1140" w:type="dxa"/>
            <w:vAlign w:val="bottom"/>
          </w:tcPr>
          <w:p>
            <w:pPr>
              <w:jc w:val="right"/>
              <w:spacing w:after="0"/>
              <w:rPr>
                <w:sz w:val="20"/>
                <w:szCs w:val="20"/>
                <w:color w:val="auto"/>
              </w:rPr>
            </w:pPr>
            <w:r>
              <w:rPr>
                <w:rFonts w:ascii="Arial" w:cs="Arial" w:eastAsia="Arial" w:hAnsi="Arial"/>
                <w:sz w:val="17"/>
                <w:szCs w:val="17"/>
                <w:color w:val="3A4967"/>
              </w:rPr>
              <w:t>2.11%</w:t>
            </w:r>
          </w:p>
        </w:tc>
      </w:tr>
      <w:tr>
        <w:trPr>
          <w:trHeight w:val="281"/>
        </w:trPr>
        <w:tc>
          <w:tcPr>
            <w:tcW w:w="4620" w:type="dxa"/>
            <w:vAlign w:val="bottom"/>
          </w:tcPr>
          <w:p>
            <w:pPr>
              <w:ind w:left="80"/>
              <w:spacing w:after="0"/>
              <w:rPr>
                <w:sz w:val="20"/>
                <w:szCs w:val="20"/>
                <w:color w:val="auto"/>
              </w:rPr>
            </w:pPr>
            <w:r>
              <w:rPr>
                <w:rFonts w:ascii="Arial" w:cs="Arial" w:eastAsia="Arial" w:hAnsi="Arial"/>
                <w:sz w:val="17"/>
                <w:szCs w:val="17"/>
                <w:color w:val="3A4967"/>
              </w:rPr>
              <w:t>Expected dividends</w:t>
            </w:r>
          </w:p>
        </w:tc>
        <w:tc>
          <w:tcPr>
            <w:tcW w:w="2940" w:type="dxa"/>
            <w:vAlign w:val="bottom"/>
          </w:tcPr>
          <w:p>
            <w:pPr>
              <w:jc w:val="right"/>
              <w:ind w:right="296"/>
              <w:spacing w:after="0"/>
              <w:rPr>
                <w:sz w:val="20"/>
                <w:szCs w:val="20"/>
                <w:color w:val="auto"/>
              </w:rPr>
            </w:pPr>
            <w:r>
              <w:rPr>
                <w:rFonts w:ascii="Arial" w:cs="Arial" w:eastAsia="Arial" w:hAnsi="Arial"/>
                <w:sz w:val="17"/>
                <w:szCs w:val="17"/>
                <w:color w:val="3A4967"/>
              </w:rPr>
              <w:t>0%</w:t>
            </w:r>
          </w:p>
        </w:tc>
        <w:tc>
          <w:tcPr>
            <w:tcW w:w="1460" w:type="dxa"/>
            <w:vAlign w:val="bottom"/>
          </w:tcPr>
          <w:p>
            <w:pPr>
              <w:jc w:val="right"/>
              <w:ind w:right="296"/>
              <w:spacing w:after="0"/>
              <w:rPr>
                <w:sz w:val="20"/>
                <w:szCs w:val="20"/>
                <w:color w:val="auto"/>
              </w:rPr>
            </w:pPr>
            <w:r>
              <w:rPr>
                <w:rFonts w:ascii="Arial" w:cs="Arial" w:eastAsia="Arial" w:hAnsi="Arial"/>
                <w:sz w:val="17"/>
                <w:szCs w:val="17"/>
                <w:color w:val="3A4967"/>
              </w:rPr>
              <w:t>0%</w:t>
            </w:r>
          </w:p>
        </w:tc>
        <w:tc>
          <w:tcPr>
            <w:tcW w:w="1140" w:type="dxa"/>
            <w:vAlign w:val="bottom"/>
          </w:tcPr>
          <w:p>
            <w:pPr>
              <w:jc w:val="right"/>
              <w:spacing w:after="0"/>
              <w:rPr>
                <w:sz w:val="20"/>
                <w:szCs w:val="20"/>
                <w:color w:val="auto"/>
              </w:rPr>
            </w:pPr>
            <w:r>
              <w:rPr>
                <w:rFonts w:ascii="Arial" w:cs="Arial" w:eastAsia="Arial" w:hAnsi="Arial"/>
                <w:sz w:val="17"/>
                <w:szCs w:val="17"/>
                <w:color w:val="3A4967"/>
              </w:rPr>
              <w:t>0%</w:t>
            </w:r>
          </w:p>
        </w:tc>
      </w:tr>
      <w:tr>
        <w:trPr>
          <w:trHeight w:val="281"/>
        </w:trPr>
        <w:tc>
          <w:tcPr>
            <w:tcW w:w="4620" w:type="dxa"/>
            <w:vAlign w:val="bottom"/>
          </w:tcPr>
          <w:p>
            <w:pPr>
              <w:ind w:left="80"/>
              <w:spacing w:after="0"/>
              <w:rPr>
                <w:sz w:val="20"/>
                <w:szCs w:val="20"/>
                <w:color w:val="auto"/>
              </w:rPr>
            </w:pPr>
            <w:r>
              <w:rPr>
                <w:rFonts w:ascii="Arial" w:cs="Arial" w:eastAsia="Arial" w:hAnsi="Arial"/>
                <w:sz w:val="17"/>
                <w:szCs w:val="17"/>
                <w:color w:val="3A4967"/>
              </w:rPr>
              <w:t>Exercise factor</w:t>
            </w:r>
          </w:p>
        </w:tc>
        <w:tc>
          <w:tcPr>
            <w:tcW w:w="2940" w:type="dxa"/>
            <w:vAlign w:val="bottom"/>
          </w:tcPr>
          <w:p>
            <w:pPr>
              <w:jc w:val="right"/>
              <w:ind w:right="296"/>
              <w:spacing w:after="0"/>
              <w:rPr>
                <w:sz w:val="20"/>
                <w:szCs w:val="20"/>
                <w:color w:val="auto"/>
              </w:rPr>
            </w:pPr>
            <w:r>
              <w:rPr>
                <w:rFonts w:ascii="Arial" w:cs="Arial" w:eastAsia="Arial" w:hAnsi="Arial"/>
                <w:sz w:val="17"/>
                <w:szCs w:val="17"/>
                <w:color w:val="3A4967"/>
              </w:rPr>
              <w:t>2.1 times</w:t>
            </w:r>
          </w:p>
        </w:tc>
        <w:tc>
          <w:tcPr>
            <w:tcW w:w="1460" w:type="dxa"/>
            <w:vAlign w:val="bottom"/>
          </w:tcPr>
          <w:p>
            <w:pPr>
              <w:jc w:val="right"/>
              <w:ind w:right="296"/>
              <w:spacing w:after="0"/>
              <w:rPr>
                <w:sz w:val="20"/>
                <w:szCs w:val="20"/>
                <w:color w:val="auto"/>
              </w:rPr>
            </w:pPr>
            <w:r>
              <w:rPr>
                <w:rFonts w:ascii="Arial" w:cs="Arial" w:eastAsia="Arial" w:hAnsi="Arial"/>
                <w:sz w:val="17"/>
                <w:szCs w:val="17"/>
                <w:color w:val="3A4967"/>
              </w:rPr>
              <w:t>2.3 times</w:t>
            </w:r>
          </w:p>
        </w:tc>
        <w:tc>
          <w:tcPr>
            <w:tcW w:w="1140" w:type="dxa"/>
            <w:vAlign w:val="bottom"/>
          </w:tcPr>
          <w:p>
            <w:pPr>
              <w:jc w:val="right"/>
              <w:spacing w:after="0"/>
              <w:rPr>
                <w:sz w:val="20"/>
                <w:szCs w:val="20"/>
                <w:color w:val="auto"/>
              </w:rPr>
            </w:pPr>
            <w:r>
              <w:rPr>
                <w:rFonts w:ascii="Arial" w:cs="Arial" w:eastAsia="Arial" w:hAnsi="Arial"/>
                <w:sz w:val="17"/>
                <w:szCs w:val="17"/>
                <w:color w:val="3A4967"/>
              </w:rPr>
              <w:t>3.0 times</w:t>
            </w:r>
          </w:p>
        </w:tc>
      </w:tr>
      <w:tr>
        <w:trPr>
          <w:trHeight w:val="281"/>
        </w:trPr>
        <w:tc>
          <w:tcPr>
            <w:tcW w:w="4620" w:type="dxa"/>
            <w:vAlign w:val="bottom"/>
          </w:tcPr>
          <w:p>
            <w:pPr>
              <w:ind w:left="80"/>
              <w:spacing w:after="0"/>
              <w:rPr>
                <w:sz w:val="20"/>
                <w:szCs w:val="20"/>
                <w:color w:val="auto"/>
              </w:rPr>
            </w:pPr>
            <w:r>
              <w:rPr>
                <w:rFonts w:ascii="Arial" w:cs="Arial" w:eastAsia="Arial" w:hAnsi="Arial"/>
                <w:sz w:val="17"/>
                <w:szCs w:val="17"/>
                <w:color w:val="3A4967"/>
              </w:rPr>
              <w:t>Discount for post-vesting restrictions</w:t>
            </w:r>
          </w:p>
        </w:tc>
        <w:tc>
          <w:tcPr>
            <w:tcW w:w="2940" w:type="dxa"/>
            <w:vAlign w:val="bottom"/>
          </w:tcPr>
          <w:p>
            <w:pPr>
              <w:jc w:val="right"/>
              <w:ind w:right="296"/>
              <w:spacing w:after="0"/>
              <w:rPr>
                <w:sz w:val="20"/>
                <w:szCs w:val="20"/>
                <w:color w:val="auto"/>
              </w:rPr>
            </w:pPr>
            <w:r>
              <w:rPr>
                <w:rFonts w:ascii="Arial" w:cs="Arial" w:eastAsia="Arial" w:hAnsi="Arial"/>
                <w:sz w:val="17"/>
                <w:szCs w:val="17"/>
                <w:color w:val="3A4967"/>
              </w:rPr>
              <w:t>0.0%</w:t>
            </w:r>
          </w:p>
        </w:tc>
        <w:tc>
          <w:tcPr>
            <w:tcW w:w="1460" w:type="dxa"/>
            <w:vAlign w:val="bottom"/>
          </w:tcPr>
          <w:p>
            <w:pPr>
              <w:jc w:val="right"/>
              <w:ind w:right="296"/>
              <w:spacing w:after="0"/>
              <w:rPr>
                <w:sz w:val="20"/>
                <w:szCs w:val="20"/>
                <w:color w:val="auto"/>
              </w:rPr>
            </w:pPr>
            <w:r>
              <w:rPr>
                <w:rFonts w:ascii="Arial" w:cs="Arial" w:eastAsia="Arial" w:hAnsi="Arial"/>
                <w:sz w:val="17"/>
                <w:szCs w:val="17"/>
                <w:color w:val="3A4967"/>
              </w:rPr>
              <w:t>0.0%</w:t>
            </w:r>
          </w:p>
        </w:tc>
        <w:tc>
          <w:tcPr>
            <w:tcW w:w="1140" w:type="dxa"/>
            <w:vAlign w:val="bottom"/>
          </w:tcPr>
          <w:p>
            <w:pPr>
              <w:jc w:val="right"/>
              <w:spacing w:after="0"/>
              <w:rPr>
                <w:sz w:val="20"/>
                <w:szCs w:val="20"/>
                <w:color w:val="auto"/>
              </w:rPr>
            </w:pPr>
            <w:r>
              <w:rPr>
                <w:rFonts w:ascii="Arial" w:cs="Arial" w:eastAsia="Arial" w:hAnsi="Arial"/>
                <w:sz w:val="17"/>
                <w:szCs w:val="17"/>
                <w:color w:val="3A4967"/>
              </w:rPr>
              <w:t>0.0%</w:t>
            </w:r>
          </w:p>
        </w:tc>
      </w:tr>
      <w:tr>
        <w:trPr>
          <w:trHeight w:val="40"/>
        </w:trPr>
        <w:tc>
          <w:tcPr>
            <w:tcW w:w="4620" w:type="dxa"/>
            <w:vAlign w:val="bottom"/>
            <w:tcBorders>
              <w:bottom w:val="single" w:sz="8" w:color="3A4967"/>
            </w:tcBorders>
          </w:tcPr>
          <w:p>
            <w:pPr>
              <w:spacing w:after="0"/>
              <w:rPr>
                <w:sz w:val="3"/>
                <w:szCs w:val="3"/>
                <w:color w:val="auto"/>
              </w:rPr>
            </w:pPr>
          </w:p>
        </w:tc>
        <w:tc>
          <w:tcPr>
            <w:tcW w:w="2940" w:type="dxa"/>
            <w:vAlign w:val="bottom"/>
            <w:tcBorders>
              <w:bottom w:val="single" w:sz="8" w:color="3A4967"/>
            </w:tcBorders>
          </w:tcPr>
          <w:p>
            <w:pPr>
              <w:spacing w:after="0"/>
              <w:rPr>
                <w:sz w:val="3"/>
                <w:szCs w:val="3"/>
                <w:color w:val="auto"/>
              </w:rPr>
            </w:pPr>
          </w:p>
        </w:tc>
        <w:tc>
          <w:tcPr>
            <w:tcW w:w="1460" w:type="dxa"/>
            <w:vAlign w:val="bottom"/>
            <w:tcBorders>
              <w:bottom w:val="single" w:sz="8" w:color="3A4967"/>
            </w:tcBorders>
          </w:tcPr>
          <w:p>
            <w:pPr>
              <w:spacing w:after="0"/>
              <w:rPr>
                <w:sz w:val="3"/>
                <w:szCs w:val="3"/>
                <w:color w:val="auto"/>
              </w:rPr>
            </w:pPr>
          </w:p>
        </w:tc>
        <w:tc>
          <w:tcPr>
            <w:tcW w:w="1140" w:type="dxa"/>
            <w:vAlign w:val="bottom"/>
            <w:tcBorders>
              <w:bottom w:val="single" w:sz="8" w:color="3A4967"/>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-918210</wp:posOffset>
            </wp:positionV>
            <wp:extent cx="6483985" cy="918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483985" cy="918845"/>
                    </a:xfrm>
                    <a:prstGeom prst="rect">
                      <a:avLst/>
                    </a:prstGeom>
                    <a:noFill/>
                  </pic:spPr>
                </pic:pic>
              </a:graphicData>
            </a:graphic>
          </wp:anchor>
        </w:drawing>
      </w:r>
    </w:p>
    <w:p>
      <w:pPr>
        <w:spacing w:after="0" w:line="108" w:lineRule="exact"/>
        <w:rPr>
          <w:sz w:val="20"/>
          <w:szCs w:val="20"/>
          <w:color w:val="auto"/>
        </w:rPr>
      </w:pPr>
    </w:p>
    <w:p>
      <w:pPr>
        <w:jc w:val="both"/>
        <w:ind w:right="380"/>
        <w:spacing w:after="0" w:line="276" w:lineRule="auto"/>
        <w:rPr>
          <w:sz w:val="20"/>
          <w:szCs w:val="20"/>
          <w:color w:val="auto"/>
        </w:rPr>
      </w:pPr>
      <w:r>
        <w:rPr>
          <w:rFonts w:ascii="Arial" w:cs="Arial" w:eastAsia="Arial" w:hAnsi="Arial"/>
          <w:sz w:val="17"/>
          <w:szCs w:val="17"/>
          <w:color w:val="3A4967"/>
        </w:rPr>
        <w:t>Expected volatility is based on the Company’s historical realized volatility. The risk-free interest rate represents the implied yields available from the U.S. Treasury zero-coupon yield curve over the contractual term of the option when using the trinomial option-pricing model. Expected dividend yield is 0% because the Company has not paid dividends in the past and currently has no known intention to do so in the future. Exercise factor and discount for post-vesting restrictions are based on the Company’s historical experience.</w:t>
      </w:r>
    </w:p>
    <w:p>
      <w:pPr>
        <w:spacing w:after="0" w:line="78"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3A4967"/>
        </w:rPr>
        <w:t>Options to purchase 40,468 shares vested during fiscal year 2024. The total fair value of options vested during fiscal years 2024 was $6.5 million. The aggregate intrinsic value of stock options exercised during fiscal years 2024, 2023, and 2022 was $0.7 million, $6.6 million, and $6.9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Non-Vested Shares Activity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3A4967"/>
        </w:rPr>
        <w:t>The following table summarizes vesting activities of shares issued under the investment share program and restricted stock awards: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3A4967"/>
              </w:rPr>
              <w:t>Weighted</w:t>
            </w:r>
          </w:p>
        </w:tc>
      </w:tr>
      <w:tr>
        <w:trPr>
          <w:trHeight w:val="192"/>
        </w:trPr>
        <w:tc>
          <w:tcPr>
            <w:tcW w:w="5600" w:type="dxa"/>
            <w:vAlign w:val="bottom"/>
          </w:tcPr>
          <w:p>
            <w:pPr>
              <w:spacing w:after="0"/>
              <w:rPr>
                <w:sz w:val="16"/>
                <w:szCs w:val="16"/>
                <w:color w:val="auto"/>
              </w:rPr>
            </w:pPr>
          </w:p>
        </w:tc>
        <w:tc>
          <w:tcPr>
            <w:tcW w:w="3320" w:type="dxa"/>
            <w:vAlign w:val="bottom"/>
          </w:tcPr>
          <w:p>
            <w:pPr>
              <w:jc w:val="right"/>
              <w:ind w:right="176"/>
              <w:spacing w:after="0"/>
              <w:rPr>
                <w:sz w:val="20"/>
                <w:szCs w:val="20"/>
                <w:color w:val="auto"/>
              </w:rPr>
            </w:pPr>
            <w:r>
              <w:rPr>
                <w:rFonts w:ascii="Arial" w:cs="Arial" w:eastAsia="Arial" w:hAnsi="Arial"/>
                <w:sz w:val="16"/>
                <w:szCs w:val="16"/>
                <w:b w:val="1"/>
                <w:bCs w:val="1"/>
                <w:color w:val="3A4967"/>
              </w:rPr>
              <w:t>Number of</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3A4967"/>
              </w:rPr>
              <w:t>Average Fair</w:t>
            </w:r>
          </w:p>
        </w:tc>
      </w:tr>
      <w:tr>
        <w:trPr>
          <w:trHeight w:val="198"/>
        </w:trPr>
        <w:tc>
          <w:tcPr>
            <w:tcW w:w="5600" w:type="dxa"/>
            <w:vAlign w:val="bottom"/>
          </w:tcPr>
          <w:p>
            <w:pPr>
              <w:spacing w:after="0"/>
              <w:rPr>
                <w:sz w:val="17"/>
                <w:szCs w:val="17"/>
                <w:color w:val="auto"/>
              </w:rPr>
            </w:pPr>
          </w:p>
        </w:tc>
        <w:tc>
          <w:tcPr>
            <w:tcW w:w="3320" w:type="dxa"/>
            <w:vAlign w:val="bottom"/>
          </w:tcPr>
          <w:p>
            <w:pPr>
              <w:jc w:val="right"/>
              <w:ind w:right="176"/>
              <w:spacing w:after="0"/>
              <w:rPr>
                <w:sz w:val="20"/>
                <w:szCs w:val="20"/>
                <w:color w:val="auto"/>
              </w:rPr>
            </w:pPr>
            <w:r>
              <w:rPr>
                <w:rFonts w:ascii="Arial" w:cs="Arial" w:eastAsia="Arial" w:hAnsi="Arial"/>
                <w:sz w:val="16"/>
                <w:szCs w:val="16"/>
                <w:b w:val="1"/>
                <w:bCs w:val="1"/>
                <w:color w:val="3A4967"/>
              </w:rPr>
              <w:t>Shares</w:t>
            </w: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3A4967"/>
              </w:rPr>
              <w:t>Value</w:t>
            </w:r>
          </w:p>
        </w:tc>
      </w:tr>
      <w:tr>
        <w:trPr>
          <w:trHeight w:val="36"/>
        </w:trPr>
        <w:tc>
          <w:tcPr>
            <w:tcW w:w="5600" w:type="dxa"/>
            <w:vAlign w:val="bottom"/>
            <w:tcBorders>
              <w:bottom w:val="single" w:sz="8" w:color="3A4967"/>
            </w:tcBorders>
          </w:tcPr>
          <w:p>
            <w:pPr>
              <w:spacing w:after="0"/>
              <w:rPr>
                <w:sz w:val="3"/>
                <w:szCs w:val="3"/>
                <w:color w:val="auto"/>
              </w:rPr>
            </w:pPr>
          </w:p>
        </w:tc>
        <w:tc>
          <w:tcPr>
            <w:tcW w:w="3320" w:type="dxa"/>
            <w:vAlign w:val="bottom"/>
            <w:tcBorders>
              <w:bottom w:val="single" w:sz="8" w:color="3A4967"/>
            </w:tcBorders>
          </w:tcPr>
          <w:p>
            <w:pPr>
              <w:spacing w:after="0"/>
              <w:rPr>
                <w:sz w:val="3"/>
                <w:szCs w:val="3"/>
                <w:color w:val="auto"/>
              </w:rPr>
            </w:pPr>
          </w:p>
        </w:tc>
        <w:tc>
          <w:tcPr>
            <w:tcW w:w="44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r>
      <w:tr>
        <w:trPr>
          <w:trHeight w:val="223"/>
        </w:trPr>
        <w:tc>
          <w:tcPr>
            <w:tcW w:w="5600" w:type="dxa"/>
            <w:vAlign w:val="bottom"/>
          </w:tcPr>
          <w:p>
            <w:pPr>
              <w:ind w:left="80"/>
              <w:spacing w:after="0"/>
              <w:rPr>
                <w:sz w:val="20"/>
                <w:szCs w:val="20"/>
                <w:color w:val="auto"/>
              </w:rPr>
            </w:pPr>
            <w:r>
              <w:rPr>
                <w:rFonts w:ascii="Arial" w:cs="Arial" w:eastAsia="Arial" w:hAnsi="Arial"/>
                <w:sz w:val="17"/>
                <w:szCs w:val="17"/>
                <w:color w:val="3A4967"/>
              </w:rPr>
              <w:t>Non-vested at December 30, 2023</w:t>
            </w:r>
          </w:p>
        </w:tc>
        <w:tc>
          <w:tcPr>
            <w:tcW w:w="3320" w:type="dxa"/>
            <w:vAlign w:val="bottom"/>
          </w:tcPr>
          <w:p>
            <w:pPr>
              <w:jc w:val="right"/>
              <w:ind w:right="176"/>
              <w:spacing w:after="0"/>
              <w:rPr>
                <w:sz w:val="20"/>
                <w:szCs w:val="20"/>
                <w:color w:val="auto"/>
              </w:rPr>
            </w:pPr>
            <w:r>
              <w:rPr>
                <w:rFonts w:ascii="Arial" w:cs="Arial" w:eastAsia="Arial" w:hAnsi="Arial"/>
                <w:sz w:val="17"/>
                <w:szCs w:val="17"/>
                <w:color w:val="3A4967"/>
              </w:rPr>
              <w:t>114,797</w:t>
            </w:r>
          </w:p>
        </w:tc>
        <w:tc>
          <w:tcPr>
            <w:tcW w:w="440" w:type="dxa"/>
            <w:vAlign w:val="bottom"/>
          </w:tcPr>
          <w:p>
            <w:pPr>
              <w:jc w:val="right"/>
              <w:spacing w:after="0"/>
              <w:rPr>
                <w:sz w:val="20"/>
                <w:szCs w:val="20"/>
                <w:color w:val="auto"/>
              </w:rPr>
            </w:pPr>
            <w:r>
              <w:rPr>
                <w:rFonts w:ascii="Arial" w:cs="Arial" w:eastAsia="Arial" w:hAnsi="Arial"/>
                <w:sz w:val="17"/>
                <w:szCs w:val="17"/>
                <w:color w:val="3A4967"/>
              </w:rPr>
              <w:t>$</w:t>
            </w:r>
          </w:p>
        </w:tc>
        <w:tc>
          <w:tcPr>
            <w:tcW w:w="840" w:type="dxa"/>
            <w:vAlign w:val="bottom"/>
          </w:tcPr>
          <w:p>
            <w:pPr>
              <w:jc w:val="right"/>
              <w:spacing w:after="0"/>
              <w:rPr>
                <w:sz w:val="20"/>
                <w:szCs w:val="20"/>
                <w:color w:val="auto"/>
              </w:rPr>
            </w:pPr>
            <w:r>
              <w:rPr>
                <w:rFonts w:ascii="Arial" w:cs="Arial" w:eastAsia="Arial" w:hAnsi="Arial"/>
                <w:sz w:val="17"/>
                <w:szCs w:val="17"/>
                <w:color w:val="3A4967"/>
              </w:rPr>
              <w:t>373.56</w:t>
            </w:r>
          </w:p>
        </w:tc>
      </w:tr>
      <w:tr>
        <w:trPr>
          <w:trHeight w:val="281"/>
        </w:trPr>
        <w:tc>
          <w:tcPr>
            <w:tcW w:w="5600" w:type="dxa"/>
            <w:vAlign w:val="bottom"/>
          </w:tcPr>
          <w:p>
            <w:pPr>
              <w:ind w:left="200"/>
              <w:spacing w:after="0"/>
              <w:rPr>
                <w:sz w:val="20"/>
                <w:szCs w:val="20"/>
                <w:color w:val="auto"/>
              </w:rPr>
            </w:pPr>
            <w:r>
              <w:rPr>
                <w:rFonts w:ascii="Arial" w:cs="Arial" w:eastAsia="Arial" w:hAnsi="Arial"/>
                <w:sz w:val="17"/>
                <w:szCs w:val="17"/>
                <w:color w:val="3A4967"/>
              </w:rPr>
              <w:t>Granted</w:t>
            </w:r>
          </w:p>
        </w:tc>
        <w:tc>
          <w:tcPr>
            <w:tcW w:w="3320" w:type="dxa"/>
            <w:vAlign w:val="bottom"/>
          </w:tcPr>
          <w:p>
            <w:pPr>
              <w:jc w:val="right"/>
              <w:ind w:right="176"/>
              <w:spacing w:after="0"/>
              <w:rPr>
                <w:sz w:val="20"/>
                <w:szCs w:val="20"/>
                <w:color w:val="auto"/>
              </w:rPr>
            </w:pPr>
            <w:r>
              <w:rPr>
                <w:rFonts w:ascii="Arial" w:cs="Arial" w:eastAsia="Arial" w:hAnsi="Arial"/>
                <w:sz w:val="17"/>
                <w:szCs w:val="17"/>
                <w:color w:val="3A4967"/>
              </w:rPr>
              <w:t>88,266</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290.71</w:t>
            </w:r>
          </w:p>
        </w:tc>
      </w:tr>
      <w:tr>
        <w:trPr>
          <w:trHeight w:val="281"/>
        </w:trPr>
        <w:tc>
          <w:tcPr>
            <w:tcW w:w="5600" w:type="dxa"/>
            <w:vAlign w:val="bottom"/>
          </w:tcPr>
          <w:p>
            <w:pPr>
              <w:ind w:left="200"/>
              <w:spacing w:after="0"/>
              <w:rPr>
                <w:sz w:val="20"/>
                <w:szCs w:val="20"/>
                <w:color w:val="auto"/>
              </w:rPr>
            </w:pPr>
            <w:r>
              <w:rPr>
                <w:rFonts w:ascii="Arial" w:cs="Arial" w:eastAsia="Arial" w:hAnsi="Arial"/>
                <w:sz w:val="17"/>
                <w:szCs w:val="17"/>
                <w:color w:val="3A4967"/>
              </w:rPr>
              <w:t>Vested</w:t>
            </w:r>
          </w:p>
        </w:tc>
        <w:tc>
          <w:tcPr>
            <w:tcW w:w="3320" w:type="dxa"/>
            <w:vAlign w:val="bottom"/>
          </w:tcPr>
          <w:p>
            <w:pPr>
              <w:jc w:val="right"/>
              <w:ind w:right="156"/>
              <w:spacing w:after="0"/>
              <w:rPr>
                <w:sz w:val="20"/>
                <w:szCs w:val="20"/>
                <w:color w:val="auto"/>
              </w:rPr>
            </w:pPr>
            <w:r>
              <w:rPr>
                <w:rFonts w:ascii="Arial" w:cs="Arial" w:eastAsia="Arial" w:hAnsi="Arial"/>
                <w:sz w:val="17"/>
                <w:szCs w:val="17"/>
                <w:color w:val="3A4967"/>
              </w:rPr>
              <w:t>(32,823)</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381.95</w:t>
            </w:r>
          </w:p>
        </w:tc>
      </w:tr>
      <w:tr>
        <w:trPr>
          <w:trHeight w:val="281"/>
        </w:trPr>
        <w:tc>
          <w:tcPr>
            <w:tcW w:w="5600" w:type="dxa"/>
            <w:vAlign w:val="bottom"/>
          </w:tcPr>
          <w:p>
            <w:pPr>
              <w:ind w:left="200"/>
              <w:spacing w:after="0"/>
              <w:rPr>
                <w:sz w:val="20"/>
                <w:szCs w:val="20"/>
                <w:color w:val="auto"/>
              </w:rPr>
            </w:pPr>
            <w:r>
              <w:rPr>
                <w:rFonts w:ascii="Arial" w:cs="Arial" w:eastAsia="Arial" w:hAnsi="Arial"/>
                <w:sz w:val="17"/>
                <w:szCs w:val="17"/>
                <w:color w:val="3A4967"/>
              </w:rPr>
              <w:t>Forfeited</w:t>
            </w:r>
          </w:p>
        </w:tc>
        <w:tc>
          <w:tcPr>
            <w:tcW w:w="3320" w:type="dxa"/>
            <w:vAlign w:val="bottom"/>
          </w:tcPr>
          <w:p>
            <w:pPr>
              <w:jc w:val="right"/>
              <w:ind w:right="156"/>
              <w:spacing w:after="0"/>
              <w:rPr>
                <w:sz w:val="20"/>
                <w:szCs w:val="20"/>
                <w:color w:val="auto"/>
              </w:rPr>
            </w:pPr>
            <w:r>
              <w:rPr>
                <w:rFonts w:ascii="Arial" w:cs="Arial" w:eastAsia="Arial" w:hAnsi="Arial"/>
                <w:sz w:val="17"/>
                <w:szCs w:val="17"/>
                <w:color w:val="3A4967"/>
              </w:rPr>
              <w:t>(5,689)</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331.93</w:t>
            </w:r>
          </w:p>
        </w:tc>
      </w:tr>
      <w:tr>
        <w:trPr>
          <w:trHeight w:val="35"/>
        </w:trPr>
        <w:tc>
          <w:tcPr>
            <w:tcW w:w="5600" w:type="dxa"/>
            <w:vAlign w:val="bottom"/>
            <w:tcBorders>
              <w:bottom w:val="single" w:sz="8" w:color="3A4967"/>
            </w:tcBorders>
          </w:tcPr>
          <w:p>
            <w:pPr>
              <w:spacing w:after="0"/>
              <w:rPr>
                <w:sz w:val="3"/>
                <w:szCs w:val="3"/>
                <w:color w:val="auto"/>
              </w:rPr>
            </w:pPr>
          </w:p>
        </w:tc>
        <w:tc>
          <w:tcPr>
            <w:tcW w:w="3320" w:type="dxa"/>
            <w:vAlign w:val="bottom"/>
            <w:tcBorders>
              <w:bottom w:val="single" w:sz="8" w:color="3A4967"/>
            </w:tcBorders>
          </w:tcPr>
          <w:p>
            <w:pPr>
              <w:spacing w:after="0"/>
              <w:rPr>
                <w:sz w:val="3"/>
                <w:szCs w:val="3"/>
                <w:color w:val="auto"/>
              </w:rPr>
            </w:pPr>
          </w:p>
        </w:tc>
        <w:tc>
          <w:tcPr>
            <w:tcW w:w="44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r>
      <w:tr>
        <w:trPr>
          <w:trHeight w:val="266"/>
        </w:trPr>
        <w:tc>
          <w:tcPr>
            <w:tcW w:w="560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NON-VESTED AT DECEMBER 28, 2024</w:t>
            </w:r>
          </w:p>
        </w:tc>
        <w:tc>
          <w:tcPr>
            <w:tcW w:w="3320" w:type="dxa"/>
            <w:vAlign w:val="bottom"/>
            <w:tcBorders>
              <w:bottom w:val="single" w:sz="8" w:color="3A4967"/>
            </w:tcBorders>
          </w:tcPr>
          <w:p>
            <w:pPr>
              <w:jc w:val="right"/>
              <w:ind w:right="176"/>
              <w:spacing w:after="0"/>
              <w:rPr>
                <w:sz w:val="20"/>
                <w:szCs w:val="20"/>
                <w:color w:val="auto"/>
              </w:rPr>
            </w:pPr>
            <w:r>
              <w:rPr>
                <w:rFonts w:ascii="Arial" w:cs="Arial" w:eastAsia="Arial" w:hAnsi="Arial"/>
                <w:sz w:val="17"/>
                <w:szCs w:val="17"/>
                <w:b w:val="1"/>
                <w:bCs w:val="1"/>
                <w:color w:val="3A4967"/>
              </w:rPr>
              <w:t>164,551</w:t>
            </w:r>
          </w:p>
        </w:tc>
        <w:tc>
          <w:tcPr>
            <w:tcW w:w="4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328.88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822325</wp:posOffset>
            </wp:positionV>
            <wp:extent cx="2584450" cy="19177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584450" cy="19177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-953770</wp:posOffset>
            </wp:positionV>
            <wp:extent cx="6577965" cy="9925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577965" cy="99250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65" w:name="page66"/>
    <w:bookmarkEnd w:id="65"/>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3A4967"/>
        </w:rPr>
        <w:t>The fair value of restricted stock awards is based on the Company’s traded stock price on the date of the grants. Fair value of investment shares is calculated using the trinomial option-pricing model.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A4967"/>
        </w:rPr>
        <w:t>32,823 shares vested in 2024 with a weighted average fair value of $381.95, 27,640 shares vested in 2023 with a weighted average fair value of $341.57, and 32,476 shares vested in 2022 with a weighted average fair value of $292.27.</w:t>
      </w:r>
    </w:p>
    <w:p>
      <w:pPr>
        <w:spacing w:after="0" w:line="200"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1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Stock-Based Compensation</w:t>
      </w:r>
    </w:p>
    <w:p>
      <w:pPr>
        <w:spacing w:after="0" w:line="118" w:lineRule="exact"/>
        <w:rPr>
          <w:sz w:val="20"/>
          <w:szCs w:val="20"/>
          <w:color w:val="auto"/>
        </w:rPr>
      </w:pPr>
    </w:p>
    <w:p>
      <w:pPr>
        <w:ind w:left="400"/>
        <w:spacing w:after="0" w:line="267" w:lineRule="auto"/>
        <w:rPr>
          <w:sz w:val="20"/>
          <w:szCs w:val="20"/>
          <w:color w:val="auto"/>
        </w:rPr>
      </w:pPr>
      <w:r>
        <w:rPr>
          <w:rFonts w:ascii="Arial" w:cs="Arial" w:eastAsia="Arial" w:hAnsi="Arial"/>
          <w:sz w:val="18"/>
          <w:szCs w:val="18"/>
          <w:color w:val="3A4967"/>
        </w:rPr>
        <w:t>The following table provides information regarding stock -based compensation expense included in operating expenses in the accompanying consolidated statements of comprehensive income:</w:t>
      </w:r>
    </w:p>
    <w:p>
      <w:pPr>
        <w:spacing w:after="0" w:line="364" w:lineRule="exact"/>
        <w:rPr>
          <w:sz w:val="20"/>
          <w:szCs w:val="20"/>
          <w:color w:val="auto"/>
        </w:rPr>
      </w:pPr>
    </w:p>
    <w:tbl>
      <w:tblPr>
        <w:tblLayout w:type="fixed"/>
        <w:tblInd w:w="400" w:type="dxa"/>
        <w:tblCellMar>
          <w:top w:w="0" w:type="dxa"/>
          <w:left w:w="0" w:type="dxa"/>
          <w:bottom w:w="0" w:type="dxa"/>
          <w:right w:w="0" w:type="dxa"/>
        </w:tblCellMar>
      </w:tblPr>
      <w:tr>
        <w:trPr>
          <w:trHeight w:val="198"/>
        </w:trPr>
        <w:tc>
          <w:tcPr>
            <w:tcW w:w="558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76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6"/>
                <w:szCs w:val="16"/>
                <w:b w:val="1"/>
                <w:bCs w:val="1"/>
                <w:color w:val="3A4967"/>
              </w:rPr>
              <w:t>2024</w:t>
            </w:r>
          </w:p>
        </w:tc>
        <w:tc>
          <w:tcPr>
            <w:tcW w:w="500" w:type="dxa"/>
            <w:vAlign w:val="bottom"/>
          </w:tcPr>
          <w:p>
            <w:pPr>
              <w:spacing w:after="0"/>
              <w:rPr>
                <w:sz w:val="17"/>
                <w:szCs w:val="17"/>
                <w:color w:val="auto"/>
              </w:rPr>
            </w:pPr>
          </w:p>
        </w:tc>
        <w:tc>
          <w:tcPr>
            <w:tcW w:w="1120" w:type="dxa"/>
            <w:vAlign w:val="bottom"/>
          </w:tcPr>
          <w:p>
            <w:pPr>
              <w:jc w:val="right"/>
              <w:ind w:right="196"/>
              <w:spacing w:after="0"/>
              <w:rPr>
                <w:sz w:val="20"/>
                <w:szCs w:val="20"/>
                <w:color w:val="auto"/>
              </w:rPr>
            </w:pPr>
            <w:r>
              <w:rPr>
                <w:rFonts w:ascii="Arial" w:cs="Arial" w:eastAsia="Arial" w:hAnsi="Arial"/>
                <w:sz w:val="16"/>
                <w:szCs w:val="16"/>
                <w:b w:val="1"/>
                <w:bCs w:val="1"/>
                <w:color w:val="3A4967"/>
              </w:rPr>
              <w:t>2023</w:t>
            </w: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3A4967"/>
              </w:rPr>
              <w:t>2022</w:t>
            </w:r>
          </w:p>
        </w:tc>
      </w:tr>
      <w:tr>
        <w:trPr>
          <w:trHeight w:val="36"/>
        </w:trPr>
        <w:tc>
          <w:tcPr>
            <w:tcW w:w="5580" w:type="dxa"/>
            <w:vAlign w:val="bottom"/>
            <w:tcBorders>
              <w:bottom w:val="single" w:sz="8" w:color="3A4967"/>
            </w:tcBorders>
          </w:tcPr>
          <w:p>
            <w:pPr>
              <w:spacing w:after="0"/>
              <w:rPr>
                <w:sz w:val="3"/>
                <w:szCs w:val="3"/>
                <w:color w:val="auto"/>
              </w:rPr>
            </w:pPr>
          </w:p>
        </w:tc>
        <w:tc>
          <w:tcPr>
            <w:tcW w:w="76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500" w:type="dxa"/>
            <w:vAlign w:val="bottom"/>
            <w:tcBorders>
              <w:bottom w:val="single" w:sz="8" w:color="3A4967"/>
            </w:tcBorders>
          </w:tcPr>
          <w:p>
            <w:pPr>
              <w:spacing w:after="0"/>
              <w:rPr>
                <w:sz w:val="3"/>
                <w:szCs w:val="3"/>
                <w:color w:val="auto"/>
              </w:rPr>
            </w:pPr>
          </w:p>
        </w:tc>
        <w:tc>
          <w:tcPr>
            <w:tcW w:w="1120" w:type="dxa"/>
            <w:vAlign w:val="bottom"/>
            <w:tcBorders>
              <w:bottom w:val="single" w:sz="8" w:color="3A4967"/>
            </w:tcBorders>
          </w:tcPr>
          <w:p>
            <w:pPr>
              <w:spacing w:after="0"/>
              <w:rPr>
                <w:sz w:val="3"/>
                <w:szCs w:val="3"/>
                <w:color w:val="auto"/>
              </w:rPr>
            </w:pPr>
          </w:p>
        </w:tc>
        <w:tc>
          <w:tcPr>
            <w:tcW w:w="480" w:type="dxa"/>
            <w:vAlign w:val="bottom"/>
            <w:tcBorders>
              <w:bottom w:val="single" w:sz="8" w:color="3A4967"/>
            </w:tcBorders>
          </w:tcPr>
          <w:p>
            <w:pPr>
              <w:spacing w:after="0"/>
              <w:rPr>
                <w:sz w:val="3"/>
                <w:szCs w:val="3"/>
                <w:color w:val="auto"/>
              </w:rPr>
            </w:pPr>
          </w:p>
        </w:tc>
        <w:tc>
          <w:tcPr>
            <w:tcW w:w="760" w:type="dxa"/>
            <w:vAlign w:val="bottom"/>
            <w:tcBorders>
              <w:bottom w:val="single" w:sz="8" w:color="3A4967"/>
            </w:tcBorders>
          </w:tcPr>
          <w:p>
            <w:pPr>
              <w:spacing w:after="0"/>
              <w:rPr>
                <w:sz w:val="3"/>
                <w:szCs w:val="3"/>
                <w:color w:val="auto"/>
              </w:rPr>
            </w:pPr>
          </w:p>
        </w:tc>
      </w:tr>
      <w:tr>
        <w:trPr>
          <w:trHeight w:val="223"/>
        </w:trPr>
        <w:tc>
          <w:tcPr>
            <w:tcW w:w="5580" w:type="dxa"/>
            <w:vAlign w:val="bottom"/>
          </w:tcPr>
          <w:p>
            <w:pPr>
              <w:ind w:left="80"/>
              <w:spacing w:after="0"/>
              <w:rPr>
                <w:sz w:val="20"/>
                <w:szCs w:val="20"/>
                <w:color w:val="auto"/>
              </w:rPr>
            </w:pPr>
            <w:r>
              <w:rPr>
                <w:rFonts w:ascii="Arial" w:cs="Arial" w:eastAsia="Arial" w:hAnsi="Arial"/>
                <w:sz w:val="17"/>
                <w:szCs w:val="17"/>
                <w:color w:val="3A4967"/>
              </w:rPr>
              <w:t>Amounts included in general and administrative expenses</w:t>
            </w:r>
          </w:p>
        </w:tc>
        <w:tc>
          <w:tcPr>
            <w:tcW w:w="760" w:type="dxa"/>
            <w:vAlign w:val="bottom"/>
          </w:tcPr>
          <w:p>
            <w:pPr>
              <w:jc w:val="right"/>
              <w:ind w:right="175"/>
              <w:spacing w:after="0"/>
              <w:rPr>
                <w:sz w:val="20"/>
                <w:szCs w:val="20"/>
                <w:color w:val="auto"/>
              </w:rPr>
            </w:pPr>
            <w:r>
              <w:rPr>
                <w:rFonts w:ascii="Arial" w:cs="Arial" w:eastAsia="Arial" w:hAnsi="Arial"/>
                <w:sz w:val="17"/>
                <w:szCs w:val="17"/>
                <w:color w:val="3A4967"/>
              </w:rPr>
              <w:t>$</w:t>
            </w:r>
          </w:p>
        </w:tc>
        <w:tc>
          <w:tcPr>
            <w:tcW w:w="980" w:type="dxa"/>
            <w:vAlign w:val="bottom"/>
          </w:tcPr>
          <w:p>
            <w:pPr>
              <w:jc w:val="right"/>
              <w:ind w:right="56"/>
              <w:spacing w:after="0"/>
              <w:rPr>
                <w:sz w:val="20"/>
                <w:szCs w:val="20"/>
                <w:color w:val="auto"/>
              </w:rPr>
            </w:pPr>
            <w:r>
              <w:rPr>
                <w:rFonts w:ascii="Arial" w:cs="Arial" w:eastAsia="Arial" w:hAnsi="Arial"/>
                <w:sz w:val="17"/>
                <w:szCs w:val="17"/>
                <w:color w:val="3A4967"/>
              </w:rPr>
              <w:t>11,835</w:t>
            </w:r>
          </w:p>
        </w:tc>
        <w:tc>
          <w:tcPr>
            <w:tcW w:w="500" w:type="dxa"/>
            <w:vAlign w:val="bottom"/>
          </w:tcPr>
          <w:p>
            <w:pPr>
              <w:jc w:val="right"/>
              <w:ind w:right="175"/>
              <w:spacing w:after="0"/>
              <w:rPr>
                <w:sz w:val="20"/>
                <w:szCs w:val="20"/>
                <w:color w:val="auto"/>
              </w:rPr>
            </w:pPr>
            <w:r>
              <w:rPr>
                <w:rFonts w:ascii="Arial" w:cs="Arial" w:eastAsia="Arial" w:hAnsi="Arial"/>
                <w:sz w:val="17"/>
                <w:szCs w:val="17"/>
                <w:color w:val="3A4967"/>
              </w:rPr>
              <w:t>$</w:t>
            </w:r>
          </w:p>
        </w:tc>
        <w:tc>
          <w:tcPr>
            <w:tcW w:w="1120" w:type="dxa"/>
            <w:vAlign w:val="bottom"/>
          </w:tcPr>
          <w:p>
            <w:pPr>
              <w:jc w:val="right"/>
              <w:ind w:right="196"/>
              <w:spacing w:after="0"/>
              <w:rPr>
                <w:sz w:val="20"/>
                <w:szCs w:val="20"/>
                <w:color w:val="auto"/>
              </w:rPr>
            </w:pPr>
            <w:r>
              <w:rPr>
                <w:rFonts w:ascii="Arial" w:cs="Arial" w:eastAsia="Arial" w:hAnsi="Arial"/>
                <w:sz w:val="17"/>
                <w:szCs w:val="17"/>
                <w:color w:val="3A4967"/>
              </w:rPr>
              <w:t>10,370</w:t>
            </w:r>
          </w:p>
        </w:tc>
        <w:tc>
          <w:tcPr>
            <w:tcW w:w="480" w:type="dxa"/>
            <w:vAlign w:val="bottom"/>
          </w:tcPr>
          <w:p>
            <w:pPr>
              <w:jc w:val="right"/>
              <w:ind w:right="15"/>
              <w:spacing w:after="0"/>
              <w:rPr>
                <w:sz w:val="20"/>
                <w:szCs w:val="20"/>
                <w:color w:val="auto"/>
              </w:rPr>
            </w:pPr>
            <w:r>
              <w:rPr>
                <w:rFonts w:ascii="Arial" w:cs="Arial" w:eastAsia="Arial" w:hAnsi="Arial"/>
                <w:sz w:val="17"/>
                <w:szCs w:val="17"/>
                <w:color w:val="3A4967"/>
              </w:rPr>
              <w:t>$</w:t>
            </w:r>
          </w:p>
        </w:tc>
        <w:tc>
          <w:tcPr>
            <w:tcW w:w="760" w:type="dxa"/>
            <w:vAlign w:val="bottom"/>
          </w:tcPr>
          <w:p>
            <w:pPr>
              <w:jc w:val="right"/>
              <w:spacing w:after="0"/>
              <w:rPr>
                <w:sz w:val="20"/>
                <w:szCs w:val="20"/>
                <w:color w:val="auto"/>
              </w:rPr>
            </w:pPr>
            <w:r>
              <w:rPr>
                <w:rFonts w:ascii="Arial" w:cs="Arial" w:eastAsia="Arial" w:hAnsi="Arial"/>
                <w:sz w:val="17"/>
                <w:szCs w:val="17"/>
                <w:color w:val="3A4967"/>
              </w:rPr>
              <w:t>8,804</w:t>
            </w:r>
          </w:p>
        </w:tc>
      </w:tr>
      <w:tr>
        <w:trPr>
          <w:trHeight w:val="281"/>
        </w:trPr>
        <w:tc>
          <w:tcPr>
            <w:tcW w:w="5580" w:type="dxa"/>
            <w:vAlign w:val="bottom"/>
          </w:tcPr>
          <w:p>
            <w:pPr>
              <w:ind w:left="80"/>
              <w:spacing w:after="0"/>
              <w:rPr>
                <w:sz w:val="20"/>
                <w:szCs w:val="20"/>
                <w:color w:val="auto"/>
              </w:rPr>
            </w:pPr>
            <w:r>
              <w:rPr>
                <w:rFonts w:ascii="Arial" w:cs="Arial" w:eastAsia="Arial" w:hAnsi="Arial"/>
                <w:sz w:val="17"/>
                <w:szCs w:val="17"/>
                <w:color w:val="3A4967"/>
              </w:rPr>
              <w:t>Amounts included in advertising, promotional, and selling expenses</w:t>
            </w:r>
          </w:p>
        </w:tc>
        <w:tc>
          <w:tcPr>
            <w:tcW w:w="760" w:type="dxa"/>
            <w:vAlign w:val="bottom"/>
          </w:tcPr>
          <w:p>
            <w:pPr>
              <w:spacing w:after="0"/>
              <w:rPr>
                <w:sz w:val="24"/>
                <w:szCs w:val="24"/>
                <w:color w:val="auto"/>
              </w:rPr>
            </w:pPr>
          </w:p>
        </w:tc>
        <w:tc>
          <w:tcPr>
            <w:tcW w:w="980" w:type="dxa"/>
            <w:vAlign w:val="bottom"/>
          </w:tcPr>
          <w:p>
            <w:pPr>
              <w:jc w:val="right"/>
              <w:ind w:right="56"/>
              <w:spacing w:after="0"/>
              <w:rPr>
                <w:sz w:val="20"/>
                <w:szCs w:val="20"/>
                <w:color w:val="auto"/>
              </w:rPr>
            </w:pPr>
            <w:r>
              <w:rPr>
                <w:rFonts w:ascii="Arial" w:cs="Arial" w:eastAsia="Arial" w:hAnsi="Arial"/>
                <w:sz w:val="17"/>
                <w:szCs w:val="17"/>
                <w:color w:val="3A4967"/>
              </w:rPr>
              <w:t>7,119</w:t>
            </w:r>
          </w:p>
        </w:tc>
        <w:tc>
          <w:tcPr>
            <w:tcW w:w="500" w:type="dxa"/>
            <w:vAlign w:val="bottom"/>
          </w:tcPr>
          <w:p>
            <w:pPr>
              <w:spacing w:after="0"/>
              <w:rPr>
                <w:sz w:val="24"/>
                <w:szCs w:val="24"/>
                <w:color w:val="auto"/>
              </w:rPr>
            </w:pPr>
          </w:p>
        </w:tc>
        <w:tc>
          <w:tcPr>
            <w:tcW w:w="1120" w:type="dxa"/>
            <w:vAlign w:val="bottom"/>
          </w:tcPr>
          <w:p>
            <w:pPr>
              <w:jc w:val="right"/>
              <w:ind w:right="196"/>
              <w:spacing w:after="0"/>
              <w:rPr>
                <w:sz w:val="20"/>
                <w:szCs w:val="20"/>
                <w:color w:val="auto"/>
              </w:rPr>
            </w:pPr>
            <w:r>
              <w:rPr>
                <w:rFonts w:ascii="Arial" w:cs="Arial" w:eastAsia="Arial" w:hAnsi="Arial"/>
                <w:sz w:val="17"/>
                <w:szCs w:val="17"/>
                <w:color w:val="3A4967"/>
              </w:rPr>
              <w:t>6,601</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3A4967"/>
              </w:rPr>
              <w:t>5,184</w:t>
            </w:r>
          </w:p>
        </w:tc>
      </w:tr>
      <w:tr>
        <w:trPr>
          <w:trHeight w:val="41"/>
        </w:trPr>
        <w:tc>
          <w:tcPr>
            <w:tcW w:w="5580" w:type="dxa"/>
            <w:vAlign w:val="bottom"/>
            <w:tcBorders>
              <w:bottom w:val="single" w:sz="8" w:color="3A4967"/>
            </w:tcBorders>
          </w:tcPr>
          <w:p>
            <w:pPr>
              <w:spacing w:after="0"/>
              <w:rPr>
                <w:sz w:val="3"/>
                <w:szCs w:val="3"/>
                <w:color w:val="auto"/>
              </w:rPr>
            </w:pPr>
          </w:p>
        </w:tc>
        <w:tc>
          <w:tcPr>
            <w:tcW w:w="76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500" w:type="dxa"/>
            <w:vAlign w:val="bottom"/>
            <w:tcBorders>
              <w:bottom w:val="single" w:sz="8" w:color="3A4967"/>
            </w:tcBorders>
          </w:tcPr>
          <w:p>
            <w:pPr>
              <w:spacing w:after="0"/>
              <w:rPr>
                <w:sz w:val="3"/>
                <w:szCs w:val="3"/>
                <w:color w:val="auto"/>
              </w:rPr>
            </w:pPr>
          </w:p>
        </w:tc>
        <w:tc>
          <w:tcPr>
            <w:tcW w:w="1120" w:type="dxa"/>
            <w:vAlign w:val="bottom"/>
            <w:tcBorders>
              <w:bottom w:val="single" w:sz="8" w:color="3A4967"/>
            </w:tcBorders>
          </w:tcPr>
          <w:p>
            <w:pPr>
              <w:spacing w:after="0"/>
              <w:rPr>
                <w:sz w:val="3"/>
                <w:szCs w:val="3"/>
                <w:color w:val="auto"/>
              </w:rPr>
            </w:pPr>
          </w:p>
        </w:tc>
        <w:tc>
          <w:tcPr>
            <w:tcW w:w="480" w:type="dxa"/>
            <w:vAlign w:val="bottom"/>
            <w:tcBorders>
              <w:bottom w:val="single" w:sz="8" w:color="3A4967"/>
            </w:tcBorders>
          </w:tcPr>
          <w:p>
            <w:pPr>
              <w:spacing w:after="0"/>
              <w:rPr>
                <w:sz w:val="3"/>
                <w:szCs w:val="3"/>
                <w:color w:val="auto"/>
              </w:rPr>
            </w:pPr>
          </w:p>
        </w:tc>
        <w:tc>
          <w:tcPr>
            <w:tcW w:w="760" w:type="dxa"/>
            <w:vAlign w:val="bottom"/>
            <w:tcBorders>
              <w:bottom w:val="single" w:sz="8" w:color="3A4967"/>
            </w:tcBorders>
          </w:tcPr>
          <w:p>
            <w:pPr>
              <w:spacing w:after="0"/>
              <w:rPr>
                <w:sz w:val="3"/>
                <w:szCs w:val="3"/>
                <w:color w:val="auto"/>
              </w:rPr>
            </w:pPr>
          </w:p>
        </w:tc>
      </w:tr>
      <w:tr>
        <w:trPr>
          <w:trHeight w:val="231"/>
        </w:trPr>
        <w:tc>
          <w:tcPr>
            <w:tcW w:w="5580" w:type="dxa"/>
            <w:vAlign w:val="bottom"/>
          </w:tcPr>
          <w:p>
            <w:pPr>
              <w:ind w:left="80"/>
              <w:spacing w:after="0"/>
              <w:rPr>
                <w:sz w:val="20"/>
                <w:szCs w:val="20"/>
                <w:color w:val="auto"/>
              </w:rPr>
            </w:pPr>
            <w:r>
              <w:rPr>
                <w:rFonts w:ascii="Arial" w:cs="Arial" w:eastAsia="Arial" w:hAnsi="Arial"/>
                <w:sz w:val="17"/>
                <w:szCs w:val="17"/>
                <w:b w:val="1"/>
                <w:bCs w:val="1"/>
                <w:color w:val="3A4967"/>
              </w:rPr>
              <w:t>Total stock-based compensation expense</w:t>
            </w:r>
          </w:p>
        </w:tc>
        <w:tc>
          <w:tcPr>
            <w:tcW w:w="760" w:type="dxa"/>
            <w:vAlign w:val="bottom"/>
          </w:tcPr>
          <w:p>
            <w:pPr>
              <w:jc w:val="right"/>
              <w:ind w:right="175"/>
              <w:spacing w:after="0"/>
              <w:rPr>
                <w:sz w:val="20"/>
                <w:szCs w:val="20"/>
                <w:color w:val="auto"/>
              </w:rPr>
            </w:pPr>
            <w:r>
              <w:rPr>
                <w:rFonts w:ascii="Arial" w:cs="Arial" w:eastAsia="Arial" w:hAnsi="Arial"/>
                <w:sz w:val="17"/>
                <w:szCs w:val="17"/>
                <w:b w:val="1"/>
                <w:bCs w:val="1"/>
                <w:color w:val="3A4967"/>
              </w:rPr>
              <w:t>$</w:t>
            </w: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3A4967"/>
              </w:rPr>
              <w:t>18,954</w:t>
            </w:r>
          </w:p>
        </w:tc>
        <w:tc>
          <w:tcPr>
            <w:tcW w:w="500" w:type="dxa"/>
            <w:vAlign w:val="bottom"/>
          </w:tcPr>
          <w:p>
            <w:pPr>
              <w:jc w:val="right"/>
              <w:ind w:right="175"/>
              <w:spacing w:after="0"/>
              <w:rPr>
                <w:sz w:val="20"/>
                <w:szCs w:val="20"/>
                <w:color w:val="auto"/>
              </w:rPr>
            </w:pPr>
            <w:r>
              <w:rPr>
                <w:rFonts w:ascii="Arial" w:cs="Arial" w:eastAsia="Arial" w:hAnsi="Arial"/>
                <w:sz w:val="17"/>
                <w:szCs w:val="17"/>
                <w:b w:val="1"/>
                <w:bCs w:val="1"/>
                <w:color w:val="3A4967"/>
              </w:rPr>
              <w:t>$</w:t>
            </w:r>
          </w:p>
        </w:tc>
        <w:tc>
          <w:tcPr>
            <w:tcW w:w="1120" w:type="dxa"/>
            <w:vAlign w:val="bottom"/>
          </w:tcPr>
          <w:p>
            <w:pPr>
              <w:jc w:val="right"/>
              <w:ind w:right="196"/>
              <w:spacing w:after="0"/>
              <w:rPr>
                <w:sz w:val="20"/>
                <w:szCs w:val="20"/>
                <w:color w:val="auto"/>
              </w:rPr>
            </w:pPr>
            <w:r>
              <w:rPr>
                <w:rFonts w:ascii="Arial" w:cs="Arial" w:eastAsia="Arial" w:hAnsi="Arial"/>
                <w:sz w:val="17"/>
                <w:szCs w:val="17"/>
                <w:b w:val="1"/>
                <w:bCs w:val="1"/>
                <w:color w:val="3A4967"/>
              </w:rPr>
              <w:t>16,971</w:t>
            </w:r>
          </w:p>
        </w:tc>
        <w:tc>
          <w:tcPr>
            <w:tcW w:w="480" w:type="dxa"/>
            <w:vAlign w:val="bottom"/>
          </w:tcPr>
          <w:p>
            <w:pPr>
              <w:jc w:val="right"/>
              <w:ind w:right="15"/>
              <w:spacing w:after="0"/>
              <w:rPr>
                <w:sz w:val="20"/>
                <w:szCs w:val="20"/>
                <w:color w:val="auto"/>
              </w:rPr>
            </w:pPr>
            <w:r>
              <w:rPr>
                <w:rFonts w:ascii="Arial" w:cs="Arial" w:eastAsia="Arial" w:hAnsi="Arial"/>
                <w:sz w:val="17"/>
                <w:szCs w:val="17"/>
                <w:b w:val="1"/>
                <w:bCs w:val="1"/>
                <w:color w:val="3A4967"/>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3A4967"/>
              </w:rPr>
              <w:t>13,988</w:t>
            </w:r>
          </w:p>
        </w:tc>
      </w:tr>
      <w:tr>
        <w:trPr>
          <w:trHeight w:val="30"/>
        </w:trPr>
        <w:tc>
          <w:tcPr>
            <w:tcW w:w="5580" w:type="dxa"/>
            <w:vAlign w:val="bottom"/>
            <w:tcBorders>
              <w:bottom w:val="single" w:sz="8" w:color="3A4967"/>
            </w:tcBorders>
          </w:tcPr>
          <w:p>
            <w:pPr>
              <w:spacing w:after="0"/>
              <w:rPr>
                <w:sz w:val="2"/>
                <w:szCs w:val="2"/>
                <w:color w:val="auto"/>
              </w:rPr>
            </w:pPr>
          </w:p>
        </w:tc>
        <w:tc>
          <w:tcPr>
            <w:tcW w:w="760" w:type="dxa"/>
            <w:vAlign w:val="bottom"/>
            <w:tcBorders>
              <w:bottom w:val="single" w:sz="8" w:color="3A4967"/>
            </w:tcBorders>
          </w:tcPr>
          <w:p>
            <w:pPr>
              <w:spacing w:after="0"/>
              <w:rPr>
                <w:sz w:val="2"/>
                <w:szCs w:val="2"/>
                <w:color w:val="auto"/>
              </w:rPr>
            </w:pPr>
          </w:p>
        </w:tc>
        <w:tc>
          <w:tcPr>
            <w:tcW w:w="980" w:type="dxa"/>
            <w:vAlign w:val="bottom"/>
            <w:tcBorders>
              <w:bottom w:val="single" w:sz="8" w:color="3A4967"/>
            </w:tcBorders>
          </w:tcPr>
          <w:p>
            <w:pPr>
              <w:spacing w:after="0"/>
              <w:rPr>
                <w:sz w:val="2"/>
                <w:szCs w:val="2"/>
                <w:color w:val="auto"/>
              </w:rPr>
            </w:pPr>
          </w:p>
        </w:tc>
        <w:tc>
          <w:tcPr>
            <w:tcW w:w="500" w:type="dxa"/>
            <w:vAlign w:val="bottom"/>
            <w:tcBorders>
              <w:bottom w:val="single" w:sz="8" w:color="3A4967"/>
            </w:tcBorders>
          </w:tcPr>
          <w:p>
            <w:pPr>
              <w:spacing w:after="0"/>
              <w:rPr>
                <w:sz w:val="2"/>
                <w:szCs w:val="2"/>
                <w:color w:val="auto"/>
              </w:rPr>
            </w:pPr>
          </w:p>
        </w:tc>
        <w:tc>
          <w:tcPr>
            <w:tcW w:w="1120" w:type="dxa"/>
            <w:vAlign w:val="bottom"/>
            <w:tcBorders>
              <w:bottom w:val="single" w:sz="8" w:color="3A4967"/>
            </w:tcBorders>
          </w:tcPr>
          <w:p>
            <w:pPr>
              <w:spacing w:after="0"/>
              <w:rPr>
                <w:sz w:val="2"/>
                <w:szCs w:val="2"/>
                <w:color w:val="auto"/>
              </w:rPr>
            </w:pPr>
          </w:p>
        </w:tc>
        <w:tc>
          <w:tcPr>
            <w:tcW w:w="480" w:type="dxa"/>
            <w:vAlign w:val="bottom"/>
            <w:tcBorders>
              <w:bottom w:val="single" w:sz="8" w:color="3A4967"/>
            </w:tcBorders>
          </w:tcPr>
          <w:p>
            <w:pPr>
              <w:spacing w:after="0"/>
              <w:rPr>
                <w:sz w:val="2"/>
                <w:szCs w:val="2"/>
                <w:color w:val="auto"/>
              </w:rPr>
            </w:pPr>
          </w:p>
        </w:tc>
        <w:tc>
          <w:tcPr>
            <w:tcW w:w="760" w:type="dxa"/>
            <w:vAlign w:val="bottom"/>
            <w:tcBorders>
              <w:bottom w:val="single" w:sz="8" w:color="3A4967"/>
            </w:tcBorders>
          </w:tcPr>
          <w:p>
            <w:pPr>
              <w:spacing w:after="0"/>
              <w:rPr>
                <w:sz w:val="2"/>
                <w:szCs w:val="2"/>
                <w:color w:val="auto"/>
              </w:rPr>
            </w:pPr>
          </w:p>
        </w:tc>
      </w:tr>
      <w:tr>
        <w:trPr>
          <w:trHeight w:val="223"/>
        </w:trPr>
        <w:tc>
          <w:tcPr>
            <w:tcW w:w="5580" w:type="dxa"/>
            <w:vAlign w:val="bottom"/>
          </w:tcPr>
          <w:p>
            <w:pPr>
              <w:ind w:left="80"/>
              <w:spacing w:after="0"/>
              <w:rPr>
                <w:sz w:val="20"/>
                <w:szCs w:val="20"/>
                <w:color w:val="auto"/>
              </w:rPr>
            </w:pPr>
            <w:r>
              <w:rPr>
                <w:rFonts w:ascii="Arial" w:cs="Arial" w:eastAsia="Arial" w:hAnsi="Arial"/>
                <w:sz w:val="17"/>
                <w:szCs w:val="17"/>
                <w:color w:val="3A4967"/>
              </w:rPr>
              <w:t>Amounts related to performance-based stock awards included in total</w:t>
            </w: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8"/>
        </w:trPr>
        <w:tc>
          <w:tcPr>
            <w:tcW w:w="5580" w:type="dxa"/>
            <w:vAlign w:val="bottom"/>
          </w:tcPr>
          <w:p>
            <w:pPr>
              <w:ind w:left="80"/>
              <w:spacing w:after="0"/>
              <w:rPr>
                <w:sz w:val="20"/>
                <w:szCs w:val="20"/>
                <w:color w:val="auto"/>
              </w:rPr>
            </w:pPr>
            <w:r>
              <w:rPr>
                <w:rFonts w:ascii="Arial" w:cs="Arial" w:eastAsia="Arial" w:hAnsi="Arial"/>
                <w:sz w:val="17"/>
                <w:szCs w:val="17"/>
                <w:color w:val="3A4967"/>
              </w:rPr>
              <w:t>stock-based compensation expense</w:t>
            </w:r>
          </w:p>
        </w:tc>
        <w:tc>
          <w:tcPr>
            <w:tcW w:w="760" w:type="dxa"/>
            <w:vAlign w:val="bottom"/>
          </w:tcPr>
          <w:p>
            <w:pPr>
              <w:jc w:val="right"/>
              <w:ind w:right="175"/>
              <w:spacing w:after="0"/>
              <w:rPr>
                <w:sz w:val="20"/>
                <w:szCs w:val="20"/>
                <w:color w:val="auto"/>
              </w:rPr>
            </w:pPr>
            <w:r>
              <w:rPr>
                <w:rFonts w:ascii="Arial" w:cs="Arial" w:eastAsia="Arial" w:hAnsi="Arial"/>
                <w:sz w:val="17"/>
                <w:szCs w:val="17"/>
                <w:color w:val="3A4967"/>
              </w:rPr>
              <w:t>$</w:t>
            </w:r>
          </w:p>
        </w:tc>
        <w:tc>
          <w:tcPr>
            <w:tcW w:w="980" w:type="dxa"/>
            <w:vAlign w:val="bottom"/>
          </w:tcPr>
          <w:p>
            <w:pPr>
              <w:jc w:val="right"/>
              <w:ind w:right="56"/>
              <w:spacing w:after="0"/>
              <w:rPr>
                <w:sz w:val="20"/>
                <w:szCs w:val="20"/>
                <w:color w:val="auto"/>
              </w:rPr>
            </w:pPr>
            <w:r>
              <w:rPr>
                <w:rFonts w:ascii="Arial" w:cs="Arial" w:eastAsia="Arial" w:hAnsi="Arial"/>
                <w:sz w:val="17"/>
                <w:szCs w:val="17"/>
                <w:color w:val="3A4967"/>
              </w:rPr>
              <w:t>2,720</w:t>
            </w:r>
          </w:p>
        </w:tc>
        <w:tc>
          <w:tcPr>
            <w:tcW w:w="500" w:type="dxa"/>
            <w:vAlign w:val="bottom"/>
          </w:tcPr>
          <w:p>
            <w:pPr>
              <w:jc w:val="right"/>
              <w:ind w:right="175"/>
              <w:spacing w:after="0"/>
              <w:rPr>
                <w:sz w:val="20"/>
                <w:szCs w:val="20"/>
                <w:color w:val="auto"/>
              </w:rPr>
            </w:pPr>
            <w:r>
              <w:rPr>
                <w:rFonts w:ascii="Arial" w:cs="Arial" w:eastAsia="Arial" w:hAnsi="Arial"/>
                <w:sz w:val="17"/>
                <w:szCs w:val="17"/>
                <w:color w:val="3A4967"/>
              </w:rPr>
              <w:t>$</w:t>
            </w:r>
          </w:p>
        </w:tc>
        <w:tc>
          <w:tcPr>
            <w:tcW w:w="1120" w:type="dxa"/>
            <w:vAlign w:val="bottom"/>
          </w:tcPr>
          <w:p>
            <w:pPr>
              <w:jc w:val="right"/>
              <w:ind w:right="196"/>
              <w:spacing w:after="0"/>
              <w:rPr>
                <w:sz w:val="20"/>
                <w:szCs w:val="20"/>
                <w:color w:val="auto"/>
              </w:rPr>
            </w:pPr>
            <w:r>
              <w:rPr>
                <w:rFonts w:ascii="Arial" w:cs="Arial" w:eastAsia="Arial" w:hAnsi="Arial"/>
                <w:sz w:val="17"/>
                <w:szCs w:val="17"/>
                <w:color w:val="3A4967"/>
              </w:rPr>
              <w:t>2,518</w:t>
            </w:r>
          </w:p>
        </w:tc>
        <w:tc>
          <w:tcPr>
            <w:tcW w:w="480" w:type="dxa"/>
            <w:vAlign w:val="bottom"/>
          </w:tcPr>
          <w:p>
            <w:pPr>
              <w:jc w:val="right"/>
              <w:ind w:right="15"/>
              <w:spacing w:after="0"/>
              <w:rPr>
                <w:sz w:val="20"/>
                <w:szCs w:val="20"/>
                <w:color w:val="auto"/>
              </w:rPr>
            </w:pPr>
            <w:r>
              <w:rPr>
                <w:rFonts w:ascii="Arial" w:cs="Arial" w:eastAsia="Arial" w:hAnsi="Arial"/>
                <w:sz w:val="17"/>
                <w:szCs w:val="17"/>
                <w:color w:val="3A4967"/>
              </w:rPr>
              <w:t>$</w:t>
            </w:r>
          </w:p>
        </w:tc>
        <w:tc>
          <w:tcPr>
            <w:tcW w:w="760" w:type="dxa"/>
            <w:vAlign w:val="bottom"/>
          </w:tcPr>
          <w:p>
            <w:pPr>
              <w:jc w:val="right"/>
              <w:spacing w:after="0"/>
              <w:rPr>
                <w:sz w:val="20"/>
                <w:szCs w:val="20"/>
                <w:color w:val="auto"/>
              </w:rPr>
            </w:pPr>
            <w:r>
              <w:rPr>
                <w:rFonts w:ascii="Arial" w:cs="Arial" w:eastAsia="Arial" w:hAnsi="Arial"/>
                <w:sz w:val="17"/>
                <w:szCs w:val="17"/>
                <w:color w:val="3A4967"/>
              </w:rPr>
              <w:t>1,198</w:t>
            </w:r>
          </w:p>
        </w:tc>
      </w:tr>
      <w:tr>
        <w:trPr>
          <w:trHeight w:val="40"/>
        </w:trPr>
        <w:tc>
          <w:tcPr>
            <w:tcW w:w="5580" w:type="dxa"/>
            <w:vAlign w:val="bottom"/>
            <w:tcBorders>
              <w:bottom w:val="single" w:sz="8" w:color="3A4967"/>
            </w:tcBorders>
          </w:tcPr>
          <w:p>
            <w:pPr>
              <w:spacing w:after="0"/>
              <w:rPr>
                <w:sz w:val="3"/>
                <w:szCs w:val="3"/>
                <w:color w:val="auto"/>
              </w:rPr>
            </w:pPr>
          </w:p>
        </w:tc>
        <w:tc>
          <w:tcPr>
            <w:tcW w:w="76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500" w:type="dxa"/>
            <w:vAlign w:val="bottom"/>
            <w:tcBorders>
              <w:bottom w:val="single" w:sz="8" w:color="3A4967"/>
            </w:tcBorders>
          </w:tcPr>
          <w:p>
            <w:pPr>
              <w:spacing w:after="0"/>
              <w:rPr>
                <w:sz w:val="3"/>
                <w:szCs w:val="3"/>
                <w:color w:val="auto"/>
              </w:rPr>
            </w:pPr>
          </w:p>
        </w:tc>
        <w:tc>
          <w:tcPr>
            <w:tcW w:w="1120" w:type="dxa"/>
            <w:vAlign w:val="bottom"/>
            <w:tcBorders>
              <w:bottom w:val="single" w:sz="8" w:color="3A4967"/>
            </w:tcBorders>
          </w:tcPr>
          <w:p>
            <w:pPr>
              <w:spacing w:after="0"/>
              <w:rPr>
                <w:sz w:val="3"/>
                <w:szCs w:val="3"/>
                <w:color w:val="auto"/>
              </w:rPr>
            </w:pPr>
          </w:p>
        </w:tc>
        <w:tc>
          <w:tcPr>
            <w:tcW w:w="480" w:type="dxa"/>
            <w:vAlign w:val="bottom"/>
            <w:tcBorders>
              <w:bottom w:val="single" w:sz="8" w:color="3A4967"/>
            </w:tcBorders>
          </w:tcPr>
          <w:p>
            <w:pPr>
              <w:spacing w:after="0"/>
              <w:rPr>
                <w:sz w:val="3"/>
                <w:szCs w:val="3"/>
                <w:color w:val="auto"/>
              </w:rPr>
            </w:pPr>
          </w:p>
        </w:tc>
        <w:tc>
          <w:tcPr>
            <w:tcW w:w="760" w:type="dxa"/>
            <w:vAlign w:val="bottom"/>
            <w:tcBorders>
              <w:bottom w:val="single" w:sz="8" w:color="3A4967"/>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-866140</wp:posOffset>
            </wp:positionV>
            <wp:extent cx="6489700" cy="5530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489700" cy="55308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p>
      <w:pPr>
        <w:spacing w:after="0" w:line="128" w:lineRule="exact"/>
        <w:rPr>
          <w:sz w:val="20"/>
          <w:szCs w:val="20"/>
          <w:color w:val="auto"/>
        </w:rPr>
      </w:pPr>
    </w:p>
    <w:p>
      <w:pPr>
        <w:jc w:val="both"/>
        <w:ind w:left="400"/>
        <w:spacing w:after="0" w:line="271" w:lineRule="auto"/>
        <w:rPr>
          <w:sz w:val="20"/>
          <w:szCs w:val="20"/>
          <w:color w:val="auto"/>
        </w:rPr>
      </w:pPr>
      <w:r>
        <w:rPr>
          <w:rFonts w:ascii="Arial" w:cs="Arial" w:eastAsia="Arial" w:hAnsi="Arial"/>
          <w:sz w:val="17"/>
          <w:szCs w:val="17"/>
          <w:color w:val="3A4967"/>
        </w:rPr>
        <w:t>The Company uses the straight-line attribution method in recognizing stock-based compensation expense for awards that vest based on service conditions. For awards that vest subject to performance conditions, compensation expense is recognized ratably for each tranche of the award over the performance period if it is probable that performance conditions will be met.</w:t>
      </w:r>
    </w:p>
    <w:p>
      <w:pPr>
        <w:spacing w:after="0" w:line="85" w:lineRule="exact"/>
        <w:rPr>
          <w:sz w:val="20"/>
          <w:szCs w:val="20"/>
          <w:color w:val="auto"/>
        </w:rPr>
      </w:pPr>
    </w:p>
    <w:p>
      <w:pPr>
        <w:jc w:val="both"/>
        <w:ind w:left="400"/>
        <w:spacing w:after="0" w:line="286" w:lineRule="auto"/>
        <w:rPr>
          <w:sz w:val="20"/>
          <w:szCs w:val="20"/>
          <w:color w:val="auto"/>
        </w:rPr>
      </w:pPr>
      <w:r>
        <w:rPr>
          <w:rFonts w:ascii="Arial" w:cs="Arial" w:eastAsia="Arial" w:hAnsi="Arial"/>
          <w:sz w:val="16"/>
          <w:szCs w:val="16"/>
          <w:color w:val="3A4967"/>
        </w:rPr>
        <w:t>The Company recognizes compensation expense, less estimated forfeitures. For Equity Plan awards during fiscal year 2024, the estimated forfeiture rate was 16.0% for stock options and 13.0% for restricted stock units and investment shares. For Equity Plan awards during fiscal year 2023, the estimated forfeiture rate was 20.0% for stock options and 12.0% for restricted stock units and investment shares. For Equity Plan awards during fiscal year 2022, the estimated forfeiture rate was 19.0% for all types of awards. The estimated forfeiture rates used are based upon historical experience with the various award types and the Company annually reviews these rates to ensure proper projection of future forfeitures.</w:t>
      </w:r>
    </w:p>
    <w:p>
      <w:pPr>
        <w:spacing w:after="0" w:line="78"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3A4967"/>
        </w:rPr>
        <w:t>Based on equity awards outstanding as of December 28, 2024, there is $54.1 million of unrecognized compensation costs, net of estimated forfeitures, related to unvested share-based compensation arrangements that are expected to vest. Such costs are expected to be recognized over a weighted-average period of 2.1 years.</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Stock Repurchase Program</w:t>
      </w:r>
    </w:p>
    <w:p>
      <w:pPr>
        <w:spacing w:after="0" w:line="118" w:lineRule="exact"/>
        <w:rPr>
          <w:sz w:val="20"/>
          <w:szCs w:val="20"/>
          <w:color w:val="auto"/>
        </w:rPr>
      </w:pPr>
    </w:p>
    <w:p>
      <w:pPr>
        <w:jc w:val="both"/>
        <w:ind w:left="400"/>
        <w:spacing w:after="0" w:line="268" w:lineRule="auto"/>
        <w:rPr>
          <w:sz w:val="20"/>
          <w:szCs w:val="20"/>
          <w:color w:val="auto"/>
        </w:rPr>
      </w:pPr>
      <w:r>
        <w:rPr>
          <w:rFonts w:ascii="Arial" w:cs="Arial" w:eastAsia="Arial" w:hAnsi="Arial"/>
          <w:sz w:val="17"/>
          <w:szCs w:val="17"/>
          <w:color w:val="3A4967"/>
        </w:rPr>
        <w:t>In 1998, the Company began a share repurchase program. Under this program, the Company’s Board of Directors has authorized the repurchase of the Company’s Class A Stock. On October 2, 2024, the Board of Directors authorized an increase in the aggregate expenditure limit for the Company’s stock repurchase program by $ 400.0 million, increasing the limit from $1.2 billion to $1.6 billion. The Board of Directors did not specify a date upon which the total authorization would expire and, in the future, can further increase the authorized amount. Share repurchases under this program for the periods included herein were effected through open market transactions</w:t>
      </w:r>
    </w:p>
    <w:p>
      <w:pPr>
        <w:spacing w:after="0" w:line="88" w:lineRule="exact"/>
        <w:rPr>
          <w:sz w:val="20"/>
          <w:szCs w:val="20"/>
          <w:color w:val="auto"/>
        </w:rPr>
      </w:pPr>
    </w:p>
    <w:p>
      <w:pPr>
        <w:jc w:val="both"/>
        <w:ind w:left="400"/>
        <w:spacing w:after="0" w:line="281" w:lineRule="auto"/>
        <w:rPr>
          <w:sz w:val="20"/>
          <w:szCs w:val="20"/>
          <w:color w:val="auto"/>
        </w:rPr>
      </w:pPr>
      <w:r>
        <w:rPr>
          <w:rFonts w:ascii="Arial" w:cs="Arial" w:eastAsia="Arial" w:hAnsi="Arial"/>
          <w:sz w:val="17"/>
          <w:szCs w:val="17"/>
          <w:color w:val="3A4967"/>
        </w:rPr>
        <w:t>During fiscal year 2024, the Company repurchased and subsequently retired 803,281 shares of its Class A Common Stock for an aggregate purchase price of $238.9 million.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95250</wp:posOffset>
            </wp:positionV>
            <wp:extent cx="2584450" cy="19177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ind w:left="9"/>
        <w:spacing w:after="0" w:line="294" w:lineRule="auto"/>
        <w:rPr>
          <w:sz w:val="20"/>
          <w:szCs w:val="20"/>
          <w:color w:val="auto"/>
        </w:rPr>
      </w:pPr>
      <w:r>
        <w:rPr>
          <w:rFonts w:ascii="Arial" w:cs="Arial" w:eastAsia="Arial" w:hAnsi="Arial"/>
          <w:sz w:val="16"/>
          <w:szCs w:val="16"/>
          <w:color w:val="3A4967"/>
        </w:rPr>
        <w:t>December 28, 2024, the Company had repurchased a cumulative total of approximately 14.9 million shares of its Class A Common Stock for an aggregate purchase price of approximately $1.17 billion and had approximately $427.5 million remaining on the $1.6 billion stock repurchase expenditure limit set by the Board of Directors.</w:t>
      </w:r>
    </w:p>
    <w:p>
      <w:pPr>
        <w:spacing w:after="0" w:line="191" w:lineRule="exact"/>
        <w:rPr>
          <w:sz w:val="20"/>
          <w:szCs w:val="20"/>
          <w:color w:val="auto"/>
        </w:rPr>
      </w:pPr>
    </w:p>
    <w:p>
      <w:pPr>
        <w:ind w:left="269" w:right="480" w:hanging="260"/>
        <w:spacing w:after="0" w:line="269" w:lineRule="auto"/>
        <w:rPr>
          <w:sz w:val="20"/>
          <w:szCs w:val="20"/>
          <w:color w:val="auto"/>
        </w:rPr>
      </w:pPr>
      <w:r>
        <w:rPr>
          <w:rFonts w:ascii="Arial" w:cs="Arial" w:eastAsia="Arial" w:hAnsi="Arial"/>
          <w:sz w:val="22"/>
          <w:szCs w:val="22"/>
          <w:b w:val="1"/>
          <w:bCs w:val="1"/>
          <w:color w:val="6D7890"/>
        </w:rPr>
        <w:t>P. Employee Retirement Plans and Post-Retirement Medical Benefits</w:t>
      </w:r>
    </w:p>
    <w:p>
      <w:pPr>
        <w:spacing w:after="0" w:line="63" w:lineRule="exact"/>
        <w:rPr>
          <w:sz w:val="20"/>
          <w:szCs w:val="20"/>
          <w:color w:val="auto"/>
        </w:rPr>
      </w:pPr>
    </w:p>
    <w:p>
      <w:pPr>
        <w:jc w:val="both"/>
        <w:ind w:left="9"/>
        <w:spacing w:after="0" w:line="265" w:lineRule="auto"/>
        <w:rPr>
          <w:sz w:val="20"/>
          <w:szCs w:val="20"/>
          <w:color w:val="auto"/>
        </w:rPr>
      </w:pPr>
      <w:r>
        <w:rPr>
          <w:rFonts w:ascii="Arial" w:cs="Arial" w:eastAsia="Arial" w:hAnsi="Arial"/>
          <w:sz w:val="17"/>
          <w:szCs w:val="17"/>
          <w:color w:val="3A4967"/>
        </w:rPr>
        <w:t>The Company’s workforce comprises mostly of non-union employees who are employed by Boston Beer Corporation, American Craft Brewery LLC, or Angry Orchard Cider Company, LLC. As of December 28, 2024, the Company had three unions at its Cincinnati Brewery: Local 1, Local 20, and Teamsters Local Union. No. 1199 (“Local Union 1199”). The Company has different retirement and post-retirement plans available to each group of employees. The Boston Beer Company 401(k) Plan (the “Boston Beer 401(k) Plan”) covers most non-union employees and all members of Local 1 and Local Union 1199. The Samuel Adams Cincinnati Brewery 401(k) Plan for Represented Employees (the “SACB 401(k) Plan”) covers members of Local</w:t>
      </w:r>
    </w:p>
    <w:p>
      <w:pPr>
        <w:spacing w:after="0" w:line="6" w:lineRule="exact"/>
        <w:rPr>
          <w:sz w:val="20"/>
          <w:szCs w:val="20"/>
          <w:color w:val="auto"/>
        </w:rPr>
      </w:pPr>
    </w:p>
    <w:p>
      <w:pPr>
        <w:jc w:val="both"/>
        <w:ind w:left="9" w:hanging="9"/>
        <w:spacing w:after="0" w:line="269" w:lineRule="auto"/>
        <w:tabs>
          <w:tab w:leader="none" w:pos="308" w:val="left"/>
        </w:tabs>
        <w:numPr>
          <w:ilvl w:val="0"/>
          <w:numId w:val="18"/>
        </w:numPr>
        <w:rPr>
          <w:rFonts w:ascii="Arial" w:cs="Arial" w:eastAsia="Arial" w:hAnsi="Arial"/>
          <w:sz w:val="17"/>
          <w:szCs w:val="17"/>
          <w:color w:val="3A4967"/>
        </w:rPr>
      </w:pPr>
      <w:r>
        <w:rPr>
          <w:rFonts w:ascii="Arial" w:cs="Arial" w:eastAsia="Arial" w:hAnsi="Arial"/>
          <w:sz w:val="17"/>
          <w:szCs w:val="17"/>
          <w:color w:val="3A4967"/>
        </w:rPr>
        <w:t>The Company additionally provides a supplement to eligible retirees from Local 1, Local 20, and Local Union 1199 to assist with the cost of Medicare gap coverage after their retirement on account of age or permanent disability (collectively, the “Retiree Medical Plan”). The Company previously offered a pension plan (the “Local 1199 Pension Plan”) to members of Local Union 1199 until the plan was terminated effective January 1, 2020.</w:t>
      </w:r>
    </w:p>
    <w:p>
      <w:pPr>
        <w:spacing w:after="0" w:line="20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3A4967"/>
        </w:rPr>
        <w:t>Boston Beer 401(k) Plan</w:t>
      </w:r>
    </w:p>
    <w:p>
      <w:pPr>
        <w:spacing w:after="0" w:line="118" w:lineRule="exact"/>
        <w:rPr>
          <w:sz w:val="20"/>
          <w:szCs w:val="20"/>
          <w:color w:val="auto"/>
        </w:rPr>
      </w:pPr>
    </w:p>
    <w:p>
      <w:pPr>
        <w:jc w:val="both"/>
        <w:ind w:left="9"/>
        <w:spacing w:after="0" w:line="287" w:lineRule="auto"/>
        <w:rPr>
          <w:sz w:val="20"/>
          <w:szCs w:val="20"/>
          <w:color w:val="auto"/>
        </w:rPr>
      </w:pPr>
      <w:r>
        <w:rPr>
          <w:rFonts w:ascii="Arial" w:cs="Arial" w:eastAsia="Arial" w:hAnsi="Arial"/>
          <w:sz w:val="16"/>
          <w:szCs w:val="16"/>
          <w:color w:val="3A4967"/>
        </w:rPr>
        <w:t>The Boston Beer 401(k) Plan, which was established by the Company in 1993, is a Company-sponsored defined contribution plan. Most non-union employees and all members of the Local 1 and Local 1199 unions are eligible to participate in the Plan immediately upon employment. Participants may make voluntary contributions up to 60% of their annual compensation, subject to IRS limitations. The Company matches each participant’s contribution. A maximum of 5% of compensation is taken into account in determining the amount of the match. In January 2020, the Company amended the Boston Beer 401(k) Plan to update</w:t>
      </w:r>
    </w:p>
    <w:p>
      <w:pPr>
        <w:spacing w:after="0" w:line="318" w:lineRule="exact"/>
        <w:rPr>
          <w:sz w:val="20"/>
          <w:szCs w:val="20"/>
          <w:color w:val="auto"/>
        </w:rPr>
      </w:pPr>
    </w:p>
    <w:p>
      <w:pPr>
        <w:sectPr>
          <w:pgSz w:w="11880" w:h="15481" w:orient="portrait"/>
          <w:cols w:equalWidth="0" w:num="2">
            <w:col w:w="5320" w:space="331"/>
            <w:col w:w="4929"/>
          </w:cols>
          <w:pgMar w:left="460" w:top="579" w:right="841" w:bottom="0" w:gutter="0" w:footer="0" w:header="0"/>
          <w:type w:val="continuous"/>
        </w:sectPr>
      </w:pPr>
    </w:p>
    <w:p>
      <w:pPr>
        <w:spacing w:after="0" w:line="16"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56</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66" w:name="page67"/>
    <w:bookmarkEnd w:id="66"/>
    <w:p>
      <w:pPr>
        <w:ind w:left="96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3A4967"/>
        </w:rPr>
        <w:t>the Company match as follows: 100% of the first 3% of the eligible compensation participants contribute. Thereafter, the Company matches 50% of the next 2% of the eligible compensation participants contribute. Beginning April 1, 2023, for Local 1 union members specifically, the Company match is 100% of the first 5% of the eligible contribution. The Company’s contributions to the Boston Beer 401(k) Plan amounted to $9.7 million, $8.8 million, and $7.6 million in fiscal years 2024, 2023, and 2022,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SACB 401(k) Plan</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3A4967"/>
        </w:rPr>
        <w:t>The “SACB 401(k) Plan”, which was established by the Company in 1997, is a Company-sponsored defined contribution plan. It is available to all members of Local 20 upon commencement of employment or, if later, attaining age 21. Participants may make voluntary contributions up to 60% of their annual compensation to the SACB 401(k) Plan, subject to IRS limitations. Company contributions for fiscal years 2024, 2023, and 2022 were insignificant.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Retiree Medical Plan</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A4967"/>
        </w:rPr>
        <w:t>To qualify for this benefit, an eligible employee must have worked for at least 20 years for the Company or its predecessor at the Company’s Cincinnati Brewery as a part of one of its three unions, must have been enrolled in the Company’s group medical insurance plan for at least 5 years before retirement, and, in the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3A4967"/>
        </w:rPr>
        <w:t>The funded status of the Retiree Medical Plan is as follows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287655</wp:posOffset>
            </wp:positionV>
            <wp:extent cx="6474460" cy="1987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474460" cy="198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164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380"/>
        <w:spacing w:after="0" w:line="267" w:lineRule="auto"/>
        <w:rPr>
          <w:sz w:val="20"/>
          <w:szCs w:val="20"/>
          <w:color w:val="auto"/>
        </w:rPr>
      </w:pPr>
      <w:r>
        <w:rPr>
          <w:rFonts w:ascii="Arial" w:cs="Arial" w:eastAsia="Arial" w:hAnsi="Arial"/>
          <w:sz w:val="17"/>
          <w:szCs w:val="17"/>
          <w:color w:val="3A4967"/>
        </w:rPr>
        <w:t>case of retirees from Local 20, for at least 7 of the last 10 years of their employment, and must be eligible for Medicare benefits under the Social Security Act. The accumulated post-retirement benefit obligation was determined using a discount rate of 5.69% at December 28, 2024 and 5.03% at December 30, 2023 and a health care cost increase based on the Cincinnati Consumer Price Index of 3.0% and 2.5% for the years 2024 and 2023, respectively. The effect of a 1% increase and the effect of a 1% decrease in the assumed health care cost trend rates on the aggregate of the service and interest cost components of net periodic post -retirement health care benefit costs and on the accumulated post -retirement benefit obligation for health care benefits would not be significant.</w:t>
      </w:r>
    </w:p>
    <w:p>
      <w:pPr>
        <w:spacing w:after="0" w:line="94" w:lineRule="exact"/>
        <w:rPr>
          <w:sz w:val="20"/>
          <w:szCs w:val="20"/>
          <w:color w:val="auto"/>
        </w:rPr>
      </w:pPr>
    </w:p>
    <w:p>
      <w:pPr>
        <w:jc w:val="both"/>
        <w:ind w:right="380"/>
        <w:spacing w:after="0" w:line="287" w:lineRule="auto"/>
        <w:rPr>
          <w:sz w:val="20"/>
          <w:szCs w:val="20"/>
          <w:color w:val="auto"/>
        </w:rPr>
      </w:pPr>
      <w:r>
        <w:rPr>
          <w:rFonts w:ascii="Arial" w:cs="Arial" w:eastAsia="Arial" w:hAnsi="Arial"/>
          <w:sz w:val="16"/>
          <w:szCs w:val="16"/>
          <w:color w:val="3A4967"/>
        </w:rPr>
        <w:t>In addition, the comprehensive medical plan offered to currently employed members of Local 20 remains available to them should they retire after reaching age 57, and before reaching age 65, with at least 20 years of service with the Company or its predecessor at the Company’s Cincinnati Brewery. These eligible retirees may choose to continue to be covered under the Company’s comprehensive group medical plan until they reach the age when they are eligible for Medicare health benefits under the Social Security Act or coverage under a comparable State health benefit plan. Eligible retirees pay 100% of the cost of the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700"/>
        <w:spacing w:after="0"/>
        <w:tabs>
          <w:tab w:leader="none" w:pos="3340" w:val="left"/>
        </w:tabs>
        <w:rPr>
          <w:sz w:val="20"/>
          <w:szCs w:val="20"/>
          <w:color w:val="auto"/>
        </w:rPr>
      </w:pPr>
      <w:r>
        <w:rPr>
          <w:rFonts w:ascii="Arial" w:cs="Arial" w:eastAsia="Arial" w:hAnsi="Arial"/>
          <w:sz w:val="16"/>
          <w:szCs w:val="16"/>
          <w:b w:val="1"/>
          <w:bCs w:val="1"/>
          <w:color w:val="3A4967"/>
        </w:rPr>
        <w:t>December 28, 2024</w:t>
      </w:r>
      <w:r>
        <w:rPr>
          <w:sz w:val="20"/>
          <w:szCs w:val="20"/>
          <w:color w:val="auto"/>
        </w:rPr>
        <w:tab/>
      </w:r>
      <w:r>
        <w:rPr>
          <w:rFonts w:ascii="Arial" w:cs="Arial" w:eastAsia="Arial" w:hAnsi="Arial"/>
          <w:sz w:val="16"/>
          <w:szCs w:val="16"/>
          <w:b w:val="1"/>
          <w:bCs w:val="1"/>
          <w:color w:val="3A4967"/>
        </w:rPr>
        <w:t>December 30, 2023</w:t>
      </w:r>
    </w:p>
    <w:p>
      <w:pPr>
        <w:spacing w:after="0" w:line="89"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4700" w:type="dxa"/>
            <w:vAlign w:val="bottom"/>
          </w:tcPr>
          <w:p>
            <w:pPr>
              <w:ind w:left="80"/>
              <w:spacing w:after="0"/>
              <w:rPr>
                <w:sz w:val="20"/>
                <w:szCs w:val="20"/>
                <w:color w:val="auto"/>
              </w:rPr>
            </w:pPr>
            <w:r>
              <w:rPr>
                <w:rFonts w:ascii="Arial" w:cs="Arial" w:eastAsia="Arial" w:hAnsi="Arial"/>
                <w:sz w:val="17"/>
                <w:szCs w:val="17"/>
                <w:color w:val="3A4967"/>
              </w:rPr>
              <w:t>Benefit obligation at end of period</w:t>
            </w:r>
          </w:p>
        </w:tc>
        <w:tc>
          <w:tcPr>
            <w:tcW w:w="2820" w:type="dxa"/>
            <w:vAlign w:val="bottom"/>
          </w:tcPr>
          <w:p>
            <w:pPr>
              <w:jc w:val="right"/>
              <w:ind w:right="475"/>
              <w:spacing w:after="0"/>
              <w:rPr>
                <w:sz w:val="20"/>
                <w:szCs w:val="20"/>
                <w:color w:val="auto"/>
              </w:rPr>
            </w:pPr>
            <w:r>
              <w:rPr>
                <w:rFonts w:ascii="Arial" w:cs="Arial" w:eastAsia="Arial" w:hAnsi="Arial"/>
                <w:sz w:val="17"/>
                <w:szCs w:val="17"/>
                <w:color w:val="3A4967"/>
              </w:rPr>
              <w:t>$</w:t>
            </w:r>
          </w:p>
        </w:tc>
        <w:tc>
          <w:tcPr>
            <w:tcW w:w="960" w:type="dxa"/>
            <w:vAlign w:val="bottom"/>
          </w:tcPr>
          <w:p>
            <w:pPr>
              <w:jc w:val="right"/>
              <w:spacing w:after="0"/>
              <w:rPr>
                <w:sz w:val="20"/>
                <w:szCs w:val="20"/>
                <w:color w:val="auto"/>
              </w:rPr>
            </w:pPr>
            <w:r>
              <w:rPr>
                <w:rFonts w:ascii="Arial" w:cs="Arial" w:eastAsia="Arial" w:hAnsi="Arial"/>
                <w:sz w:val="17"/>
                <w:szCs w:val="17"/>
                <w:color w:val="3A4967"/>
              </w:rPr>
              <w:t>798</w:t>
            </w:r>
          </w:p>
        </w:tc>
        <w:tc>
          <w:tcPr>
            <w:tcW w:w="740" w:type="dxa"/>
            <w:vAlign w:val="bottom"/>
          </w:tcPr>
          <w:p>
            <w:pPr>
              <w:jc w:val="right"/>
              <w:ind w:right="475"/>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828</w:t>
            </w:r>
          </w:p>
        </w:tc>
      </w:tr>
      <w:tr>
        <w:trPr>
          <w:trHeight w:val="41"/>
        </w:trPr>
        <w:tc>
          <w:tcPr>
            <w:tcW w:w="4700" w:type="dxa"/>
            <w:vAlign w:val="bottom"/>
            <w:tcBorders>
              <w:bottom w:val="single" w:sz="8" w:color="3A4967"/>
            </w:tcBorders>
          </w:tcPr>
          <w:p>
            <w:pPr>
              <w:spacing w:after="0"/>
              <w:rPr>
                <w:sz w:val="3"/>
                <w:szCs w:val="3"/>
                <w:color w:val="auto"/>
              </w:rPr>
            </w:pPr>
          </w:p>
        </w:tc>
        <w:tc>
          <w:tcPr>
            <w:tcW w:w="2820" w:type="dxa"/>
            <w:vAlign w:val="bottom"/>
            <w:tcBorders>
              <w:bottom w:val="single" w:sz="8" w:color="3A4967"/>
            </w:tcBorders>
          </w:tcPr>
          <w:p>
            <w:pPr>
              <w:spacing w:after="0"/>
              <w:rPr>
                <w:sz w:val="3"/>
                <w:szCs w:val="3"/>
                <w:color w:val="auto"/>
              </w:rPr>
            </w:pPr>
          </w:p>
        </w:tc>
        <w:tc>
          <w:tcPr>
            <w:tcW w:w="96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r>
      <w:tr>
        <w:trPr>
          <w:trHeight w:val="267"/>
        </w:trPr>
        <w:tc>
          <w:tcPr>
            <w:tcW w:w="470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UNFUNDED STATUS</w:t>
            </w:r>
          </w:p>
        </w:tc>
        <w:tc>
          <w:tcPr>
            <w:tcW w:w="2820" w:type="dxa"/>
            <w:vAlign w:val="bottom"/>
            <w:tcBorders>
              <w:bottom w:val="single" w:sz="8" w:color="3A4967"/>
            </w:tcBorders>
          </w:tcPr>
          <w:p>
            <w:pPr>
              <w:jc w:val="right"/>
              <w:ind w:right="475"/>
              <w:spacing w:after="0"/>
              <w:rPr>
                <w:sz w:val="20"/>
                <w:szCs w:val="20"/>
                <w:color w:val="auto"/>
              </w:rPr>
            </w:pPr>
            <w:r>
              <w:rPr>
                <w:rFonts w:ascii="Arial" w:cs="Arial" w:eastAsia="Arial" w:hAnsi="Arial"/>
                <w:sz w:val="17"/>
                <w:szCs w:val="17"/>
                <w:b w:val="1"/>
                <w:bCs w:val="1"/>
                <w:color w:val="3A4967"/>
              </w:rPr>
              <w:t>$</w:t>
            </w:r>
          </w:p>
        </w:tc>
        <w:tc>
          <w:tcPr>
            <w:tcW w:w="96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798</w:t>
            </w:r>
          </w:p>
        </w:tc>
        <w:tc>
          <w:tcPr>
            <w:tcW w:w="740" w:type="dxa"/>
            <w:vAlign w:val="bottom"/>
            <w:tcBorders>
              <w:bottom w:val="single" w:sz="8" w:color="3A4967"/>
            </w:tcBorders>
          </w:tcPr>
          <w:p>
            <w:pPr>
              <w:jc w:val="right"/>
              <w:ind w:right="475"/>
              <w:spacing w:after="0"/>
              <w:rPr>
                <w:sz w:val="20"/>
                <w:szCs w:val="20"/>
                <w:color w:val="auto"/>
              </w:rPr>
            </w:pPr>
            <w:r>
              <w:rPr>
                <w:rFonts w:ascii="Arial" w:cs="Arial" w:eastAsia="Arial" w:hAnsi="Arial"/>
                <w:sz w:val="17"/>
                <w:szCs w:val="17"/>
                <w:b w:val="1"/>
                <w:bCs w:val="1"/>
                <w:color w:val="3A4967"/>
              </w:rPr>
              <w:t>$</w:t>
            </w:r>
          </w:p>
        </w:tc>
        <w:tc>
          <w:tcPr>
            <w:tcW w:w="9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828</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Q. Net Income per Share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3A4967"/>
        </w:rPr>
        <w:t>Net Income per Common Share - Basic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3A4967"/>
        </w:rPr>
        <w:t>The following table sets forth the computation of basic net income per share using the two-class method: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20" w:type="dxa"/>
            <w:vAlign w:val="bottom"/>
          </w:tcPr>
          <w:p>
            <w:pPr>
              <w:ind w:left="80"/>
              <w:spacing w:after="0"/>
              <w:rPr>
                <w:sz w:val="20"/>
                <w:szCs w:val="20"/>
                <w:color w:val="auto"/>
              </w:rPr>
            </w:pPr>
            <w:r>
              <w:rPr>
                <w:rFonts w:ascii="Arial" w:cs="Arial" w:eastAsia="Arial" w:hAnsi="Arial"/>
                <w:sz w:val="13"/>
                <w:szCs w:val="13"/>
                <w:i w:val="1"/>
                <w:iCs w:val="1"/>
                <w:color w:val="3A4967"/>
              </w:rPr>
              <w:t>(in thousands, except per share data)</w:t>
            </w:r>
          </w:p>
        </w:tc>
        <w:tc>
          <w:tcPr>
            <w:tcW w:w="250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28, 2024</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30, 2023</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31, 2022</w:t>
            </w:r>
          </w:p>
        </w:tc>
      </w:tr>
      <w:tr>
        <w:trPr>
          <w:trHeight w:val="36"/>
        </w:trPr>
        <w:tc>
          <w:tcPr>
            <w:tcW w:w="4420" w:type="dxa"/>
            <w:vAlign w:val="bottom"/>
            <w:tcBorders>
              <w:bottom w:val="single" w:sz="8" w:color="3A4967"/>
            </w:tcBorders>
          </w:tcPr>
          <w:p>
            <w:pPr>
              <w:spacing w:after="0"/>
              <w:rPr>
                <w:sz w:val="3"/>
                <w:szCs w:val="3"/>
                <w:color w:val="auto"/>
              </w:rPr>
            </w:pPr>
          </w:p>
        </w:tc>
        <w:tc>
          <w:tcPr>
            <w:tcW w:w="176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r>
      <w:tr>
        <w:trPr>
          <w:trHeight w:val="227"/>
        </w:trPr>
        <w:tc>
          <w:tcPr>
            <w:tcW w:w="4420" w:type="dxa"/>
            <w:vAlign w:val="bottom"/>
          </w:tcPr>
          <w:p>
            <w:pPr>
              <w:ind w:left="80"/>
              <w:spacing w:after="0"/>
              <w:rPr>
                <w:sz w:val="20"/>
                <w:szCs w:val="20"/>
                <w:color w:val="auto"/>
              </w:rPr>
            </w:pPr>
            <w:r>
              <w:rPr>
                <w:rFonts w:ascii="Arial" w:cs="Arial" w:eastAsia="Arial" w:hAnsi="Arial"/>
                <w:sz w:val="17"/>
                <w:szCs w:val="17"/>
                <w:color w:val="3A4967"/>
              </w:rPr>
              <w:t>Net Income</w:t>
            </w:r>
          </w:p>
        </w:tc>
        <w:tc>
          <w:tcPr>
            <w:tcW w:w="1760" w:type="dxa"/>
            <w:vAlign w:val="bottom"/>
          </w:tcPr>
          <w:p>
            <w:pPr>
              <w:jc w:val="right"/>
              <w:ind w:right="56"/>
              <w:spacing w:after="0"/>
              <w:rPr>
                <w:sz w:val="20"/>
                <w:szCs w:val="20"/>
                <w:color w:val="auto"/>
              </w:rPr>
            </w:pPr>
            <w:r>
              <w:rPr>
                <w:rFonts w:ascii="Arial" w:cs="Arial" w:eastAsia="Arial" w:hAnsi="Arial"/>
                <w:sz w:val="17"/>
                <w:szCs w:val="17"/>
                <w:color w:val="3A4967"/>
              </w:rPr>
              <w:t>$</w:t>
            </w:r>
          </w:p>
        </w:tc>
        <w:tc>
          <w:tcPr>
            <w:tcW w:w="740" w:type="dxa"/>
            <w:vAlign w:val="bottom"/>
          </w:tcPr>
          <w:p>
            <w:pPr>
              <w:jc w:val="right"/>
              <w:spacing w:after="0"/>
              <w:rPr>
                <w:sz w:val="20"/>
                <w:szCs w:val="20"/>
                <w:color w:val="auto"/>
              </w:rPr>
            </w:pPr>
            <w:r>
              <w:rPr>
                <w:rFonts w:ascii="Arial" w:cs="Arial" w:eastAsia="Arial" w:hAnsi="Arial"/>
                <w:sz w:val="17"/>
                <w:szCs w:val="17"/>
                <w:color w:val="3A4967"/>
              </w:rPr>
              <w:t>59,695</w:t>
            </w:r>
          </w:p>
        </w:tc>
        <w:tc>
          <w:tcPr>
            <w:tcW w:w="880" w:type="dxa"/>
            <w:vAlign w:val="bottom"/>
          </w:tcPr>
          <w:p>
            <w:pPr>
              <w:jc w:val="right"/>
              <w:ind w:right="76"/>
              <w:spacing w:after="0"/>
              <w:rPr>
                <w:sz w:val="20"/>
                <w:szCs w:val="20"/>
                <w:color w:val="auto"/>
              </w:rPr>
            </w:pPr>
            <w:r>
              <w:rPr>
                <w:rFonts w:ascii="Arial" w:cs="Arial" w:eastAsia="Arial" w:hAnsi="Arial"/>
                <w:sz w:val="17"/>
                <w:szCs w:val="17"/>
                <w:color w:val="3A4967"/>
              </w:rPr>
              <w:t>$</w:t>
            </w:r>
          </w:p>
        </w:tc>
        <w:tc>
          <w:tcPr>
            <w:tcW w:w="740" w:type="dxa"/>
            <w:vAlign w:val="bottom"/>
          </w:tcPr>
          <w:p>
            <w:pPr>
              <w:jc w:val="right"/>
              <w:spacing w:after="0"/>
              <w:rPr>
                <w:sz w:val="20"/>
                <w:szCs w:val="20"/>
                <w:color w:val="auto"/>
              </w:rPr>
            </w:pPr>
            <w:r>
              <w:rPr>
                <w:rFonts w:ascii="Arial" w:cs="Arial" w:eastAsia="Arial" w:hAnsi="Arial"/>
                <w:sz w:val="17"/>
                <w:szCs w:val="17"/>
                <w:color w:val="3A4967"/>
              </w:rPr>
              <w:t>76,250</w:t>
            </w:r>
          </w:p>
        </w:tc>
        <w:tc>
          <w:tcPr>
            <w:tcW w:w="880" w:type="dxa"/>
            <w:vAlign w:val="bottom"/>
          </w:tcPr>
          <w:p>
            <w:pPr>
              <w:jc w:val="right"/>
              <w:ind w:right="56"/>
              <w:spacing w:after="0"/>
              <w:rPr>
                <w:sz w:val="20"/>
                <w:szCs w:val="20"/>
                <w:color w:val="auto"/>
              </w:rPr>
            </w:pPr>
            <w:r>
              <w:rPr>
                <w:rFonts w:ascii="Arial" w:cs="Arial" w:eastAsia="Arial" w:hAnsi="Arial"/>
                <w:sz w:val="17"/>
                <w:szCs w:val="17"/>
                <w:color w:val="3A4967"/>
              </w:rPr>
              <w:t>$</w:t>
            </w:r>
          </w:p>
        </w:tc>
        <w:tc>
          <w:tcPr>
            <w:tcW w:w="740" w:type="dxa"/>
            <w:vAlign w:val="bottom"/>
          </w:tcPr>
          <w:p>
            <w:pPr>
              <w:jc w:val="right"/>
              <w:spacing w:after="0"/>
              <w:rPr>
                <w:sz w:val="20"/>
                <w:szCs w:val="20"/>
                <w:color w:val="auto"/>
              </w:rPr>
            </w:pPr>
            <w:r>
              <w:rPr>
                <w:rFonts w:ascii="Arial" w:cs="Arial" w:eastAsia="Arial" w:hAnsi="Arial"/>
                <w:sz w:val="17"/>
                <w:szCs w:val="17"/>
                <w:color w:val="3A4967"/>
              </w:rPr>
              <w:t>67,263</w:t>
            </w:r>
          </w:p>
        </w:tc>
      </w:tr>
      <w:tr>
        <w:trPr>
          <w:trHeight w:val="281"/>
        </w:trPr>
        <w:tc>
          <w:tcPr>
            <w:tcW w:w="4420" w:type="dxa"/>
            <w:vAlign w:val="bottom"/>
          </w:tcPr>
          <w:p>
            <w:pPr>
              <w:ind w:left="80"/>
              <w:spacing w:after="0"/>
              <w:rPr>
                <w:sz w:val="20"/>
                <w:szCs w:val="20"/>
                <w:color w:val="auto"/>
              </w:rPr>
            </w:pPr>
            <w:r>
              <w:rPr>
                <w:rFonts w:ascii="Arial" w:cs="Arial" w:eastAsia="Arial" w:hAnsi="Arial"/>
                <w:sz w:val="17"/>
                <w:szCs w:val="17"/>
                <w:color w:val="3A4967"/>
              </w:rPr>
              <w:t>Allocation of net income for basic:</w:t>
            </w: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1"/>
        </w:trPr>
        <w:tc>
          <w:tcPr>
            <w:tcW w:w="4420" w:type="dxa"/>
            <w:vAlign w:val="bottom"/>
          </w:tcPr>
          <w:p>
            <w:pPr>
              <w:ind w:left="220"/>
              <w:spacing w:after="0"/>
              <w:rPr>
                <w:sz w:val="20"/>
                <w:szCs w:val="20"/>
                <w:color w:val="auto"/>
              </w:rPr>
            </w:pPr>
            <w:r>
              <w:rPr>
                <w:rFonts w:ascii="Arial" w:cs="Arial" w:eastAsia="Arial" w:hAnsi="Arial"/>
                <w:sz w:val="17"/>
                <w:szCs w:val="17"/>
                <w:color w:val="3A4967"/>
              </w:rPr>
              <w:t>Class A Common Stock</w:t>
            </w:r>
          </w:p>
        </w:tc>
        <w:tc>
          <w:tcPr>
            <w:tcW w:w="1760" w:type="dxa"/>
            <w:vAlign w:val="bottom"/>
          </w:tcPr>
          <w:p>
            <w:pPr>
              <w:jc w:val="right"/>
              <w:ind w:right="56"/>
              <w:spacing w:after="0"/>
              <w:rPr>
                <w:sz w:val="20"/>
                <w:szCs w:val="20"/>
                <w:color w:val="auto"/>
              </w:rPr>
            </w:pPr>
            <w:r>
              <w:rPr>
                <w:rFonts w:ascii="Arial" w:cs="Arial" w:eastAsia="Arial" w:hAnsi="Arial"/>
                <w:sz w:val="17"/>
                <w:szCs w:val="17"/>
                <w:color w:val="3A4967"/>
              </w:rPr>
              <w:t>$</w:t>
            </w:r>
          </w:p>
        </w:tc>
        <w:tc>
          <w:tcPr>
            <w:tcW w:w="740" w:type="dxa"/>
            <w:vAlign w:val="bottom"/>
          </w:tcPr>
          <w:p>
            <w:pPr>
              <w:jc w:val="right"/>
              <w:spacing w:after="0"/>
              <w:rPr>
                <w:sz w:val="20"/>
                <w:szCs w:val="20"/>
                <w:color w:val="auto"/>
              </w:rPr>
            </w:pPr>
            <w:r>
              <w:rPr>
                <w:rFonts w:ascii="Arial" w:cs="Arial" w:eastAsia="Arial" w:hAnsi="Arial"/>
                <w:sz w:val="17"/>
                <w:szCs w:val="17"/>
                <w:color w:val="3A4967"/>
              </w:rPr>
              <w:t>49,070</w:t>
            </w:r>
          </w:p>
        </w:tc>
        <w:tc>
          <w:tcPr>
            <w:tcW w:w="880" w:type="dxa"/>
            <w:vAlign w:val="bottom"/>
          </w:tcPr>
          <w:p>
            <w:pPr>
              <w:jc w:val="right"/>
              <w:ind w:right="76"/>
              <w:spacing w:after="0"/>
              <w:rPr>
                <w:sz w:val="20"/>
                <w:szCs w:val="20"/>
                <w:color w:val="auto"/>
              </w:rPr>
            </w:pPr>
            <w:r>
              <w:rPr>
                <w:rFonts w:ascii="Arial" w:cs="Arial" w:eastAsia="Arial" w:hAnsi="Arial"/>
                <w:sz w:val="17"/>
                <w:szCs w:val="17"/>
                <w:color w:val="3A4967"/>
              </w:rPr>
              <w:t>$</w:t>
            </w:r>
          </w:p>
        </w:tc>
        <w:tc>
          <w:tcPr>
            <w:tcW w:w="740" w:type="dxa"/>
            <w:vAlign w:val="bottom"/>
          </w:tcPr>
          <w:p>
            <w:pPr>
              <w:jc w:val="right"/>
              <w:spacing w:after="0"/>
              <w:rPr>
                <w:sz w:val="20"/>
                <w:szCs w:val="20"/>
                <w:color w:val="auto"/>
              </w:rPr>
            </w:pPr>
            <w:r>
              <w:rPr>
                <w:rFonts w:ascii="Arial" w:cs="Arial" w:eastAsia="Arial" w:hAnsi="Arial"/>
                <w:sz w:val="17"/>
                <w:szCs w:val="17"/>
                <w:color w:val="3A4967"/>
              </w:rPr>
              <w:t>63,216</w:t>
            </w:r>
          </w:p>
        </w:tc>
        <w:tc>
          <w:tcPr>
            <w:tcW w:w="880" w:type="dxa"/>
            <w:vAlign w:val="bottom"/>
          </w:tcPr>
          <w:p>
            <w:pPr>
              <w:jc w:val="right"/>
              <w:ind w:right="56"/>
              <w:spacing w:after="0"/>
              <w:rPr>
                <w:sz w:val="20"/>
                <w:szCs w:val="20"/>
                <w:color w:val="auto"/>
              </w:rPr>
            </w:pPr>
            <w:r>
              <w:rPr>
                <w:rFonts w:ascii="Arial" w:cs="Arial" w:eastAsia="Arial" w:hAnsi="Arial"/>
                <w:sz w:val="17"/>
                <w:szCs w:val="17"/>
                <w:color w:val="3A4967"/>
              </w:rPr>
              <w:t>$</w:t>
            </w:r>
          </w:p>
        </w:tc>
        <w:tc>
          <w:tcPr>
            <w:tcW w:w="740" w:type="dxa"/>
            <w:vAlign w:val="bottom"/>
          </w:tcPr>
          <w:p>
            <w:pPr>
              <w:jc w:val="right"/>
              <w:spacing w:after="0"/>
              <w:rPr>
                <w:sz w:val="20"/>
                <w:szCs w:val="20"/>
                <w:color w:val="auto"/>
              </w:rPr>
            </w:pPr>
            <w:r>
              <w:rPr>
                <w:rFonts w:ascii="Arial" w:cs="Arial" w:eastAsia="Arial" w:hAnsi="Arial"/>
                <w:sz w:val="17"/>
                <w:szCs w:val="17"/>
                <w:color w:val="3A4967"/>
              </w:rPr>
              <w:t>55,812</w:t>
            </w:r>
          </w:p>
        </w:tc>
      </w:tr>
      <w:tr>
        <w:trPr>
          <w:trHeight w:val="281"/>
        </w:trPr>
        <w:tc>
          <w:tcPr>
            <w:tcW w:w="4420" w:type="dxa"/>
            <w:vAlign w:val="bottom"/>
          </w:tcPr>
          <w:p>
            <w:pPr>
              <w:ind w:left="220"/>
              <w:spacing w:after="0"/>
              <w:rPr>
                <w:sz w:val="20"/>
                <w:szCs w:val="20"/>
                <w:color w:val="auto"/>
              </w:rPr>
            </w:pPr>
            <w:r>
              <w:rPr>
                <w:rFonts w:ascii="Arial" w:cs="Arial" w:eastAsia="Arial" w:hAnsi="Arial"/>
                <w:sz w:val="17"/>
                <w:szCs w:val="17"/>
                <w:color w:val="3A4967"/>
              </w:rPr>
              <w:t>Class B Common Stock</w:t>
            </w:r>
          </w:p>
        </w:tc>
        <w:tc>
          <w:tcPr>
            <w:tcW w:w="17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10,485</w:t>
            </w:r>
          </w:p>
        </w:tc>
        <w:tc>
          <w:tcPr>
            <w:tcW w:w="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12,880</w:t>
            </w:r>
          </w:p>
        </w:tc>
        <w:tc>
          <w:tcPr>
            <w:tcW w:w="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11,293</w:t>
            </w:r>
          </w:p>
        </w:tc>
      </w:tr>
      <w:tr>
        <w:trPr>
          <w:trHeight w:val="281"/>
        </w:trPr>
        <w:tc>
          <w:tcPr>
            <w:tcW w:w="4420" w:type="dxa"/>
            <w:vAlign w:val="bottom"/>
          </w:tcPr>
          <w:p>
            <w:pPr>
              <w:ind w:left="220"/>
              <w:spacing w:after="0"/>
              <w:rPr>
                <w:sz w:val="20"/>
                <w:szCs w:val="20"/>
                <w:color w:val="auto"/>
              </w:rPr>
            </w:pPr>
            <w:r>
              <w:rPr>
                <w:rFonts w:ascii="Arial" w:cs="Arial" w:eastAsia="Arial" w:hAnsi="Arial"/>
                <w:sz w:val="17"/>
                <w:szCs w:val="17"/>
                <w:color w:val="3A4967"/>
              </w:rPr>
              <w:t>Unvested participating shares</w:t>
            </w:r>
          </w:p>
        </w:tc>
        <w:tc>
          <w:tcPr>
            <w:tcW w:w="17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140</w:t>
            </w:r>
          </w:p>
        </w:tc>
        <w:tc>
          <w:tcPr>
            <w:tcW w:w="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154</w:t>
            </w:r>
          </w:p>
        </w:tc>
        <w:tc>
          <w:tcPr>
            <w:tcW w:w="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158</w:t>
            </w:r>
          </w:p>
        </w:tc>
      </w:tr>
      <w:tr>
        <w:trPr>
          <w:trHeight w:val="35"/>
        </w:trPr>
        <w:tc>
          <w:tcPr>
            <w:tcW w:w="4420" w:type="dxa"/>
            <w:vAlign w:val="bottom"/>
            <w:tcBorders>
              <w:bottom w:val="single" w:sz="8" w:color="3A4967"/>
            </w:tcBorders>
          </w:tcPr>
          <w:p>
            <w:pPr>
              <w:spacing w:after="0"/>
              <w:rPr>
                <w:sz w:val="3"/>
                <w:szCs w:val="3"/>
                <w:color w:val="auto"/>
              </w:rPr>
            </w:pPr>
          </w:p>
        </w:tc>
        <w:tc>
          <w:tcPr>
            <w:tcW w:w="176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r>
      <w:tr>
        <w:trPr>
          <w:trHeight w:val="226"/>
        </w:trPr>
        <w:tc>
          <w:tcPr>
            <w:tcW w:w="4420" w:type="dxa"/>
            <w:vAlign w:val="bottom"/>
          </w:tcPr>
          <w:p>
            <w:pPr>
              <w:spacing w:after="0"/>
              <w:rPr>
                <w:sz w:val="19"/>
                <w:szCs w:val="19"/>
                <w:color w:val="auto"/>
              </w:rPr>
            </w:pPr>
          </w:p>
        </w:tc>
        <w:tc>
          <w:tcPr>
            <w:tcW w:w="1760" w:type="dxa"/>
            <w:vAlign w:val="bottom"/>
          </w:tcPr>
          <w:p>
            <w:pPr>
              <w:jc w:val="right"/>
              <w:ind w:right="56"/>
              <w:spacing w:after="0"/>
              <w:rPr>
                <w:sz w:val="20"/>
                <w:szCs w:val="20"/>
                <w:color w:val="auto"/>
              </w:rPr>
            </w:pPr>
            <w:r>
              <w:rPr>
                <w:rFonts w:ascii="Arial" w:cs="Arial" w:eastAsia="Arial" w:hAnsi="Arial"/>
                <w:sz w:val="17"/>
                <w:szCs w:val="17"/>
                <w:color w:val="3A4967"/>
              </w:rPr>
              <w:t>$</w:t>
            </w:r>
          </w:p>
        </w:tc>
        <w:tc>
          <w:tcPr>
            <w:tcW w:w="740" w:type="dxa"/>
            <w:vAlign w:val="bottom"/>
          </w:tcPr>
          <w:p>
            <w:pPr>
              <w:jc w:val="right"/>
              <w:spacing w:after="0"/>
              <w:rPr>
                <w:sz w:val="20"/>
                <w:szCs w:val="20"/>
                <w:color w:val="auto"/>
              </w:rPr>
            </w:pPr>
            <w:r>
              <w:rPr>
                <w:rFonts w:ascii="Arial" w:cs="Arial" w:eastAsia="Arial" w:hAnsi="Arial"/>
                <w:sz w:val="17"/>
                <w:szCs w:val="17"/>
                <w:color w:val="3A4967"/>
              </w:rPr>
              <w:t>59,695</w:t>
            </w:r>
          </w:p>
        </w:tc>
        <w:tc>
          <w:tcPr>
            <w:tcW w:w="880" w:type="dxa"/>
            <w:vAlign w:val="bottom"/>
          </w:tcPr>
          <w:p>
            <w:pPr>
              <w:jc w:val="right"/>
              <w:ind w:right="76"/>
              <w:spacing w:after="0"/>
              <w:rPr>
                <w:sz w:val="20"/>
                <w:szCs w:val="20"/>
                <w:color w:val="auto"/>
              </w:rPr>
            </w:pPr>
            <w:r>
              <w:rPr>
                <w:rFonts w:ascii="Arial" w:cs="Arial" w:eastAsia="Arial" w:hAnsi="Arial"/>
                <w:sz w:val="17"/>
                <w:szCs w:val="17"/>
                <w:color w:val="3A4967"/>
              </w:rPr>
              <w:t>$</w:t>
            </w:r>
          </w:p>
        </w:tc>
        <w:tc>
          <w:tcPr>
            <w:tcW w:w="740" w:type="dxa"/>
            <w:vAlign w:val="bottom"/>
          </w:tcPr>
          <w:p>
            <w:pPr>
              <w:jc w:val="right"/>
              <w:spacing w:after="0"/>
              <w:rPr>
                <w:sz w:val="20"/>
                <w:szCs w:val="20"/>
                <w:color w:val="auto"/>
              </w:rPr>
            </w:pPr>
            <w:r>
              <w:rPr>
                <w:rFonts w:ascii="Arial" w:cs="Arial" w:eastAsia="Arial" w:hAnsi="Arial"/>
                <w:sz w:val="17"/>
                <w:szCs w:val="17"/>
                <w:color w:val="3A4967"/>
              </w:rPr>
              <w:t>76,250</w:t>
            </w:r>
          </w:p>
        </w:tc>
        <w:tc>
          <w:tcPr>
            <w:tcW w:w="880" w:type="dxa"/>
            <w:vAlign w:val="bottom"/>
          </w:tcPr>
          <w:p>
            <w:pPr>
              <w:jc w:val="right"/>
              <w:ind w:right="56"/>
              <w:spacing w:after="0"/>
              <w:rPr>
                <w:sz w:val="20"/>
                <w:szCs w:val="20"/>
                <w:color w:val="auto"/>
              </w:rPr>
            </w:pPr>
            <w:r>
              <w:rPr>
                <w:rFonts w:ascii="Arial" w:cs="Arial" w:eastAsia="Arial" w:hAnsi="Arial"/>
                <w:sz w:val="17"/>
                <w:szCs w:val="17"/>
                <w:color w:val="3A4967"/>
              </w:rPr>
              <w:t>$</w:t>
            </w:r>
          </w:p>
        </w:tc>
        <w:tc>
          <w:tcPr>
            <w:tcW w:w="740" w:type="dxa"/>
            <w:vAlign w:val="bottom"/>
          </w:tcPr>
          <w:p>
            <w:pPr>
              <w:jc w:val="right"/>
              <w:spacing w:after="0"/>
              <w:rPr>
                <w:sz w:val="20"/>
                <w:szCs w:val="20"/>
                <w:color w:val="auto"/>
              </w:rPr>
            </w:pPr>
            <w:r>
              <w:rPr>
                <w:rFonts w:ascii="Arial" w:cs="Arial" w:eastAsia="Arial" w:hAnsi="Arial"/>
                <w:sz w:val="17"/>
                <w:szCs w:val="17"/>
                <w:color w:val="3A4967"/>
              </w:rPr>
              <w:t>67,263</w:t>
            </w:r>
          </w:p>
        </w:tc>
      </w:tr>
      <w:tr>
        <w:trPr>
          <w:trHeight w:val="281"/>
        </w:trPr>
        <w:tc>
          <w:tcPr>
            <w:tcW w:w="4420" w:type="dxa"/>
            <w:vAlign w:val="bottom"/>
          </w:tcPr>
          <w:p>
            <w:pPr>
              <w:ind w:left="80"/>
              <w:spacing w:after="0"/>
              <w:rPr>
                <w:sz w:val="20"/>
                <w:szCs w:val="20"/>
                <w:color w:val="auto"/>
              </w:rPr>
            </w:pPr>
            <w:r>
              <w:rPr>
                <w:rFonts w:ascii="Arial" w:cs="Arial" w:eastAsia="Arial" w:hAnsi="Arial"/>
                <w:sz w:val="17"/>
                <w:szCs w:val="17"/>
                <w:color w:val="3A4967"/>
              </w:rPr>
              <w:t>Weighted average number of shares for basic:</w:t>
            </w: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1"/>
        </w:trPr>
        <w:tc>
          <w:tcPr>
            <w:tcW w:w="4420" w:type="dxa"/>
            <w:vAlign w:val="bottom"/>
          </w:tcPr>
          <w:p>
            <w:pPr>
              <w:ind w:left="220"/>
              <w:spacing w:after="0"/>
              <w:rPr>
                <w:sz w:val="20"/>
                <w:szCs w:val="20"/>
                <w:color w:val="auto"/>
              </w:rPr>
            </w:pPr>
            <w:r>
              <w:rPr>
                <w:rFonts w:ascii="Arial" w:cs="Arial" w:eastAsia="Arial" w:hAnsi="Arial"/>
                <w:sz w:val="17"/>
                <w:szCs w:val="17"/>
                <w:color w:val="3A4967"/>
              </w:rPr>
              <w:t>Class A Common Stock</w:t>
            </w:r>
          </w:p>
        </w:tc>
        <w:tc>
          <w:tcPr>
            <w:tcW w:w="17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9,678</w:t>
            </w:r>
          </w:p>
        </w:tc>
        <w:tc>
          <w:tcPr>
            <w:tcW w:w="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10,150</w:t>
            </w:r>
          </w:p>
        </w:tc>
        <w:tc>
          <w:tcPr>
            <w:tcW w:w="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10,221</w:t>
            </w:r>
          </w:p>
        </w:tc>
      </w:tr>
      <w:tr>
        <w:trPr>
          <w:trHeight w:val="281"/>
        </w:trPr>
        <w:tc>
          <w:tcPr>
            <w:tcW w:w="4420" w:type="dxa"/>
            <w:vAlign w:val="bottom"/>
          </w:tcPr>
          <w:p>
            <w:pPr>
              <w:ind w:left="220"/>
              <w:spacing w:after="0"/>
              <w:rPr>
                <w:sz w:val="20"/>
                <w:szCs w:val="20"/>
                <w:color w:val="auto"/>
              </w:rPr>
            </w:pPr>
            <w:r>
              <w:rPr>
                <w:rFonts w:ascii="Arial" w:cs="Arial" w:eastAsia="Arial" w:hAnsi="Arial"/>
                <w:sz w:val="17"/>
                <w:szCs w:val="17"/>
                <w:color w:val="3A4967"/>
              </w:rPr>
              <w:t>Class B Common Stock</w:t>
            </w:r>
          </w:p>
        </w:tc>
        <w:tc>
          <w:tcPr>
            <w:tcW w:w="17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2,068</w:t>
            </w:r>
          </w:p>
        </w:tc>
        <w:tc>
          <w:tcPr>
            <w:tcW w:w="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2,068</w:t>
            </w:r>
          </w:p>
        </w:tc>
        <w:tc>
          <w:tcPr>
            <w:tcW w:w="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2,068</w:t>
            </w:r>
          </w:p>
        </w:tc>
      </w:tr>
      <w:tr>
        <w:trPr>
          <w:trHeight w:val="281"/>
        </w:trPr>
        <w:tc>
          <w:tcPr>
            <w:tcW w:w="4420" w:type="dxa"/>
            <w:vAlign w:val="bottom"/>
          </w:tcPr>
          <w:p>
            <w:pPr>
              <w:ind w:left="220"/>
              <w:spacing w:after="0"/>
              <w:rPr>
                <w:sz w:val="20"/>
                <w:szCs w:val="20"/>
                <w:color w:val="auto"/>
              </w:rPr>
            </w:pPr>
            <w:r>
              <w:rPr>
                <w:rFonts w:ascii="Arial" w:cs="Arial" w:eastAsia="Arial" w:hAnsi="Arial"/>
                <w:sz w:val="17"/>
                <w:szCs w:val="17"/>
                <w:color w:val="3A4967"/>
              </w:rPr>
              <w:t>Unvested participating shares</w:t>
            </w:r>
          </w:p>
        </w:tc>
        <w:tc>
          <w:tcPr>
            <w:tcW w:w="17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28</w:t>
            </w:r>
          </w:p>
        </w:tc>
        <w:tc>
          <w:tcPr>
            <w:tcW w:w="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25</w:t>
            </w:r>
          </w:p>
        </w:tc>
        <w:tc>
          <w:tcPr>
            <w:tcW w:w="8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28</w:t>
            </w:r>
          </w:p>
        </w:tc>
      </w:tr>
      <w:tr>
        <w:trPr>
          <w:trHeight w:val="35"/>
        </w:trPr>
        <w:tc>
          <w:tcPr>
            <w:tcW w:w="4420" w:type="dxa"/>
            <w:vAlign w:val="bottom"/>
            <w:tcBorders>
              <w:bottom w:val="single" w:sz="8" w:color="3A4967"/>
            </w:tcBorders>
          </w:tcPr>
          <w:p>
            <w:pPr>
              <w:spacing w:after="0"/>
              <w:rPr>
                <w:sz w:val="3"/>
                <w:szCs w:val="3"/>
                <w:color w:val="auto"/>
              </w:rPr>
            </w:pPr>
          </w:p>
        </w:tc>
        <w:tc>
          <w:tcPr>
            <w:tcW w:w="176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r>
      <w:tr>
        <w:trPr>
          <w:trHeight w:val="226"/>
        </w:trPr>
        <w:tc>
          <w:tcPr>
            <w:tcW w:w="4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11,774</w:t>
            </w:r>
          </w:p>
        </w:tc>
        <w:tc>
          <w:tcPr>
            <w:tcW w:w="8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12,243</w:t>
            </w:r>
          </w:p>
        </w:tc>
        <w:tc>
          <w:tcPr>
            <w:tcW w:w="8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A4967"/>
              </w:rPr>
              <w:t>12,317</w:t>
            </w:r>
          </w:p>
        </w:tc>
      </w:tr>
      <w:tr>
        <w:trPr>
          <w:trHeight w:val="281"/>
        </w:trPr>
        <w:tc>
          <w:tcPr>
            <w:tcW w:w="4420" w:type="dxa"/>
            <w:vAlign w:val="bottom"/>
          </w:tcPr>
          <w:p>
            <w:pPr>
              <w:ind w:left="80"/>
              <w:spacing w:after="0"/>
              <w:rPr>
                <w:sz w:val="20"/>
                <w:szCs w:val="20"/>
                <w:color w:val="auto"/>
              </w:rPr>
            </w:pPr>
            <w:r>
              <w:rPr>
                <w:rFonts w:ascii="Arial" w:cs="Arial" w:eastAsia="Arial" w:hAnsi="Arial"/>
                <w:sz w:val="17"/>
                <w:szCs w:val="17"/>
                <w:color w:val="3A4967"/>
              </w:rPr>
              <w:t>Net income per share for basic:</w:t>
            </w: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
        </w:trPr>
        <w:tc>
          <w:tcPr>
            <w:tcW w:w="4420" w:type="dxa"/>
            <w:vAlign w:val="bottom"/>
            <w:tcBorders>
              <w:bottom w:val="single" w:sz="8" w:color="3A4967"/>
            </w:tcBorders>
          </w:tcPr>
          <w:p>
            <w:pPr>
              <w:spacing w:after="0"/>
              <w:rPr>
                <w:sz w:val="3"/>
                <w:szCs w:val="3"/>
                <w:color w:val="auto"/>
              </w:rPr>
            </w:pPr>
          </w:p>
        </w:tc>
        <w:tc>
          <w:tcPr>
            <w:tcW w:w="176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c>
          <w:tcPr>
            <w:tcW w:w="880" w:type="dxa"/>
            <w:vAlign w:val="bottom"/>
            <w:tcBorders>
              <w:bottom w:val="single" w:sz="8" w:color="3A4967"/>
            </w:tcBorders>
          </w:tcPr>
          <w:p>
            <w:pPr>
              <w:spacing w:after="0"/>
              <w:rPr>
                <w:sz w:val="3"/>
                <w:szCs w:val="3"/>
                <w:color w:val="auto"/>
              </w:rPr>
            </w:pPr>
          </w:p>
        </w:tc>
        <w:tc>
          <w:tcPr>
            <w:tcW w:w="740" w:type="dxa"/>
            <w:vAlign w:val="bottom"/>
            <w:tcBorders>
              <w:bottom w:val="single" w:sz="8" w:color="3A4967"/>
            </w:tcBorders>
          </w:tcPr>
          <w:p>
            <w:pPr>
              <w:spacing w:after="0"/>
              <w:rPr>
                <w:sz w:val="3"/>
                <w:szCs w:val="3"/>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7"/>
                <w:szCs w:val="17"/>
                <w:b w:val="1"/>
                <w:bCs w:val="1"/>
                <w:color w:val="3A4967"/>
              </w:rPr>
              <w:t>CLASS A COMMON STOCK</w:t>
            </w:r>
          </w:p>
        </w:tc>
        <w:tc>
          <w:tcPr>
            <w:tcW w:w="1760" w:type="dxa"/>
            <w:vAlign w:val="bottom"/>
          </w:tcPr>
          <w:p>
            <w:pPr>
              <w:jc w:val="right"/>
              <w:ind w:right="56"/>
              <w:spacing w:after="0"/>
              <w:rPr>
                <w:sz w:val="20"/>
                <w:szCs w:val="20"/>
                <w:color w:val="auto"/>
              </w:rPr>
            </w:pPr>
            <w:r>
              <w:rPr>
                <w:rFonts w:ascii="Arial" w:cs="Arial" w:eastAsia="Arial" w:hAnsi="Arial"/>
                <w:sz w:val="17"/>
                <w:szCs w:val="17"/>
                <w:b w:val="1"/>
                <w:bCs w:val="1"/>
                <w:color w:val="3A4967"/>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3A4967"/>
              </w:rPr>
              <w:t>5.07</w:t>
            </w:r>
          </w:p>
        </w:tc>
        <w:tc>
          <w:tcPr>
            <w:tcW w:w="880" w:type="dxa"/>
            <w:vAlign w:val="bottom"/>
          </w:tcPr>
          <w:p>
            <w:pPr>
              <w:jc w:val="right"/>
              <w:ind w:right="76"/>
              <w:spacing w:after="0"/>
              <w:rPr>
                <w:sz w:val="20"/>
                <w:szCs w:val="20"/>
                <w:color w:val="auto"/>
              </w:rPr>
            </w:pPr>
            <w:r>
              <w:rPr>
                <w:rFonts w:ascii="Arial" w:cs="Arial" w:eastAsia="Arial" w:hAnsi="Arial"/>
                <w:sz w:val="17"/>
                <w:szCs w:val="17"/>
                <w:b w:val="1"/>
                <w:bCs w:val="1"/>
                <w:color w:val="3A4967"/>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3A4967"/>
              </w:rPr>
              <w:t>6.23</w:t>
            </w:r>
          </w:p>
        </w:tc>
        <w:tc>
          <w:tcPr>
            <w:tcW w:w="880" w:type="dxa"/>
            <w:vAlign w:val="bottom"/>
          </w:tcPr>
          <w:p>
            <w:pPr>
              <w:jc w:val="right"/>
              <w:ind w:right="56"/>
              <w:spacing w:after="0"/>
              <w:rPr>
                <w:sz w:val="20"/>
                <w:szCs w:val="20"/>
                <w:color w:val="auto"/>
              </w:rPr>
            </w:pPr>
            <w:r>
              <w:rPr>
                <w:rFonts w:ascii="Arial" w:cs="Arial" w:eastAsia="Arial" w:hAnsi="Arial"/>
                <w:sz w:val="17"/>
                <w:szCs w:val="17"/>
                <w:b w:val="1"/>
                <w:bCs w:val="1"/>
                <w:color w:val="3A4967"/>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3A4967"/>
              </w:rPr>
              <w:t>5.46</w:t>
            </w:r>
          </w:p>
        </w:tc>
      </w:tr>
      <w:tr>
        <w:trPr>
          <w:trHeight w:val="31"/>
        </w:trPr>
        <w:tc>
          <w:tcPr>
            <w:tcW w:w="4420" w:type="dxa"/>
            <w:vAlign w:val="bottom"/>
            <w:tcBorders>
              <w:bottom w:val="single" w:sz="8" w:color="3A4967"/>
            </w:tcBorders>
          </w:tcPr>
          <w:p>
            <w:pPr>
              <w:spacing w:after="0"/>
              <w:rPr>
                <w:sz w:val="2"/>
                <w:szCs w:val="2"/>
                <w:color w:val="auto"/>
              </w:rPr>
            </w:pPr>
          </w:p>
        </w:tc>
        <w:tc>
          <w:tcPr>
            <w:tcW w:w="1760" w:type="dxa"/>
            <w:vAlign w:val="bottom"/>
            <w:tcBorders>
              <w:bottom w:val="single" w:sz="8" w:color="3A4967"/>
            </w:tcBorders>
          </w:tcPr>
          <w:p>
            <w:pPr>
              <w:spacing w:after="0"/>
              <w:rPr>
                <w:sz w:val="2"/>
                <w:szCs w:val="2"/>
                <w:color w:val="auto"/>
              </w:rPr>
            </w:pPr>
          </w:p>
        </w:tc>
        <w:tc>
          <w:tcPr>
            <w:tcW w:w="740" w:type="dxa"/>
            <w:vAlign w:val="bottom"/>
            <w:tcBorders>
              <w:bottom w:val="single" w:sz="8" w:color="3A4967"/>
            </w:tcBorders>
          </w:tcPr>
          <w:p>
            <w:pPr>
              <w:spacing w:after="0"/>
              <w:rPr>
                <w:sz w:val="2"/>
                <w:szCs w:val="2"/>
                <w:color w:val="auto"/>
              </w:rPr>
            </w:pPr>
          </w:p>
        </w:tc>
        <w:tc>
          <w:tcPr>
            <w:tcW w:w="880" w:type="dxa"/>
            <w:vAlign w:val="bottom"/>
            <w:tcBorders>
              <w:bottom w:val="single" w:sz="8" w:color="3A4967"/>
            </w:tcBorders>
          </w:tcPr>
          <w:p>
            <w:pPr>
              <w:spacing w:after="0"/>
              <w:rPr>
                <w:sz w:val="2"/>
                <w:szCs w:val="2"/>
                <w:color w:val="auto"/>
              </w:rPr>
            </w:pPr>
          </w:p>
        </w:tc>
        <w:tc>
          <w:tcPr>
            <w:tcW w:w="740" w:type="dxa"/>
            <w:vAlign w:val="bottom"/>
            <w:tcBorders>
              <w:bottom w:val="single" w:sz="8" w:color="3A4967"/>
            </w:tcBorders>
          </w:tcPr>
          <w:p>
            <w:pPr>
              <w:spacing w:after="0"/>
              <w:rPr>
                <w:sz w:val="2"/>
                <w:szCs w:val="2"/>
                <w:color w:val="auto"/>
              </w:rPr>
            </w:pPr>
          </w:p>
        </w:tc>
        <w:tc>
          <w:tcPr>
            <w:tcW w:w="880" w:type="dxa"/>
            <w:vAlign w:val="bottom"/>
            <w:tcBorders>
              <w:bottom w:val="single" w:sz="8" w:color="3A4967"/>
            </w:tcBorders>
          </w:tcPr>
          <w:p>
            <w:pPr>
              <w:spacing w:after="0"/>
              <w:rPr>
                <w:sz w:val="2"/>
                <w:szCs w:val="2"/>
                <w:color w:val="auto"/>
              </w:rPr>
            </w:pPr>
          </w:p>
        </w:tc>
        <w:tc>
          <w:tcPr>
            <w:tcW w:w="740" w:type="dxa"/>
            <w:vAlign w:val="bottom"/>
            <w:tcBorders>
              <w:bottom w:val="single" w:sz="8" w:color="3A4967"/>
            </w:tcBorders>
          </w:tcPr>
          <w:p>
            <w:pPr>
              <w:spacing w:after="0"/>
              <w:rPr>
                <w:sz w:val="2"/>
                <w:szCs w:val="2"/>
                <w:color w:val="auto"/>
              </w:rPr>
            </w:pPr>
          </w:p>
        </w:tc>
      </w:tr>
      <w:tr>
        <w:trPr>
          <w:trHeight w:val="274"/>
        </w:trPr>
        <w:tc>
          <w:tcPr>
            <w:tcW w:w="4420" w:type="dxa"/>
            <w:vAlign w:val="bottom"/>
            <w:tcBorders>
              <w:bottom w:val="single" w:sz="8" w:color="3A4967"/>
            </w:tcBorders>
          </w:tcPr>
          <w:p>
            <w:pPr>
              <w:ind w:left="220"/>
              <w:spacing w:after="0"/>
              <w:rPr>
                <w:sz w:val="20"/>
                <w:szCs w:val="20"/>
                <w:color w:val="auto"/>
              </w:rPr>
            </w:pPr>
            <w:r>
              <w:rPr>
                <w:rFonts w:ascii="Arial" w:cs="Arial" w:eastAsia="Arial" w:hAnsi="Arial"/>
                <w:sz w:val="17"/>
                <w:szCs w:val="17"/>
                <w:b w:val="1"/>
                <w:bCs w:val="1"/>
                <w:color w:val="3A4967"/>
              </w:rPr>
              <w:t>CLASS B COMMON STOCK</w:t>
            </w:r>
          </w:p>
        </w:tc>
        <w:tc>
          <w:tcPr>
            <w:tcW w:w="1760" w:type="dxa"/>
            <w:vAlign w:val="bottom"/>
            <w:tcBorders>
              <w:bottom w:val="single" w:sz="8" w:color="3A4967"/>
            </w:tcBorders>
          </w:tcPr>
          <w:p>
            <w:pPr>
              <w:jc w:val="right"/>
              <w:ind w:right="56"/>
              <w:spacing w:after="0"/>
              <w:rPr>
                <w:sz w:val="20"/>
                <w:szCs w:val="20"/>
                <w:color w:val="auto"/>
              </w:rPr>
            </w:pPr>
            <w:r>
              <w:rPr>
                <w:rFonts w:ascii="Arial" w:cs="Arial" w:eastAsia="Arial" w:hAnsi="Arial"/>
                <w:sz w:val="17"/>
                <w:szCs w:val="17"/>
                <w:b w:val="1"/>
                <w:bCs w:val="1"/>
                <w:color w:val="3A4967"/>
              </w:rPr>
              <w:t>$</w:t>
            </w:r>
          </w:p>
        </w:tc>
        <w:tc>
          <w:tcPr>
            <w:tcW w:w="740" w:type="dxa"/>
            <w:vAlign w:val="bottom"/>
            <w:tcBorders>
              <w:bottom w:val="single" w:sz="8" w:color="3A4967"/>
            </w:tcBorders>
          </w:tcPr>
          <w:p>
            <w:pPr>
              <w:jc w:val="right"/>
              <w:spacing w:after="0"/>
              <w:rPr>
                <w:sz w:val="20"/>
                <w:szCs w:val="20"/>
                <w:color w:val="auto"/>
              </w:rPr>
            </w:pPr>
            <w:r>
              <w:rPr>
                <w:rFonts w:ascii="Arial" w:cs="Arial" w:eastAsia="Arial" w:hAnsi="Arial"/>
                <w:sz w:val="18"/>
                <w:szCs w:val="18"/>
                <w:b w:val="1"/>
                <w:bCs w:val="1"/>
                <w:color w:val="3A4967"/>
              </w:rPr>
              <w:t>5.07</w:t>
            </w:r>
          </w:p>
        </w:tc>
        <w:tc>
          <w:tcPr>
            <w:tcW w:w="880" w:type="dxa"/>
            <w:vAlign w:val="bottom"/>
            <w:tcBorders>
              <w:bottom w:val="single" w:sz="8" w:color="3A4967"/>
            </w:tcBorders>
          </w:tcPr>
          <w:p>
            <w:pPr>
              <w:jc w:val="right"/>
              <w:ind w:right="76"/>
              <w:spacing w:after="0"/>
              <w:rPr>
                <w:sz w:val="20"/>
                <w:szCs w:val="20"/>
                <w:color w:val="auto"/>
              </w:rPr>
            </w:pPr>
            <w:r>
              <w:rPr>
                <w:rFonts w:ascii="Arial" w:cs="Arial" w:eastAsia="Arial" w:hAnsi="Arial"/>
                <w:sz w:val="17"/>
                <w:szCs w:val="17"/>
                <w:b w:val="1"/>
                <w:bCs w:val="1"/>
                <w:color w:val="3A4967"/>
              </w:rPr>
              <w:t>$</w:t>
            </w:r>
          </w:p>
        </w:tc>
        <w:tc>
          <w:tcPr>
            <w:tcW w:w="740" w:type="dxa"/>
            <w:vAlign w:val="bottom"/>
            <w:tcBorders>
              <w:bottom w:val="single" w:sz="8" w:color="3A4967"/>
            </w:tcBorders>
          </w:tcPr>
          <w:p>
            <w:pPr>
              <w:jc w:val="right"/>
              <w:spacing w:after="0"/>
              <w:rPr>
                <w:sz w:val="20"/>
                <w:szCs w:val="20"/>
                <w:color w:val="auto"/>
              </w:rPr>
            </w:pPr>
            <w:r>
              <w:rPr>
                <w:rFonts w:ascii="Arial" w:cs="Arial" w:eastAsia="Arial" w:hAnsi="Arial"/>
                <w:sz w:val="18"/>
                <w:szCs w:val="18"/>
                <w:b w:val="1"/>
                <w:bCs w:val="1"/>
                <w:color w:val="3A4967"/>
              </w:rPr>
              <w:t>6.23</w:t>
            </w:r>
          </w:p>
        </w:tc>
        <w:tc>
          <w:tcPr>
            <w:tcW w:w="880" w:type="dxa"/>
            <w:vAlign w:val="bottom"/>
            <w:tcBorders>
              <w:bottom w:val="single" w:sz="8" w:color="3A4967"/>
            </w:tcBorders>
          </w:tcPr>
          <w:p>
            <w:pPr>
              <w:jc w:val="right"/>
              <w:ind w:right="56"/>
              <w:spacing w:after="0"/>
              <w:rPr>
                <w:sz w:val="20"/>
                <w:szCs w:val="20"/>
                <w:color w:val="auto"/>
              </w:rPr>
            </w:pPr>
            <w:r>
              <w:rPr>
                <w:rFonts w:ascii="Arial" w:cs="Arial" w:eastAsia="Arial" w:hAnsi="Arial"/>
                <w:sz w:val="17"/>
                <w:szCs w:val="17"/>
                <w:b w:val="1"/>
                <w:bCs w:val="1"/>
                <w:color w:val="3A4967"/>
              </w:rPr>
              <w:t>$</w:t>
            </w:r>
          </w:p>
        </w:tc>
        <w:tc>
          <w:tcPr>
            <w:tcW w:w="740" w:type="dxa"/>
            <w:vAlign w:val="bottom"/>
            <w:tcBorders>
              <w:bottom w:val="single" w:sz="8" w:color="3A4967"/>
            </w:tcBorders>
          </w:tcPr>
          <w:p>
            <w:pPr>
              <w:jc w:val="right"/>
              <w:spacing w:after="0"/>
              <w:rPr>
                <w:sz w:val="20"/>
                <w:szCs w:val="20"/>
                <w:color w:val="auto"/>
              </w:rPr>
            </w:pPr>
            <w:r>
              <w:rPr>
                <w:rFonts w:ascii="Arial" w:cs="Arial" w:eastAsia="Arial" w:hAnsi="Arial"/>
                <w:sz w:val="18"/>
                <w:szCs w:val="18"/>
                <w:b w:val="1"/>
                <w:bCs w:val="1"/>
                <w:color w:val="3A4967"/>
              </w:rPr>
              <w:t>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315595</wp:posOffset>
            </wp:positionV>
            <wp:extent cx="2584450" cy="19177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584450" cy="19177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-2568575</wp:posOffset>
            </wp:positionV>
            <wp:extent cx="6562725" cy="242443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562725" cy="242443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67" w:name="page68"/>
    <w:bookmarkEnd w:id="67"/>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8 </w:t>
      </w:r>
      <w:r>
        <w:rPr>
          <w:rFonts w:ascii="Arial" w:cs="Arial" w:eastAsia="Arial" w:hAnsi="Arial"/>
          <w:sz w:val="14"/>
          <w:szCs w:val="14"/>
          <w:color w:val="6D7890"/>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Net Income per Common Share – Diluted</w:t>
      </w:r>
    </w:p>
    <w:p>
      <w:pPr>
        <w:spacing w:after="0" w:line="118" w:lineRule="exact"/>
        <w:rPr>
          <w:sz w:val="20"/>
          <w:szCs w:val="20"/>
          <w:color w:val="auto"/>
        </w:rPr>
      </w:pPr>
    </w:p>
    <w:p>
      <w:pPr>
        <w:ind w:left="400" w:right="20"/>
        <w:spacing w:after="0" w:line="267" w:lineRule="auto"/>
        <w:rPr>
          <w:sz w:val="20"/>
          <w:szCs w:val="20"/>
          <w:color w:val="auto"/>
        </w:rPr>
      </w:pPr>
      <w:r>
        <w:rPr>
          <w:rFonts w:ascii="Arial" w:cs="Arial" w:eastAsia="Arial" w:hAnsi="Arial"/>
          <w:sz w:val="18"/>
          <w:szCs w:val="18"/>
          <w:color w:val="3A4967"/>
        </w:rPr>
        <w:t>The Company calculates diluted net income per share for common stock using the more dilutive of (1) the treasury stock method, or (2) the two-class method, which assumes the participating securities are not exercised or converted.</w:t>
      </w:r>
    </w:p>
    <w:p>
      <w:pPr>
        <w:spacing w:after="0" w:line="85" w:lineRule="exact"/>
        <w:rPr>
          <w:sz w:val="20"/>
          <w:szCs w:val="20"/>
          <w:color w:val="auto"/>
        </w:rPr>
      </w:pPr>
    </w:p>
    <w:p>
      <w:pPr>
        <w:ind w:left="400"/>
        <w:spacing w:after="0" w:line="267" w:lineRule="auto"/>
        <w:rPr>
          <w:sz w:val="20"/>
          <w:szCs w:val="20"/>
          <w:color w:val="auto"/>
        </w:rPr>
      </w:pPr>
      <w:r>
        <w:rPr>
          <w:rFonts w:ascii="Arial" w:cs="Arial" w:eastAsia="Arial" w:hAnsi="Arial"/>
          <w:sz w:val="18"/>
          <w:szCs w:val="18"/>
          <w:color w:val="3A4967"/>
        </w:rPr>
        <w:t>The following tables set forth the computation of diluted net income per share, assuming the conversion of all Class B Common Stock into Class A Common Stock:</w:t>
      </w:r>
    </w:p>
    <w:p>
      <w:pPr>
        <w:spacing w:after="0" w:line="161"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3A4967"/>
        </w:rPr>
        <w:t>Fiscal year ended December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3663950</wp:posOffset>
            </wp:positionH>
            <wp:positionV relativeFrom="paragraph">
              <wp:posOffset>31750</wp:posOffset>
            </wp:positionV>
            <wp:extent cx="3035300"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035300" cy="7620"/>
                    </a:xfrm>
                    <a:prstGeom prst="rect">
                      <a:avLst/>
                    </a:prstGeom>
                    <a:noFill/>
                  </pic:spPr>
                </pic:pic>
              </a:graphicData>
            </a:graphic>
          </wp:anchor>
        </w:drawing>
      </w:r>
    </w:p>
    <w:p>
      <w:pPr>
        <w:spacing w:after="0" w:line="72" w:lineRule="exact"/>
        <w:rPr>
          <w:sz w:val="20"/>
          <w:szCs w:val="20"/>
          <w:color w:val="auto"/>
        </w:rPr>
      </w:pPr>
    </w:p>
    <w:tbl>
      <w:tblPr>
        <w:tblLayout w:type="fixed"/>
        <w:tblInd w:w="40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Earnings to</w:t>
            </w: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3A4967"/>
              </w:rPr>
              <w:t>Common</w:t>
            </w: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5200" w:type="dxa"/>
            <w:vAlign w:val="bottom"/>
          </w:tcPr>
          <w:p>
            <w:pPr>
              <w:ind w:left="80"/>
              <w:spacing w:after="0"/>
              <w:rPr>
                <w:sz w:val="20"/>
                <w:szCs w:val="20"/>
                <w:color w:val="auto"/>
              </w:rPr>
            </w:pPr>
            <w:r>
              <w:rPr>
                <w:rFonts w:ascii="Arial" w:cs="Arial" w:eastAsia="Arial" w:hAnsi="Arial"/>
                <w:sz w:val="13"/>
                <w:szCs w:val="13"/>
                <w:i w:val="1"/>
                <w:iCs w:val="1"/>
                <w:color w:val="3A4967"/>
              </w:rPr>
              <w:t>(in thousands, except per share data)</w:t>
            </w:r>
          </w:p>
        </w:tc>
        <w:tc>
          <w:tcPr>
            <w:tcW w:w="10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Shareholders</w:t>
            </w:r>
          </w:p>
        </w:tc>
        <w:tc>
          <w:tcPr>
            <w:tcW w:w="200" w:type="dxa"/>
            <w:vAlign w:val="bottom"/>
          </w:tcPr>
          <w:p>
            <w:pPr>
              <w:spacing w:after="0"/>
              <w:rPr>
                <w:sz w:val="17"/>
                <w:szCs w:val="17"/>
                <w:color w:val="auto"/>
              </w:rPr>
            </w:pPr>
          </w:p>
        </w:tc>
        <w:tc>
          <w:tcPr>
            <w:tcW w:w="1960" w:type="dxa"/>
            <w:vAlign w:val="bottom"/>
          </w:tcPr>
          <w:p>
            <w:pPr>
              <w:jc w:val="right"/>
              <w:ind w:right="536"/>
              <w:spacing w:after="0"/>
              <w:rPr>
                <w:sz w:val="20"/>
                <w:szCs w:val="20"/>
                <w:color w:val="auto"/>
              </w:rPr>
            </w:pPr>
            <w:r>
              <w:rPr>
                <w:rFonts w:ascii="Arial" w:cs="Arial" w:eastAsia="Arial" w:hAnsi="Arial"/>
                <w:sz w:val="16"/>
                <w:szCs w:val="16"/>
                <w:b w:val="1"/>
                <w:bCs w:val="1"/>
                <w:color w:val="3A4967"/>
              </w:rPr>
              <w:t>Common Shares</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3A4967"/>
              </w:rPr>
              <w:t>EPS</w:t>
            </w:r>
          </w:p>
        </w:tc>
        <w:tc>
          <w:tcPr>
            <w:tcW w:w="20" w:type="dxa"/>
            <w:vAlign w:val="bottom"/>
          </w:tcPr>
          <w:p>
            <w:pPr>
              <w:spacing w:after="0"/>
              <w:rPr>
                <w:sz w:val="17"/>
                <w:szCs w:val="17"/>
                <w:color w:val="auto"/>
              </w:rPr>
            </w:pPr>
          </w:p>
        </w:tc>
      </w:tr>
      <w:tr>
        <w:trPr>
          <w:trHeight w:val="36"/>
        </w:trPr>
        <w:tc>
          <w:tcPr>
            <w:tcW w:w="520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200" w:type="dxa"/>
            <w:vAlign w:val="bottom"/>
            <w:tcBorders>
              <w:bottom w:val="single" w:sz="8" w:color="3A4967"/>
            </w:tcBorders>
          </w:tcPr>
          <w:p>
            <w:pPr>
              <w:spacing w:after="0"/>
              <w:rPr>
                <w:sz w:val="3"/>
                <w:szCs w:val="3"/>
                <w:color w:val="auto"/>
              </w:rPr>
            </w:pPr>
          </w:p>
        </w:tc>
        <w:tc>
          <w:tcPr>
            <w:tcW w:w="196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20" w:type="dxa"/>
            <w:vAlign w:val="bottom"/>
          </w:tcPr>
          <w:p>
            <w:pPr>
              <w:spacing w:after="0"/>
              <w:rPr>
                <w:sz w:val="3"/>
                <w:szCs w:val="3"/>
                <w:color w:val="auto"/>
              </w:rPr>
            </w:pPr>
          </w:p>
        </w:tc>
      </w:tr>
      <w:tr>
        <w:trPr>
          <w:trHeight w:val="227"/>
        </w:trPr>
        <w:tc>
          <w:tcPr>
            <w:tcW w:w="5200" w:type="dxa"/>
            <w:vAlign w:val="bottom"/>
          </w:tcPr>
          <w:p>
            <w:pPr>
              <w:ind w:left="80"/>
              <w:spacing w:after="0"/>
              <w:rPr>
                <w:sz w:val="20"/>
                <w:szCs w:val="20"/>
                <w:color w:val="auto"/>
              </w:rPr>
            </w:pPr>
            <w:r>
              <w:rPr>
                <w:rFonts w:ascii="Arial" w:cs="Arial" w:eastAsia="Arial" w:hAnsi="Arial"/>
                <w:sz w:val="17"/>
                <w:szCs w:val="17"/>
                <w:color w:val="3A4967"/>
              </w:rPr>
              <w:t>As reported - basic</w:t>
            </w:r>
          </w:p>
        </w:tc>
        <w:tc>
          <w:tcPr>
            <w:tcW w:w="900" w:type="dxa"/>
            <w:vAlign w:val="bottom"/>
            <w:gridSpan w:val="2"/>
          </w:tcPr>
          <w:p>
            <w:pPr>
              <w:jc w:val="right"/>
              <w:spacing w:after="0"/>
              <w:rPr>
                <w:sz w:val="20"/>
                <w:szCs w:val="20"/>
                <w:color w:val="auto"/>
              </w:rPr>
            </w:pPr>
            <w:r>
              <w:rPr>
                <w:rFonts w:ascii="Arial" w:cs="Arial" w:eastAsia="Arial" w:hAnsi="Arial"/>
                <w:sz w:val="17"/>
                <w:szCs w:val="17"/>
                <w:color w:val="3A4967"/>
              </w:rPr>
              <w:t>$</w:t>
            </w:r>
          </w:p>
        </w:tc>
        <w:tc>
          <w:tcPr>
            <w:tcW w:w="840" w:type="dxa"/>
            <w:vAlign w:val="bottom"/>
          </w:tcPr>
          <w:p>
            <w:pPr>
              <w:jc w:val="right"/>
              <w:spacing w:after="0"/>
              <w:rPr>
                <w:sz w:val="20"/>
                <w:szCs w:val="20"/>
                <w:color w:val="auto"/>
              </w:rPr>
            </w:pPr>
            <w:r>
              <w:rPr>
                <w:rFonts w:ascii="Arial" w:cs="Arial" w:eastAsia="Arial" w:hAnsi="Arial"/>
                <w:sz w:val="17"/>
                <w:szCs w:val="17"/>
                <w:color w:val="3A4967"/>
              </w:rPr>
              <w:t>49,070</w:t>
            </w:r>
          </w:p>
        </w:tc>
        <w:tc>
          <w:tcPr>
            <w:tcW w:w="200" w:type="dxa"/>
            <w:vAlign w:val="bottom"/>
          </w:tcPr>
          <w:p>
            <w:pPr>
              <w:spacing w:after="0"/>
              <w:rPr>
                <w:sz w:val="19"/>
                <w:szCs w:val="19"/>
                <w:color w:val="auto"/>
              </w:rPr>
            </w:pPr>
          </w:p>
        </w:tc>
        <w:tc>
          <w:tcPr>
            <w:tcW w:w="1960" w:type="dxa"/>
            <w:vAlign w:val="bottom"/>
          </w:tcPr>
          <w:p>
            <w:pPr>
              <w:jc w:val="right"/>
              <w:ind w:right="536"/>
              <w:spacing w:after="0"/>
              <w:rPr>
                <w:sz w:val="20"/>
                <w:szCs w:val="20"/>
                <w:color w:val="auto"/>
              </w:rPr>
            </w:pPr>
            <w:r>
              <w:rPr>
                <w:rFonts w:ascii="Arial" w:cs="Arial" w:eastAsia="Arial" w:hAnsi="Arial"/>
                <w:sz w:val="17"/>
                <w:szCs w:val="17"/>
                <w:color w:val="3A4967"/>
              </w:rPr>
              <w:t>9,678</w:t>
            </w:r>
          </w:p>
        </w:tc>
        <w:tc>
          <w:tcPr>
            <w:tcW w:w="380" w:type="dxa"/>
            <w:vAlign w:val="bottom"/>
          </w:tcPr>
          <w:p>
            <w:pPr>
              <w:jc w:val="right"/>
              <w:ind w:right="155"/>
              <w:spacing w:after="0"/>
              <w:rPr>
                <w:sz w:val="20"/>
                <w:szCs w:val="20"/>
                <w:color w:val="auto"/>
              </w:rPr>
            </w:pPr>
            <w:r>
              <w:rPr>
                <w:rFonts w:ascii="Arial" w:cs="Arial" w:eastAsia="Arial" w:hAnsi="Arial"/>
                <w:sz w:val="17"/>
                <w:szCs w:val="17"/>
                <w:color w:val="3A4967"/>
              </w:rPr>
              <w:t>$</w:t>
            </w:r>
          </w:p>
        </w:tc>
        <w:tc>
          <w:tcPr>
            <w:tcW w:w="680" w:type="dxa"/>
            <w:vAlign w:val="bottom"/>
          </w:tcPr>
          <w:p>
            <w:pPr>
              <w:jc w:val="right"/>
              <w:spacing w:after="0"/>
              <w:rPr>
                <w:sz w:val="20"/>
                <w:szCs w:val="20"/>
                <w:color w:val="auto"/>
              </w:rPr>
            </w:pPr>
            <w:r>
              <w:rPr>
                <w:rFonts w:ascii="Arial" w:cs="Arial" w:eastAsia="Arial" w:hAnsi="Arial"/>
                <w:sz w:val="17"/>
                <w:szCs w:val="17"/>
                <w:color w:val="3A4967"/>
              </w:rPr>
              <w:t>5.07</w:t>
            </w:r>
          </w:p>
        </w:tc>
        <w:tc>
          <w:tcPr>
            <w:tcW w:w="20" w:type="dxa"/>
            <w:vAlign w:val="bottom"/>
          </w:tcPr>
          <w:p>
            <w:pPr>
              <w:spacing w:after="0"/>
              <w:rPr>
                <w:sz w:val="19"/>
                <w:szCs w:val="19"/>
                <w:color w:val="auto"/>
              </w:rPr>
            </w:pPr>
          </w:p>
        </w:tc>
      </w:tr>
      <w:tr>
        <w:trPr>
          <w:trHeight w:val="281"/>
        </w:trPr>
        <w:tc>
          <w:tcPr>
            <w:tcW w:w="5200" w:type="dxa"/>
            <w:vAlign w:val="bottom"/>
          </w:tcPr>
          <w:p>
            <w:pPr>
              <w:ind w:left="220"/>
              <w:spacing w:after="0"/>
              <w:rPr>
                <w:sz w:val="20"/>
                <w:szCs w:val="20"/>
                <w:color w:val="auto"/>
              </w:rPr>
            </w:pPr>
            <w:r>
              <w:rPr>
                <w:rFonts w:ascii="Arial" w:cs="Arial" w:eastAsia="Arial" w:hAnsi="Arial"/>
                <w:sz w:val="17"/>
                <w:szCs w:val="17"/>
                <w:color w:val="3A4967"/>
              </w:rPr>
              <w:t>Add: effect of dilutive potential common shares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5200" w:type="dxa"/>
            <w:vAlign w:val="bottom"/>
          </w:tcPr>
          <w:p>
            <w:pPr>
              <w:ind w:left="220"/>
              <w:spacing w:after="0"/>
              <w:rPr>
                <w:sz w:val="20"/>
                <w:szCs w:val="20"/>
                <w:color w:val="auto"/>
              </w:rPr>
            </w:pPr>
            <w:r>
              <w:rPr>
                <w:rFonts w:ascii="Arial" w:cs="Arial" w:eastAsia="Arial" w:hAnsi="Arial"/>
                <w:sz w:val="17"/>
                <w:szCs w:val="17"/>
                <w:color w:val="3A4967"/>
              </w:rPr>
              <w:t>Share-based awards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w:t>
            </w:r>
          </w:p>
        </w:tc>
        <w:tc>
          <w:tcPr>
            <w:tcW w:w="200" w:type="dxa"/>
            <w:vAlign w:val="bottom"/>
          </w:tcPr>
          <w:p>
            <w:pPr>
              <w:spacing w:after="0"/>
              <w:rPr>
                <w:sz w:val="24"/>
                <w:szCs w:val="24"/>
                <w:color w:val="auto"/>
              </w:rPr>
            </w:pPr>
          </w:p>
        </w:tc>
        <w:tc>
          <w:tcPr>
            <w:tcW w:w="1960" w:type="dxa"/>
            <w:vAlign w:val="bottom"/>
          </w:tcPr>
          <w:p>
            <w:pPr>
              <w:jc w:val="right"/>
              <w:ind w:right="536"/>
              <w:spacing w:after="0"/>
              <w:rPr>
                <w:sz w:val="20"/>
                <w:szCs w:val="20"/>
                <w:color w:val="auto"/>
              </w:rPr>
            </w:pPr>
            <w:r>
              <w:rPr>
                <w:rFonts w:ascii="Arial" w:cs="Arial" w:eastAsia="Arial" w:hAnsi="Arial"/>
                <w:sz w:val="17"/>
                <w:szCs w:val="17"/>
                <w:color w:val="3A4967"/>
              </w:rPr>
              <w:t>20</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5200" w:type="dxa"/>
            <w:vAlign w:val="bottom"/>
          </w:tcPr>
          <w:p>
            <w:pPr>
              <w:ind w:left="220"/>
              <w:spacing w:after="0"/>
              <w:rPr>
                <w:sz w:val="20"/>
                <w:szCs w:val="20"/>
                <w:color w:val="auto"/>
              </w:rPr>
            </w:pPr>
            <w:r>
              <w:rPr>
                <w:rFonts w:ascii="Arial" w:cs="Arial" w:eastAsia="Arial" w:hAnsi="Arial"/>
                <w:sz w:val="17"/>
                <w:szCs w:val="17"/>
                <w:color w:val="3A4967"/>
              </w:rPr>
              <w:t>Class B Common Stock</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10,485</w:t>
            </w:r>
          </w:p>
        </w:tc>
        <w:tc>
          <w:tcPr>
            <w:tcW w:w="200" w:type="dxa"/>
            <w:vAlign w:val="bottom"/>
          </w:tcPr>
          <w:p>
            <w:pPr>
              <w:spacing w:after="0"/>
              <w:rPr>
                <w:sz w:val="24"/>
                <w:szCs w:val="24"/>
                <w:color w:val="auto"/>
              </w:rPr>
            </w:pPr>
          </w:p>
        </w:tc>
        <w:tc>
          <w:tcPr>
            <w:tcW w:w="1960" w:type="dxa"/>
            <w:vAlign w:val="bottom"/>
          </w:tcPr>
          <w:p>
            <w:pPr>
              <w:jc w:val="right"/>
              <w:ind w:right="536"/>
              <w:spacing w:after="0"/>
              <w:rPr>
                <w:sz w:val="20"/>
                <w:szCs w:val="20"/>
                <w:color w:val="auto"/>
              </w:rPr>
            </w:pPr>
            <w:r>
              <w:rPr>
                <w:rFonts w:ascii="Arial" w:cs="Arial" w:eastAsia="Arial" w:hAnsi="Arial"/>
                <w:sz w:val="17"/>
                <w:szCs w:val="17"/>
                <w:color w:val="3A4967"/>
              </w:rPr>
              <w:t>2,068</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9"/>
        </w:trPr>
        <w:tc>
          <w:tcPr>
            <w:tcW w:w="5200" w:type="dxa"/>
            <w:vAlign w:val="bottom"/>
          </w:tcPr>
          <w:p>
            <w:pPr>
              <w:ind w:left="220"/>
              <w:spacing w:after="0"/>
              <w:rPr>
                <w:sz w:val="20"/>
                <w:szCs w:val="20"/>
                <w:color w:val="auto"/>
              </w:rPr>
            </w:pPr>
            <w:r>
              <w:rPr>
                <w:rFonts w:ascii="Arial" w:cs="Arial" w:eastAsia="Arial" w:hAnsi="Arial"/>
                <w:sz w:val="17"/>
                <w:szCs w:val="17"/>
                <w:color w:val="3A4967"/>
              </w:rPr>
              <w:t>Net effect of unvested participating shares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w:t>
            </w:r>
          </w:p>
        </w:tc>
        <w:tc>
          <w:tcPr>
            <w:tcW w:w="200" w:type="dxa"/>
            <w:vAlign w:val="bottom"/>
          </w:tcPr>
          <w:p>
            <w:pPr>
              <w:spacing w:after="0"/>
              <w:rPr>
                <w:sz w:val="24"/>
                <w:szCs w:val="24"/>
                <w:color w:val="auto"/>
              </w:rPr>
            </w:pPr>
          </w:p>
        </w:tc>
        <w:tc>
          <w:tcPr>
            <w:tcW w:w="1960" w:type="dxa"/>
            <w:vAlign w:val="bottom"/>
          </w:tcPr>
          <w:p>
            <w:pPr>
              <w:jc w:val="right"/>
              <w:ind w:right="536"/>
              <w:spacing w:after="0"/>
              <w:rPr>
                <w:sz w:val="20"/>
                <w:szCs w:val="20"/>
                <w:color w:val="auto"/>
              </w:rPr>
            </w:pPr>
            <w:r>
              <w:rPr>
                <w:rFonts w:ascii="Arial" w:cs="Arial" w:eastAsia="Arial" w:hAnsi="Arial"/>
                <w:sz w:val="17"/>
                <w:szCs w:val="17"/>
                <w:color w:val="3A4967"/>
              </w:rPr>
              <w:t>—</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
        </w:trPr>
        <w:tc>
          <w:tcPr>
            <w:tcW w:w="520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200" w:type="dxa"/>
            <w:vAlign w:val="bottom"/>
            <w:tcBorders>
              <w:bottom w:val="single" w:sz="8" w:color="3A4967"/>
            </w:tcBorders>
          </w:tcPr>
          <w:p>
            <w:pPr>
              <w:spacing w:after="0"/>
              <w:rPr>
                <w:sz w:val="3"/>
                <w:szCs w:val="3"/>
                <w:color w:val="auto"/>
              </w:rPr>
            </w:pPr>
          </w:p>
        </w:tc>
        <w:tc>
          <w:tcPr>
            <w:tcW w:w="196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20" w:type="dxa"/>
            <w:vAlign w:val="bottom"/>
          </w:tcPr>
          <w:p>
            <w:pPr>
              <w:spacing w:after="0"/>
              <w:rPr>
                <w:sz w:val="3"/>
                <w:szCs w:val="3"/>
                <w:color w:val="auto"/>
              </w:rPr>
            </w:pPr>
          </w:p>
        </w:tc>
      </w:tr>
      <w:tr>
        <w:trPr>
          <w:trHeight w:val="266"/>
        </w:trPr>
        <w:tc>
          <w:tcPr>
            <w:tcW w:w="520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NET INCOME PER COMMON SHARE - DILUTED</w:t>
            </w:r>
          </w:p>
        </w:tc>
        <w:tc>
          <w:tcPr>
            <w:tcW w:w="900" w:type="dxa"/>
            <w:vAlign w:val="bottom"/>
            <w:tcBorders>
              <w:bottom w:val="single" w:sz="8" w:color="3A4967"/>
            </w:tcBorders>
            <w:gridSpan w:val="2"/>
          </w:tcPr>
          <w:p>
            <w:pPr>
              <w:jc w:val="right"/>
              <w:spacing w:after="0"/>
              <w:rPr>
                <w:sz w:val="20"/>
                <w:szCs w:val="20"/>
                <w:color w:val="auto"/>
              </w:rPr>
            </w:pPr>
            <w:r>
              <w:rPr>
                <w:rFonts w:ascii="Arial" w:cs="Arial" w:eastAsia="Arial" w:hAnsi="Arial"/>
                <w:sz w:val="17"/>
                <w:szCs w:val="17"/>
                <w:b w:val="1"/>
                <w:bCs w:val="1"/>
                <w:color w:val="3A4967"/>
              </w:rPr>
              <w:t>$</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59,555</w:t>
            </w:r>
          </w:p>
        </w:tc>
        <w:tc>
          <w:tcPr>
            <w:tcW w:w="20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c>
          <w:tcPr>
            <w:tcW w:w="1960" w:type="dxa"/>
            <w:vAlign w:val="bottom"/>
            <w:tcBorders>
              <w:bottom w:val="single" w:sz="8" w:color="3A4967"/>
            </w:tcBorders>
          </w:tcPr>
          <w:p>
            <w:pPr>
              <w:jc w:val="right"/>
              <w:ind w:right="536"/>
              <w:spacing w:after="0"/>
              <w:rPr>
                <w:sz w:val="20"/>
                <w:szCs w:val="20"/>
                <w:color w:val="auto"/>
              </w:rPr>
            </w:pPr>
            <w:r>
              <w:rPr>
                <w:rFonts w:ascii="Arial" w:cs="Arial" w:eastAsia="Arial" w:hAnsi="Arial"/>
                <w:sz w:val="17"/>
                <w:szCs w:val="17"/>
                <w:b w:val="1"/>
                <w:bCs w:val="1"/>
                <w:color w:val="3A4967"/>
              </w:rPr>
              <w:t>11,766</w:t>
            </w:r>
          </w:p>
        </w:tc>
        <w:tc>
          <w:tcPr>
            <w:tcW w:w="380" w:type="dxa"/>
            <w:vAlign w:val="bottom"/>
            <w:tcBorders>
              <w:bottom w:val="single" w:sz="8" w:color="3A4967"/>
            </w:tcBorders>
          </w:tcPr>
          <w:p>
            <w:pPr>
              <w:jc w:val="right"/>
              <w:ind w:right="155"/>
              <w:spacing w:after="0"/>
              <w:rPr>
                <w:sz w:val="20"/>
                <w:szCs w:val="20"/>
                <w:color w:val="auto"/>
              </w:rPr>
            </w:pPr>
            <w:r>
              <w:rPr>
                <w:rFonts w:ascii="Arial" w:cs="Arial" w:eastAsia="Arial" w:hAnsi="Arial"/>
                <w:sz w:val="17"/>
                <w:szCs w:val="17"/>
                <w:b w:val="1"/>
                <w:bCs w:val="1"/>
                <w:color w:val="3A4967"/>
              </w:rPr>
              <w:t>$</w:t>
            </w:r>
          </w:p>
        </w:tc>
        <w:tc>
          <w:tcPr>
            <w:tcW w:w="6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5.06</w:t>
            </w:r>
          </w:p>
        </w:tc>
        <w:tc>
          <w:tcPr>
            <w:tcW w:w="20" w:type="dxa"/>
            <w:vAlign w:val="bottom"/>
          </w:tcPr>
          <w:p>
            <w:pPr>
              <w:spacing w:after="0"/>
              <w:rPr>
                <w:sz w:val="23"/>
                <w:szCs w:val="23"/>
                <w:color w:val="auto"/>
              </w:rPr>
            </w:pPr>
          </w:p>
        </w:tc>
      </w:tr>
      <w:tr>
        <w:trPr>
          <w:trHeight w:val="482"/>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0" w:type="dxa"/>
            <w:vAlign w:val="bottom"/>
            <w:gridSpan w:val="3"/>
          </w:tcPr>
          <w:p>
            <w:pPr>
              <w:jc w:val="right"/>
              <w:spacing w:after="0"/>
              <w:rPr>
                <w:sz w:val="20"/>
                <w:szCs w:val="20"/>
                <w:color w:val="auto"/>
              </w:rPr>
            </w:pPr>
            <w:r>
              <w:rPr>
                <w:rFonts w:ascii="Arial" w:cs="Arial" w:eastAsia="Arial" w:hAnsi="Arial"/>
                <w:sz w:val="16"/>
                <w:szCs w:val="16"/>
                <w:b w:val="1"/>
                <w:bCs w:val="1"/>
                <w:color w:val="3A4967"/>
              </w:rPr>
              <w:t>Fiscal year ended December 30, 2023</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
        </w:trPr>
        <w:tc>
          <w:tcPr>
            <w:tcW w:w="5200" w:type="dxa"/>
            <w:vAlign w:val="bottom"/>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c>
          <w:tcPr>
            <w:tcW w:w="1640" w:type="dxa"/>
            <w:vAlign w:val="bottom"/>
            <w:tcBorders>
              <w:bottom w:val="single" w:sz="8" w:color="3A4967"/>
            </w:tcBorders>
            <w:gridSpan w:val="2"/>
          </w:tcPr>
          <w:p>
            <w:pPr>
              <w:spacing w:after="0"/>
              <w:rPr>
                <w:sz w:val="3"/>
                <w:szCs w:val="3"/>
                <w:color w:val="auto"/>
              </w:rPr>
            </w:pPr>
          </w:p>
        </w:tc>
        <w:tc>
          <w:tcPr>
            <w:tcW w:w="200" w:type="dxa"/>
            <w:vAlign w:val="bottom"/>
            <w:tcBorders>
              <w:bottom w:val="single" w:sz="8" w:color="3A4967"/>
            </w:tcBorders>
          </w:tcPr>
          <w:p>
            <w:pPr>
              <w:spacing w:after="0"/>
              <w:rPr>
                <w:sz w:val="3"/>
                <w:szCs w:val="3"/>
                <w:color w:val="auto"/>
              </w:rPr>
            </w:pPr>
          </w:p>
        </w:tc>
        <w:tc>
          <w:tcPr>
            <w:tcW w:w="196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20" w:type="dxa"/>
            <w:vAlign w:val="bottom"/>
          </w:tcPr>
          <w:p>
            <w:pPr>
              <w:spacing w:after="0"/>
              <w:rPr>
                <w:sz w:val="3"/>
                <w:szCs w:val="3"/>
                <w:color w:val="auto"/>
              </w:rPr>
            </w:pPr>
          </w:p>
        </w:tc>
      </w:tr>
      <w:tr>
        <w:trPr>
          <w:trHeight w:val="214"/>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Earnings to</w:t>
            </w: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3A4967"/>
              </w:rPr>
              <w:t>Common</w:t>
            </w: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5200" w:type="dxa"/>
            <w:vAlign w:val="bottom"/>
          </w:tcPr>
          <w:p>
            <w:pPr>
              <w:ind w:left="80"/>
              <w:spacing w:after="0"/>
              <w:rPr>
                <w:sz w:val="20"/>
                <w:szCs w:val="20"/>
                <w:color w:val="auto"/>
              </w:rPr>
            </w:pPr>
            <w:r>
              <w:rPr>
                <w:rFonts w:ascii="Arial" w:cs="Arial" w:eastAsia="Arial" w:hAnsi="Arial"/>
                <w:sz w:val="13"/>
                <w:szCs w:val="13"/>
                <w:i w:val="1"/>
                <w:iCs w:val="1"/>
                <w:color w:val="3A4967"/>
              </w:rPr>
              <w:t>(in thousands, except per share data)</w:t>
            </w:r>
          </w:p>
        </w:tc>
        <w:tc>
          <w:tcPr>
            <w:tcW w:w="10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Shareholders</w:t>
            </w:r>
          </w:p>
        </w:tc>
        <w:tc>
          <w:tcPr>
            <w:tcW w:w="200" w:type="dxa"/>
            <w:vAlign w:val="bottom"/>
          </w:tcPr>
          <w:p>
            <w:pPr>
              <w:spacing w:after="0"/>
              <w:rPr>
                <w:sz w:val="17"/>
                <w:szCs w:val="17"/>
                <w:color w:val="auto"/>
              </w:rPr>
            </w:pPr>
          </w:p>
        </w:tc>
        <w:tc>
          <w:tcPr>
            <w:tcW w:w="1960" w:type="dxa"/>
            <w:vAlign w:val="bottom"/>
          </w:tcPr>
          <w:p>
            <w:pPr>
              <w:jc w:val="right"/>
              <w:ind w:right="556"/>
              <w:spacing w:after="0"/>
              <w:rPr>
                <w:sz w:val="20"/>
                <w:szCs w:val="20"/>
                <w:color w:val="auto"/>
              </w:rPr>
            </w:pPr>
            <w:r>
              <w:rPr>
                <w:rFonts w:ascii="Arial" w:cs="Arial" w:eastAsia="Arial" w:hAnsi="Arial"/>
                <w:sz w:val="16"/>
                <w:szCs w:val="16"/>
                <w:b w:val="1"/>
                <w:bCs w:val="1"/>
                <w:color w:val="3A4967"/>
              </w:rPr>
              <w:t>Common Shares</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3A4967"/>
              </w:rPr>
              <w:t>EPS</w:t>
            </w:r>
          </w:p>
        </w:tc>
        <w:tc>
          <w:tcPr>
            <w:tcW w:w="20" w:type="dxa"/>
            <w:vAlign w:val="bottom"/>
          </w:tcPr>
          <w:p>
            <w:pPr>
              <w:spacing w:after="0"/>
              <w:rPr>
                <w:sz w:val="17"/>
                <w:szCs w:val="17"/>
                <w:color w:val="auto"/>
              </w:rPr>
            </w:pPr>
          </w:p>
        </w:tc>
      </w:tr>
      <w:tr>
        <w:trPr>
          <w:trHeight w:val="36"/>
        </w:trPr>
        <w:tc>
          <w:tcPr>
            <w:tcW w:w="520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200" w:type="dxa"/>
            <w:vAlign w:val="bottom"/>
            <w:tcBorders>
              <w:bottom w:val="single" w:sz="8" w:color="3A4967"/>
            </w:tcBorders>
          </w:tcPr>
          <w:p>
            <w:pPr>
              <w:spacing w:after="0"/>
              <w:rPr>
                <w:sz w:val="3"/>
                <w:szCs w:val="3"/>
                <w:color w:val="auto"/>
              </w:rPr>
            </w:pPr>
          </w:p>
        </w:tc>
        <w:tc>
          <w:tcPr>
            <w:tcW w:w="196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20" w:type="dxa"/>
            <w:vAlign w:val="bottom"/>
          </w:tcPr>
          <w:p>
            <w:pPr>
              <w:spacing w:after="0"/>
              <w:rPr>
                <w:sz w:val="3"/>
                <w:szCs w:val="3"/>
                <w:color w:val="auto"/>
              </w:rPr>
            </w:pPr>
          </w:p>
        </w:tc>
      </w:tr>
      <w:tr>
        <w:trPr>
          <w:trHeight w:val="227"/>
        </w:trPr>
        <w:tc>
          <w:tcPr>
            <w:tcW w:w="5200" w:type="dxa"/>
            <w:vAlign w:val="bottom"/>
          </w:tcPr>
          <w:p>
            <w:pPr>
              <w:ind w:left="80"/>
              <w:spacing w:after="0"/>
              <w:rPr>
                <w:sz w:val="20"/>
                <w:szCs w:val="20"/>
                <w:color w:val="auto"/>
              </w:rPr>
            </w:pPr>
            <w:r>
              <w:rPr>
                <w:rFonts w:ascii="Arial" w:cs="Arial" w:eastAsia="Arial" w:hAnsi="Arial"/>
                <w:sz w:val="17"/>
                <w:szCs w:val="17"/>
                <w:color w:val="3A4967"/>
              </w:rPr>
              <w:t>As reported - basic</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3A4967"/>
              </w:rPr>
              <w:t>$</w:t>
            </w:r>
          </w:p>
        </w:tc>
        <w:tc>
          <w:tcPr>
            <w:tcW w:w="840" w:type="dxa"/>
            <w:vAlign w:val="bottom"/>
          </w:tcPr>
          <w:p>
            <w:pPr>
              <w:jc w:val="right"/>
              <w:spacing w:after="0"/>
              <w:rPr>
                <w:sz w:val="20"/>
                <w:szCs w:val="20"/>
                <w:color w:val="auto"/>
              </w:rPr>
            </w:pPr>
            <w:r>
              <w:rPr>
                <w:rFonts w:ascii="Arial" w:cs="Arial" w:eastAsia="Arial" w:hAnsi="Arial"/>
                <w:sz w:val="17"/>
                <w:szCs w:val="17"/>
                <w:color w:val="3A4967"/>
              </w:rPr>
              <w:t>63,216</w:t>
            </w:r>
          </w:p>
        </w:tc>
        <w:tc>
          <w:tcPr>
            <w:tcW w:w="200" w:type="dxa"/>
            <w:vAlign w:val="bottom"/>
          </w:tcPr>
          <w:p>
            <w:pPr>
              <w:spacing w:after="0"/>
              <w:rPr>
                <w:sz w:val="19"/>
                <w:szCs w:val="19"/>
                <w:color w:val="auto"/>
              </w:rPr>
            </w:pPr>
          </w:p>
        </w:tc>
        <w:tc>
          <w:tcPr>
            <w:tcW w:w="1960" w:type="dxa"/>
            <w:vAlign w:val="bottom"/>
          </w:tcPr>
          <w:p>
            <w:pPr>
              <w:jc w:val="right"/>
              <w:ind w:right="556"/>
              <w:spacing w:after="0"/>
              <w:rPr>
                <w:sz w:val="20"/>
                <w:szCs w:val="20"/>
                <w:color w:val="auto"/>
              </w:rPr>
            </w:pPr>
            <w:r>
              <w:rPr>
                <w:rFonts w:ascii="Arial" w:cs="Arial" w:eastAsia="Arial" w:hAnsi="Arial"/>
                <w:sz w:val="17"/>
                <w:szCs w:val="17"/>
                <w:color w:val="3A4967"/>
              </w:rPr>
              <w:t>10,150</w:t>
            </w:r>
          </w:p>
        </w:tc>
        <w:tc>
          <w:tcPr>
            <w:tcW w:w="380" w:type="dxa"/>
            <w:vAlign w:val="bottom"/>
          </w:tcPr>
          <w:p>
            <w:pPr>
              <w:jc w:val="right"/>
              <w:ind w:right="175"/>
              <w:spacing w:after="0"/>
              <w:rPr>
                <w:sz w:val="20"/>
                <w:szCs w:val="20"/>
                <w:color w:val="auto"/>
              </w:rPr>
            </w:pPr>
            <w:r>
              <w:rPr>
                <w:rFonts w:ascii="Arial" w:cs="Arial" w:eastAsia="Arial" w:hAnsi="Arial"/>
                <w:sz w:val="17"/>
                <w:szCs w:val="17"/>
                <w:color w:val="3A4967"/>
              </w:rPr>
              <w:t>$</w:t>
            </w:r>
          </w:p>
        </w:tc>
        <w:tc>
          <w:tcPr>
            <w:tcW w:w="680" w:type="dxa"/>
            <w:vAlign w:val="bottom"/>
          </w:tcPr>
          <w:p>
            <w:pPr>
              <w:jc w:val="right"/>
              <w:spacing w:after="0"/>
              <w:rPr>
                <w:sz w:val="20"/>
                <w:szCs w:val="20"/>
                <w:color w:val="auto"/>
              </w:rPr>
            </w:pPr>
            <w:r>
              <w:rPr>
                <w:rFonts w:ascii="Arial" w:cs="Arial" w:eastAsia="Arial" w:hAnsi="Arial"/>
                <w:sz w:val="17"/>
                <w:szCs w:val="17"/>
                <w:color w:val="3A4967"/>
              </w:rPr>
              <w:t>6.23</w:t>
            </w:r>
          </w:p>
        </w:tc>
        <w:tc>
          <w:tcPr>
            <w:tcW w:w="20" w:type="dxa"/>
            <w:vAlign w:val="bottom"/>
          </w:tcPr>
          <w:p>
            <w:pPr>
              <w:spacing w:after="0"/>
              <w:rPr>
                <w:sz w:val="19"/>
                <w:szCs w:val="19"/>
                <w:color w:val="auto"/>
              </w:rPr>
            </w:pPr>
          </w:p>
        </w:tc>
      </w:tr>
      <w:tr>
        <w:trPr>
          <w:trHeight w:val="281"/>
        </w:trPr>
        <w:tc>
          <w:tcPr>
            <w:tcW w:w="5200" w:type="dxa"/>
            <w:vAlign w:val="bottom"/>
          </w:tcPr>
          <w:p>
            <w:pPr>
              <w:ind w:left="220"/>
              <w:spacing w:after="0"/>
              <w:rPr>
                <w:sz w:val="20"/>
                <w:szCs w:val="20"/>
                <w:color w:val="auto"/>
              </w:rPr>
            </w:pPr>
            <w:r>
              <w:rPr>
                <w:rFonts w:ascii="Arial" w:cs="Arial" w:eastAsia="Arial" w:hAnsi="Arial"/>
                <w:sz w:val="17"/>
                <w:szCs w:val="17"/>
                <w:color w:val="3A4967"/>
              </w:rPr>
              <w:t>Add: effect of dilutive potential common shares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5200" w:type="dxa"/>
            <w:vAlign w:val="bottom"/>
          </w:tcPr>
          <w:p>
            <w:pPr>
              <w:ind w:left="220"/>
              <w:spacing w:after="0"/>
              <w:rPr>
                <w:sz w:val="20"/>
                <w:szCs w:val="20"/>
                <w:color w:val="auto"/>
              </w:rPr>
            </w:pPr>
            <w:r>
              <w:rPr>
                <w:rFonts w:ascii="Arial" w:cs="Arial" w:eastAsia="Arial" w:hAnsi="Arial"/>
                <w:sz w:val="17"/>
                <w:szCs w:val="17"/>
                <w:color w:val="3A4967"/>
              </w:rPr>
              <w:t>Share-based awards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w:t>
            </w:r>
          </w:p>
        </w:tc>
        <w:tc>
          <w:tcPr>
            <w:tcW w:w="20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7"/>
                <w:szCs w:val="17"/>
                <w:color w:val="3A4967"/>
              </w:rPr>
              <w:t>40</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5200" w:type="dxa"/>
            <w:vAlign w:val="bottom"/>
          </w:tcPr>
          <w:p>
            <w:pPr>
              <w:ind w:left="220"/>
              <w:spacing w:after="0"/>
              <w:rPr>
                <w:sz w:val="20"/>
                <w:szCs w:val="20"/>
                <w:color w:val="auto"/>
              </w:rPr>
            </w:pPr>
            <w:r>
              <w:rPr>
                <w:rFonts w:ascii="Arial" w:cs="Arial" w:eastAsia="Arial" w:hAnsi="Arial"/>
                <w:sz w:val="17"/>
                <w:szCs w:val="17"/>
                <w:color w:val="3A4967"/>
              </w:rPr>
              <w:t>Class B Common Stock</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12,880</w:t>
            </w:r>
          </w:p>
        </w:tc>
        <w:tc>
          <w:tcPr>
            <w:tcW w:w="20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7"/>
                <w:szCs w:val="17"/>
                <w:color w:val="3A4967"/>
              </w:rPr>
              <w:t>2,068</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9"/>
        </w:trPr>
        <w:tc>
          <w:tcPr>
            <w:tcW w:w="5200" w:type="dxa"/>
            <w:vAlign w:val="bottom"/>
          </w:tcPr>
          <w:p>
            <w:pPr>
              <w:ind w:left="220"/>
              <w:spacing w:after="0"/>
              <w:rPr>
                <w:sz w:val="20"/>
                <w:szCs w:val="20"/>
                <w:color w:val="auto"/>
              </w:rPr>
            </w:pPr>
            <w:r>
              <w:rPr>
                <w:rFonts w:ascii="Arial" w:cs="Arial" w:eastAsia="Arial" w:hAnsi="Arial"/>
                <w:sz w:val="17"/>
                <w:szCs w:val="17"/>
                <w:color w:val="3A4967"/>
              </w:rPr>
              <w:t>Net effect of unvested participating shares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w:t>
            </w:r>
          </w:p>
        </w:tc>
        <w:tc>
          <w:tcPr>
            <w:tcW w:w="20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7"/>
                <w:szCs w:val="17"/>
                <w:color w:val="3A4967"/>
              </w:rPr>
              <w:t>—</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
        </w:trPr>
        <w:tc>
          <w:tcPr>
            <w:tcW w:w="520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200" w:type="dxa"/>
            <w:vAlign w:val="bottom"/>
            <w:tcBorders>
              <w:bottom w:val="single" w:sz="8" w:color="3A4967"/>
            </w:tcBorders>
          </w:tcPr>
          <w:p>
            <w:pPr>
              <w:spacing w:after="0"/>
              <w:rPr>
                <w:sz w:val="3"/>
                <w:szCs w:val="3"/>
                <w:color w:val="auto"/>
              </w:rPr>
            </w:pPr>
          </w:p>
        </w:tc>
        <w:tc>
          <w:tcPr>
            <w:tcW w:w="196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20" w:type="dxa"/>
            <w:vAlign w:val="bottom"/>
          </w:tcPr>
          <w:p>
            <w:pPr>
              <w:spacing w:after="0"/>
              <w:rPr>
                <w:sz w:val="3"/>
                <w:szCs w:val="3"/>
                <w:color w:val="auto"/>
              </w:rPr>
            </w:pPr>
          </w:p>
        </w:tc>
      </w:tr>
      <w:tr>
        <w:trPr>
          <w:trHeight w:val="266"/>
        </w:trPr>
        <w:tc>
          <w:tcPr>
            <w:tcW w:w="520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NET INCOME PER COMMON SHARE - DILUTED</w:t>
            </w:r>
          </w:p>
        </w:tc>
        <w:tc>
          <w:tcPr>
            <w:tcW w:w="900" w:type="dxa"/>
            <w:vAlign w:val="bottom"/>
            <w:tcBorders>
              <w:bottom w:val="single" w:sz="8" w:color="3A4967"/>
            </w:tcBorders>
            <w:gridSpan w:val="2"/>
          </w:tcPr>
          <w:p>
            <w:pPr>
              <w:jc w:val="right"/>
              <w:ind w:right="140"/>
              <w:spacing w:after="0"/>
              <w:rPr>
                <w:sz w:val="20"/>
                <w:szCs w:val="20"/>
                <w:color w:val="auto"/>
              </w:rPr>
            </w:pPr>
            <w:r>
              <w:rPr>
                <w:rFonts w:ascii="Arial" w:cs="Arial" w:eastAsia="Arial" w:hAnsi="Arial"/>
                <w:sz w:val="17"/>
                <w:szCs w:val="17"/>
                <w:b w:val="1"/>
                <w:bCs w:val="1"/>
                <w:color w:val="3A4967"/>
              </w:rPr>
              <w:t>$</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76,096</w:t>
            </w:r>
          </w:p>
        </w:tc>
        <w:tc>
          <w:tcPr>
            <w:tcW w:w="200" w:type="dxa"/>
            <w:vAlign w:val="bottom"/>
            <w:tcBorders>
              <w:bottom w:val="single" w:sz="8" w:color="3A4967"/>
            </w:tcBorders>
          </w:tcPr>
          <w:p>
            <w:pPr>
              <w:spacing w:after="0"/>
              <w:rPr>
                <w:sz w:val="23"/>
                <w:szCs w:val="23"/>
                <w:color w:val="auto"/>
              </w:rPr>
            </w:pPr>
          </w:p>
        </w:tc>
        <w:tc>
          <w:tcPr>
            <w:tcW w:w="1960" w:type="dxa"/>
            <w:vAlign w:val="bottom"/>
            <w:tcBorders>
              <w:bottom w:val="single" w:sz="8" w:color="3A4967"/>
            </w:tcBorders>
          </w:tcPr>
          <w:p>
            <w:pPr>
              <w:jc w:val="right"/>
              <w:ind w:right="556"/>
              <w:spacing w:after="0"/>
              <w:rPr>
                <w:sz w:val="20"/>
                <w:szCs w:val="20"/>
                <w:color w:val="auto"/>
              </w:rPr>
            </w:pPr>
            <w:r>
              <w:rPr>
                <w:rFonts w:ascii="Arial" w:cs="Arial" w:eastAsia="Arial" w:hAnsi="Arial"/>
                <w:sz w:val="17"/>
                <w:szCs w:val="17"/>
                <w:b w:val="1"/>
                <w:bCs w:val="1"/>
                <w:color w:val="3A4967"/>
              </w:rPr>
              <w:t>12,258</w:t>
            </w:r>
          </w:p>
        </w:tc>
        <w:tc>
          <w:tcPr>
            <w:tcW w:w="380" w:type="dxa"/>
            <w:vAlign w:val="bottom"/>
            <w:tcBorders>
              <w:bottom w:val="single" w:sz="8" w:color="3A4967"/>
            </w:tcBorders>
          </w:tcPr>
          <w:p>
            <w:pPr>
              <w:jc w:val="right"/>
              <w:ind w:right="175"/>
              <w:spacing w:after="0"/>
              <w:rPr>
                <w:sz w:val="20"/>
                <w:szCs w:val="20"/>
                <w:color w:val="auto"/>
              </w:rPr>
            </w:pPr>
            <w:r>
              <w:rPr>
                <w:rFonts w:ascii="Arial" w:cs="Arial" w:eastAsia="Arial" w:hAnsi="Arial"/>
                <w:sz w:val="17"/>
                <w:szCs w:val="17"/>
                <w:b w:val="1"/>
                <w:bCs w:val="1"/>
                <w:color w:val="3A4967"/>
              </w:rPr>
              <w:t>$</w:t>
            </w:r>
          </w:p>
        </w:tc>
        <w:tc>
          <w:tcPr>
            <w:tcW w:w="6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6.21</w:t>
            </w:r>
          </w:p>
        </w:tc>
        <w:tc>
          <w:tcPr>
            <w:tcW w:w="20" w:type="dxa"/>
            <w:vAlign w:val="bottom"/>
          </w:tcPr>
          <w:p>
            <w:pPr>
              <w:spacing w:after="0"/>
              <w:rPr>
                <w:sz w:val="23"/>
                <w:szCs w:val="23"/>
                <w:color w:val="auto"/>
              </w:rPr>
            </w:pPr>
          </w:p>
        </w:tc>
      </w:tr>
      <w:tr>
        <w:trPr>
          <w:trHeight w:val="482"/>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80" w:type="dxa"/>
            <w:vAlign w:val="bottom"/>
            <w:gridSpan w:val="4"/>
          </w:tcPr>
          <w:p>
            <w:pPr>
              <w:jc w:val="right"/>
              <w:ind w:right="235"/>
              <w:spacing w:after="0"/>
              <w:rPr>
                <w:sz w:val="20"/>
                <w:szCs w:val="20"/>
                <w:color w:val="auto"/>
              </w:rPr>
            </w:pPr>
            <w:r>
              <w:rPr>
                <w:rFonts w:ascii="Arial" w:cs="Arial" w:eastAsia="Arial" w:hAnsi="Arial"/>
                <w:sz w:val="16"/>
                <w:szCs w:val="16"/>
                <w:b w:val="1"/>
                <w:bCs w:val="1"/>
                <w:color w:val="3A4967"/>
              </w:rPr>
              <w:t>Fiscal year ended December 31, 2022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
        </w:trPr>
        <w:tc>
          <w:tcPr>
            <w:tcW w:w="5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Borders>
              <w:bottom w:val="single" w:sz="8" w:color="3A4967"/>
            </w:tcBorders>
            <w:gridSpan w:val="2"/>
          </w:tcPr>
          <w:p>
            <w:pPr>
              <w:spacing w:after="0"/>
              <w:rPr>
                <w:sz w:val="3"/>
                <w:szCs w:val="3"/>
                <w:color w:val="auto"/>
              </w:rPr>
            </w:pPr>
          </w:p>
        </w:tc>
        <w:tc>
          <w:tcPr>
            <w:tcW w:w="200" w:type="dxa"/>
            <w:vAlign w:val="bottom"/>
            <w:tcBorders>
              <w:bottom w:val="single" w:sz="8" w:color="3A4967"/>
            </w:tcBorders>
          </w:tcPr>
          <w:p>
            <w:pPr>
              <w:spacing w:after="0"/>
              <w:rPr>
                <w:sz w:val="3"/>
                <w:szCs w:val="3"/>
                <w:color w:val="auto"/>
              </w:rPr>
            </w:pPr>
          </w:p>
        </w:tc>
        <w:tc>
          <w:tcPr>
            <w:tcW w:w="196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20" w:type="dxa"/>
            <w:vAlign w:val="bottom"/>
            <w:tcBorders>
              <w:bottom w:val="single" w:sz="8" w:color="3A4967"/>
            </w:tcBorders>
          </w:tcPr>
          <w:p>
            <w:pPr>
              <w:spacing w:after="0"/>
              <w:rPr>
                <w:sz w:val="3"/>
                <w:szCs w:val="3"/>
                <w:color w:val="auto"/>
              </w:rPr>
            </w:pPr>
          </w:p>
        </w:tc>
      </w:tr>
      <w:tr>
        <w:trPr>
          <w:trHeight w:val="214"/>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Earnings to</w:t>
            </w: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3A4967"/>
              </w:rPr>
              <w:t>Common</w:t>
            </w: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5200" w:type="dxa"/>
            <w:vAlign w:val="bottom"/>
          </w:tcPr>
          <w:p>
            <w:pPr>
              <w:ind w:left="80"/>
              <w:spacing w:after="0"/>
              <w:rPr>
                <w:sz w:val="20"/>
                <w:szCs w:val="20"/>
                <w:color w:val="auto"/>
              </w:rPr>
            </w:pPr>
            <w:r>
              <w:rPr>
                <w:rFonts w:ascii="Arial" w:cs="Arial" w:eastAsia="Arial" w:hAnsi="Arial"/>
                <w:sz w:val="13"/>
                <w:szCs w:val="13"/>
                <w:i w:val="1"/>
                <w:iCs w:val="1"/>
                <w:color w:val="3A4967"/>
              </w:rPr>
              <w:t>(in thousands, except per share data)</w:t>
            </w:r>
          </w:p>
        </w:tc>
        <w:tc>
          <w:tcPr>
            <w:tcW w:w="10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3A4967"/>
              </w:rPr>
              <w:t>Shareholders</w:t>
            </w:r>
          </w:p>
        </w:tc>
        <w:tc>
          <w:tcPr>
            <w:tcW w:w="200" w:type="dxa"/>
            <w:vAlign w:val="bottom"/>
          </w:tcPr>
          <w:p>
            <w:pPr>
              <w:spacing w:after="0"/>
              <w:rPr>
                <w:sz w:val="17"/>
                <w:szCs w:val="17"/>
                <w:color w:val="auto"/>
              </w:rPr>
            </w:pPr>
          </w:p>
        </w:tc>
        <w:tc>
          <w:tcPr>
            <w:tcW w:w="1960" w:type="dxa"/>
            <w:vAlign w:val="bottom"/>
          </w:tcPr>
          <w:p>
            <w:pPr>
              <w:jc w:val="right"/>
              <w:ind w:right="516"/>
              <w:spacing w:after="0"/>
              <w:rPr>
                <w:sz w:val="20"/>
                <w:szCs w:val="20"/>
                <w:color w:val="auto"/>
              </w:rPr>
            </w:pPr>
            <w:r>
              <w:rPr>
                <w:rFonts w:ascii="Arial" w:cs="Arial" w:eastAsia="Arial" w:hAnsi="Arial"/>
                <w:sz w:val="16"/>
                <w:szCs w:val="16"/>
                <w:b w:val="1"/>
                <w:bCs w:val="1"/>
                <w:color w:val="3A4967"/>
              </w:rPr>
              <w:t>Common Shares</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3A4967"/>
              </w:rPr>
              <w:t>EPS</w:t>
            </w:r>
          </w:p>
        </w:tc>
        <w:tc>
          <w:tcPr>
            <w:tcW w:w="20" w:type="dxa"/>
            <w:vAlign w:val="bottom"/>
          </w:tcPr>
          <w:p>
            <w:pPr>
              <w:spacing w:after="0"/>
              <w:rPr>
                <w:sz w:val="17"/>
                <w:szCs w:val="17"/>
                <w:color w:val="auto"/>
              </w:rPr>
            </w:pPr>
          </w:p>
        </w:tc>
      </w:tr>
      <w:tr>
        <w:trPr>
          <w:trHeight w:val="36"/>
        </w:trPr>
        <w:tc>
          <w:tcPr>
            <w:tcW w:w="5200" w:type="dxa"/>
            <w:vAlign w:val="bottom"/>
            <w:tcBorders>
              <w:bottom w:val="single" w:sz="8" w:color="3A4967"/>
            </w:tcBorders>
          </w:tcPr>
          <w:p>
            <w:pPr>
              <w:spacing w:after="0"/>
              <w:rPr>
                <w:sz w:val="3"/>
                <w:szCs w:val="3"/>
                <w:color w:val="auto"/>
              </w:rPr>
            </w:pPr>
          </w:p>
        </w:tc>
        <w:tc>
          <w:tcPr>
            <w:tcW w:w="100" w:type="dxa"/>
            <w:vAlign w:val="bottom"/>
            <w:tcBorders>
              <w:bottom w:val="single" w:sz="8" w:color="3A4967"/>
            </w:tcBorders>
          </w:tcPr>
          <w:p>
            <w:pPr>
              <w:spacing w:after="0"/>
              <w:rPr>
                <w:sz w:val="3"/>
                <w:szCs w:val="3"/>
                <w:color w:val="auto"/>
              </w:rPr>
            </w:pPr>
          </w:p>
        </w:tc>
        <w:tc>
          <w:tcPr>
            <w:tcW w:w="80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200" w:type="dxa"/>
            <w:vAlign w:val="bottom"/>
            <w:tcBorders>
              <w:bottom w:val="single" w:sz="8" w:color="3A4967"/>
            </w:tcBorders>
          </w:tcPr>
          <w:p>
            <w:pPr>
              <w:spacing w:after="0"/>
              <w:rPr>
                <w:sz w:val="3"/>
                <w:szCs w:val="3"/>
                <w:color w:val="auto"/>
              </w:rPr>
            </w:pPr>
          </w:p>
        </w:tc>
        <w:tc>
          <w:tcPr>
            <w:tcW w:w="196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20" w:type="dxa"/>
            <w:vAlign w:val="bottom"/>
            <w:tcBorders>
              <w:bottom w:val="single" w:sz="8" w:color="3A4967"/>
            </w:tcBorders>
          </w:tcPr>
          <w:p>
            <w:pPr>
              <w:spacing w:after="0"/>
              <w:rPr>
                <w:sz w:val="3"/>
                <w:szCs w:val="3"/>
                <w:color w:val="auto"/>
              </w:rPr>
            </w:pPr>
          </w:p>
        </w:tc>
      </w:tr>
      <w:tr>
        <w:trPr>
          <w:trHeight w:val="227"/>
        </w:trPr>
        <w:tc>
          <w:tcPr>
            <w:tcW w:w="5200" w:type="dxa"/>
            <w:vAlign w:val="bottom"/>
          </w:tcPr>
          <w:p>
            <w:pPr>
              <w:ind w:left="80"/>
              <w:spacing w:after="0"/>
              <w:rPr>
                <w:sz w:val="20"/>
                <w:szCs w:val="20"/>
                <w:color w:val="auto"/>
              </w:rPr>
            </w:pPr>
            <w:r>
              <w:rPr>
                <w:rFonts w:ascii="Arial" w:cs="Arial" w:eastAsia="Arial" w:hAnsi="Arial"/>
                <w:sz w:val="17"/>
                <w:szCs w:val="17"/>
                <w:color w:val="3A4967"/>
              </w:rPr>
              <w:t>As reported - basic</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3A4967"/>
              </w:rPr>
              <w:t>$</w:t>
            </w:r>
          </w:p>
        </w:tc>
        <w:tc>
          <w:tcPr>
            <w:tcW w:w="840" w:type="dxa"/>
            <w:vAlign w:val="bottom"/>
          </w:tcPr>
          <w:p>
            <w:pPr>
              <w:jc w:val="right"/>
              <w:spacing w:after="0"/>
              <w:rPr>
                <w:sz w:val="20"/>
                <w:szCs w:val="20"/>
                <w:color w:val="auto"/>
              </w:rPr>
            </w:pPr>
            <w:r>
              <w:rPr>
                <w:rFonts w:ascii="Arial" w:cs="Arial" w:eastAsia="Arial" w:hAnsi="Arial"/>
                <w:sz w:val="17"/>
                <w:szCs w:val="17"/>
                <w:color w:val="3A4967"/>
              </w:rPr>
              <w:t>55,812</w:t>
            </w:r>
          </w:p>
        </w:tc>
        <w:tc>
          <w:tcPr>
            <w:tcW w:w="200" w:type="dxa"/>
            <w:vAlign w:val="bottom"/>
          </w:tcPr>
          <w:p>
            <w:pPr>
              <w:spacing w:after="0"/>
              <w:rPr>
                <w:sz w:val="19"/>
                <w:szCs w:val="19"/>
                <w:color w:val="auto"/>
              </w:rPr>
            </w:pPr>
          </w:p>
        </w:tc>
        <w:tc>
          <w:tcPr>
            <w:tcW w:w="1960" w:type="dxa"/>
            <w:vAlign w:val="bottom"/>
          </w:tcPr>
          <w:p>
            <w:pPr>
              <w:jc w:val="right"/>
              <w:ind w:right="516"/>
              <w:spacing w:after="0"/>
              <w:rPr>
                <w:sz w:val="20"/>
                <w:szCs w:val="20"/>
                <w:color w:val="auto"/>
              </w:rPr>
            </w:pPr>
            <w:r>
              <w:rPr>
                <w:rFonts w:ascii="Arial" w:cs="Arial" w:eastAsia="Arial" w:hAnsi="Arial"/>
                <w:sz w:val="17"/>
                <w:szCs w:val="17"/>
                <w:color w:val="3A4967"/>
              </w:rPr>
              <w:t>10,221</w:t>
            </w:r>
          </w:p>
        </w:tc>
        <w:tc>
          <w:tcPr>
            <w:tcW w:w="380" w:type="dxa"/>
            <w:vAlign w:val="bottom"/>
          </w:tcPr>
          <w:p>
            <w:pPr>
              <w:jc w:val="right"/>
              <w:ind w:right="135"/>
              <w:spacing w:after="0"/>
              <w:rPr>
                <w:sz w:val="20"/>
                <w:szCs w:val="20"/>
                <w:color w:val="auto"/>
              </w:rPr>
            </w:pPr>
            <w:r>
              <w:rPr>
                <w:rFonts w:ascii="Arial" w:cs="Arial" w:eastAsia="Arial" w:hAnsi="Arial"/>
                <w:sz w:val="17"/>
                <w:szCs w:val="17"/>
                <w:color w:val="3A4967"/>
              </w:rPr>
              <w:t>$</w:t>
            </w:r>
          </w:p>
        </w:tc>
        <w:tc>
          <w:tcPr>
            <w:tcW w:w="680" w:type="dxa"/>
            <w:vAlign w:val="bottom"/>
          </w:tcPr>
          <w:p>
            <w:pPr>
              <w:jc w:val="right"/>
              <w:spacing w:after="0"/>
              <w:rPr>
                <w:sz w:val="20"/>
                <w:szCs w:val="20"/>
                <w:color w:val="auto"/>
              </w:rPr>
            </w:pPr>
            <w:r>
              <w:rPr>
                <w:rFonts w:ascii="Arial" w:cs="Arial" w:eastAsia="Arial" w:hAnsi="Arial"/>
                <w:sz w:val="17"/>
                <w:szCs w:val="17"/>
                <w:color w:val="3A4967"/>
              </w:rPr>
              <w:t>5.46</w:t>
            </w:r>
          </w:p>
        </w:tc>
        <w:tc>
          <w:tcPr>
            <w:tcW w:w="20" w:type="dxa"/>
            <w:vAlign w:val="bottom"/>
          </w:tcPr>
          <w:p>
            <w:pPr>
              <w:spacing w:after="0"/>
              <w:rPr>
                <w:sz w:val="19"/>
                <w:szCs w:val="19"/>
                <w:color w:val="auto"/>
              </w:rPr>
            </w:pPr>
          </w:p>
        </w:tc>
      </w:tr>
      <w:tr>
        <w:trPr>
          <w:trHeight w:val="281"/>
        </w:trPr>
        <w:tc>
          <w:tcPr>
            <w:tcW w:w="5200" w:type="dxa"/>
            <w:vAlign w:val="bottom"/>
          </w:tcPr>
          <w:p>
            <w:pPr>
              <w:ind w:left="220"/>
              <w:spacing w:after="0"/>
              <w:rPr>
                <w:sz w:val="20"/>
                <w:szCs w:val="20"/>
                <w:color w:val="auto"/>
              </w:rPr>
            </w:pPr>
            <w:r>
              <w:rPr>
                <w:rFonts w:ascii="Arial" w:cs="Arial" w:eastAsia="Arial" w:hAnsi="Arial"/>
                <w:sz w:val="17"/>
                <w:szCs w:val="17"/>
                <w:color w:val="3A4967"/>
              </w:rPr>
              <w:t>Add: effect of dilutive potential common shares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5200" w:type="dxa"/>
            <w:vAlign w:val="bottom"/>
          </w:tcPr>
          <w:p>
            <w:pPr>
              <w:ind w:left="220"/>
              <w:spacing w:after="0"/>
              <w:rPr>
                <w:sz w:val="20"/>
                <w:szCs w:val="20"/>
                <w:color w:val="auto"/>
              </w:rPr>
            </w:pPr>
            <w:r>
              <w:rPr>
                <w:rFonts w:ascii="Arial" w:cs="Arial" w:eastAsia="Arial" w:hAnsi="Arial"/>
                <w:sz w:val="17"/>
                <w:szCs w:val="17"/>
                <w:color w:val="3A4967"/>
              </w:rPr>
              <w:t>Share-based awards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w:t>
            </w:r>
          </w:p>
        </w:tc>
        <w:tc>
          <w:tcPr>
            <w:tcW w:w="200" w:type="dxa"/>
            <w:vAlign w:val="bottom"/>
          </w:tcPr>
          <w:p>
            <w:pPr>
              <w:spacing w:after="0"/>
              <w:rPr>
                <w:sz w:val="24"/>
                <w:szCs w:val="24"/>
                <w:color w:val="auto"/>
              </w:rPr>
            </w:pPr>
          </w:p>
        </w:tc>
        <w:tc>
          <w:tcPr>
            <w:tcW w:w="1960" w:type="dxa"/>
            <w:vAlign w:val="bottom"/>
          </w:tcPr>
          <w:p>
            <w:pPr>
              <w:jc w:val="right"/>
              <w:ind w:right="516"/>
              <w:spacing w:after="0"/>
              <w:rPr>
                <w:sz w:val="20"/>
                <w:szCs w:val="20"/>
                <w:color w:val="auto"/>
              </w:rPr>
            </w:pPr>
            <w:r>
              <w:rPr>
                <w:rFonts w:ascii="Arial" w:cs="Arial" w:eastAsia="Arial" w:hAnsi="Arial"/>
                <w:sz w:val="17"/>
                <w:szCs w:val="17"/>
                <w:color w:val="3A4967"/>
              </w:rPr>
              <w:t>56</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5200" w:type="dxa"/>
            <w:vAlign w:val="bottom"/>
          </w:tcPr>
          <w:p>
            <w:pPr>
              <w:ind w:left="220"/>
              <w:spacing w:after="0"/>
              <w:rPr>
                <w:sz w:val="20"/>
                <w:szCs w:val="20"/>
                <w:color w:val="auto"/>
              </w:rPr>
            </w:pPr>
            <w:r>
              <w:rPr>
                <w:rFonts w:ascii="Arial" w:cs="Arial" w:eastAsia="Arial" w:hAnsi="Arial"/>
                <w:sz w:val="17"/>
                <w:szCs w:val="17"/>
                <w:color w:val="3A4967"/>
              </w:rPr>
              <w:t>Class B Common Stock</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11,293</w:t>
            </w:r>
          </w:p>
        </w:tc>
        <w:tc>
          <w:tcPr>
            <w:tcW w:w="200" w:type="dxa"/>
            <w:vAlign w:val="bottom"/>
          </w:tcPr>
          <w:p>
            <w:pPr>
              <w:spacing w:after="0"/>
              <w:rPr>
                <w:sz w:val="24"/>
                <w:szCs w:val="24"/>
                <w:color w:val="auto"/>
              </w:rPr>
            </w:pPr>
          </w:p>
        </w:tc>
        <w:tc>
          <w:tcPr>
            <w:tcW w:w="1960" w:type="dxa"/>
            <w:vAlign w:val="bottom"/>
          </w:tcPr>
          <w:p>
            <w:pPr>
              <w:jc w:val="right"/>
              <w:ind w:right="516"/>
              <w:spacing w:after="0"/>
              <w:rPr>
                <w:sz w:val="20"/>
                <w:szCs w:val="20"/>
                <w:color w:val="auto"/>
              </w:rPr>
            </w:pPr>
            <w:r>
              <w:rPr>
                <w:rFonts w:ascii="Arial" w:cs="Arial" w:eastAsia="Arial" w:hAnsi="Arial"/>
                <w:sz w:val="17"/>
                <w:szCs w:val="17"/>
                <w:color w:val="3A4967"/>
              </w:rPr>
              <w:t>2,068</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9"/>
        </w:trPr>
        <w:tc>
          <w:tcPr>
            <w:tcW w:w="5200" w:type="dxa"/>
            <w:vAlign w:val="bottom"/>
          </w:tcPr>
          <w:p>
            <w:pPr>
              <w:ind w:left="220"/>
              <w:spacing w:after="0"/>
              <w:rPr>
                <w:sz w:val="20"/>
                <w:szCs w:val="20"/>
                <w:color w:val="auto"/>
              </w:rPr>
            </w:pPr>
            <w:r>
              <w:rPr>
                <w:rFonts w:ascii="Arial" w:cs="Arial" w:eastAsia="Arial" w:hAnsi="Arial"/>
                <w:sz w:val="17"/>
                <w:szCs w:val="17"/>
                <w:color w:val="3A4967"/>
              </w:rPr>
              <w:t>Net effect of unvested participating shares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A4967"/>
              </w:rPr>
              <w:t>1</w:t>
            </w:r>
          </w:p>
        </w:tc>
        <w:tc>
          <w:tcPr>
            <w:tcW w:w="200" w:type="dxa"/>
            <w:vAlign w:val="bottom"/>
          </w:tcPr>
          <w:p>
            <w:pPr>
              <w:spacing w:after="0"/>
              <w:rPr>
                <w:sz w:val="24"/>
                <w:szCs w:val="24"/>
                <w:color w:val="auto"/>
              </w:rPr>
            </w:pPr>
          </w:p>
        </w:tc>
        <w:tc>
          <w:tcPr>
            <w:tcW w:w="1960" w:type="dxa"/>
            <w:vAlign w:val="bottom"/>
          </w:tcPr>
          <w:p>
            <w:pPr>
              <w:jc w:val="right"/>
              <w:ind w:right="516"/>
              <w:spacing w:after="0"/>
              <w:rPr>
                <w:sz w:val="20"/>
                <w:szCs w:val="20"/>
                <w:color w:val="auto"/>
              </w:rPr>
            </w:pPr>
            <w:r>
              <w:rPr>
                <w:rFonts w:ascii="Arial" w:cs="Arial" w:eastAsia="Arial" w:hAnsi="Arial"/>
                <w:sz w:val="17"/>
                <w:szCs w:val="17"/>
                <w:color w:val="3A4967"/>
              </w:rPr>
              <w:t>—</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
        </w:trPr>
        <w:tc>
          <w:tcPr>
            <w:tcW w:w="5200" w:type="dxa"/>
            <w:vAlign w:val="bottom"/>
            <w:tcBorders>
              <w:bottom w:val="single" w:sz="8" w:color="3A4967"/>
            </w:tcBorders>
          </w:tcPr>
          <w:p>
            <w:pPr>
              <w:spacing w:after="0"/>
              <w:rPr>
                <w:sz w:val="3"/>
                <w:szCs w:val="3"/>
                <w:color w:val="auto"/>
              </w:rPr>
            </w:pPr>
          </w:p>
        </w:tc>
        <w:tc>
          <w:tcPr>
            <w:tcW w:w="900" w:type="dxa"/>
            <w:vAlign w:val="bottom"/>
            <w:tcBorders>
              <w:bottom w:val="single" w:sz="8" w:color="3A4967"/>
            </w:tcBorders>
            <w:gridSpan w:val="2"/>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200" w:type="dxa"/>
            <w:vAlign w:val="bottom"/>
            <w:tcBorders>
              <w:bottom w:val="single" w:sz="8" w:color="3A4967"/>
            </w:tcBorders>
          </w:tcPr>
          <w:p>
            <w:pPr>
              <w:spacing w:after="0"/>
              <w:rPr>
                <w:sz w:val="3"/>
                <w:szCs w:val="3"/>
                <w:color w:val="auto"/>
              </w:rPr>
            </w:pPr>
          </w:p>
        </w:tc>
        <w:tc>
          <w:tcPr>
            <w:tcW w:w="196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20" w:type="dxa"/>
            <w:vAlign w:val="bottom"/>
            <w:tcBorders>
              <w:bottom w:val="single" w:sz="8" w:color="3A4967"/>
            </w:tcBorders>
          </w:tcPr>
          <w:p>
            <w:pPr>
              <w:spacing w:after="0"/>
              <w:rPr>
                <w:sz w:val="3"/>
                <w:szCs w:val="3"/>
                <w:color w:val="auto"/>
              </w:rPr>
            </w:pPr>
          </w:p>
        </w:tc>
      </w:tr>
      <w:tr>
        <w:trPr>
          <w:trHeight w:val="266"/>
        </w:trPr>
        <w:tc>
          <w:tcPr>
            <w:tcW w:w="520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NET INCOME PER COMMON SHARE - DILUTED</w:t>
            </w:r>
          </w:p>
        </w:tc>
        <w:tc>
          <w:tcPr>
            <w:tcW w:w="900" w:type="dxa"/>
            <w:vAlign w:val="bottom"/>
            <w:tcBorders>
              <w:bottom w:val="single" w:sz="8" w:color="3A4967"/>
            </w:tcBorders>
            <w:gridSpan w:val="2"/>
          </w:tcPr>
          <w:p>
            <w:pPr>
              <w:jc w:val="right"/>
              <w:ind w:right="20"/>
              <w:spacing w:after="0"/>
              <w:rPr>
                <w:sz w:val="20"/>
                <w:szCs w:val="20"/>
                <w:color w:val="auto"/>
              </w:rPr>
            </w:pPr>
            <w:r>
              <w:rPr>
                <w:rFonts w:ascii="Arial" w:cs="Arial" w:eastAsia="Arial" w:hAnsi="Arial"/>
                <w:sz w:val="17"/>
                <w:szCs w:val="17"/>
                <w:b w:val="1"/>
                <w:bCs w:val="1"/>
                <w:color w:val="3A4967"/>
              </w:rPr>
              <w:t>$</w:t>
            </w:r>
          </w:p>
        </w:tc>
        <w:tc>
          <w:tcPr>
            <w:tcW w:w="84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67,106</w:t>
            </w:r>
          </w:p>
        </w:tc>
        <w:tc>
          <w:tcPr>
            <w:tcW w:w="200" w:type="dxa"/>
            <w:vAlign w:val="bottom"/>
            <w:tcBorders>
              <w:bottom w:val="single" w:sz="8" w:color="3A4967"/>
            </w:tcBorders>
          </w:tcPr>
          <w:p>
            <w:pPr>
              <w:spacing w:after="0"/>
              <w:rPr>
                <w:sz w:val="23"/>
                <w:szCs w:val="23"/>
                <w:color w:val="auto"/>
              </w:rPr>
            </w:pPr>
          </w:p>
        </w:tc>
        <w:tc>
          <w:tcPr>
            <w:tcW w:w="1960" w:type="dxa"/>
            <w:vAlign w:val="bottom"/>
            <w:tcBorders>
              <w:bottom w:val="single" w:sz="8" w:color="3A4967"/>
            </w:tcBorders>
          </w:tcPr>
          <w:p>
            <w:pPr>
              <w:jc w:val="right"/>
              <w:ind w:right="516"/>
              <w:spacing w:after="0"/>
              <w:rPr>
                <w:sz w:val="20"/>
                <w:szCs w:val="20"/>
                <w:color w:val="auto"/>
              </w:rPr>
            </w:pPr>
            <w:r>
              <w:rPr>
                <w:rFonts w:ascii="Arial" w:cs="Arial" w:eastAsia="Arial" w:hAnsi="Arial"/>
                <w:sz w:val="17"/>
                <w:szCs w:val="17"/>
                <w:b w:val="1"/>
                <w:bCs w:val="1"/>
                <w:color w:val="3A4967"/>
              </w:rPr>
              <w:t>12,345</w:t>
            </w:r>
          </w:p>
        </w:tc>
        <w:tc>
          <w:tcPr>
            <w:tcW w:w="380" w:type="dxa"/>
            <w:vAlign w:val="bottom"/>
            <w:tcBorders>
              <w:bottom w:val="single" w:sz="8" w:color="3A4967"/>
            </w:tcBorders>
          </w:tcPr>
          <w:p>
            <w:pPr>
              <w:jc w:val="right"/>
              <w:ind w:right="135"/>
              <w:spacing w:after="0"/>
              <w:rPr>
                <w:sz w:val="20"/>
                <w:szCs w:val="20"/>
                <w:color w:val="auto"/>
              </w:rPr>
            </w:pPr>
            <w:r>
              <w:rPr>
                <w:rFonts w:ascii="Arial" w:cs="Arial" w:eastAsia="Arial" w:hAnsi="Arial"/>
                <w:sz w:val="17"/>
                <w:szCs w:val="17"/>
                <w:b w:val="1"/>
                <w:bCs w:val="1"/>
                <w:color w:val="3A4967"/>
              </w:rPr>
              <w:t>$</w:t>
            </w:r>
          </w:p>
        </w:tc>
        <w:tc>
          <w:tcPr>
            <w:tcW w:w="6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5.44</w:t>
            </w:r>
          </w:p>
        </w:tc>
        <w:tc>
          <w:tcPr>
            <w:tcW w:w="20" w:type="dxa"/>
            <w:vAlign w:val="bottom"/>
            <w:tcBorders>
              <w:bottom w:val="single" w:sz="8" w:color="3A4967"/>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-4779010</wp:posOffset>
            </wp:positionV>
            <wp:extent cx="6466840" cy="91313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466840" cy="91313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-2942590</wp:posOffset>
            </wp:positionV>
            <wp:extent cx="6483350" cy="9232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483350" cy="92329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-1101090</wp:posOffset>
            </wp:positionV>
            <wp:extent cx="6496050" cy="9232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496050" cy="923290"/>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sectPr>
      </w:pP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Basic net income per common share for each share of Class</w:t>
      </w:r>
    </w:p>
    <w:p>
      <w:pPr>
        <w:spacing w:after="0" w:line="13" w:lineRule="exact"/>
        <w:rPr>
          <w:sz w:val="20"/>
          <w:szCs w:val="20"/>
          <w:color w:val="auto"/>
        </w:rPr>
      </w:pPr>
    </w:p>
    <w:p>
      <w:pPr>
        <w:jc w:val="both"/>
        <w:ind w:left="400" w:hanging="9"/>
        <w:spacing w:after="0" w:line="253" w:lineRule="auto"/>
        <w:tabs>
          <w:tab w:leader="none" w:pos="596" w:val="left"/>
        </w:tabs>
        <w:numPr>
          <w:ilvl w:val="0"/>
          <w:numId w:val="19"/>
        </w:numPr>
        <w:rPr>
          <w:rFonts w:ascii="Arial" w:cs="Arial" w:eastAsia="Arial" w:hAnsi="Arial"/>
          <w:sz w:val="18"/>
          <w:szCs w:val="18"/>
          <w:color w:val="3A4967"/>
        </w:rPr>
      </w:pPr>
      <w:r>
        <w:rPr>
          <w:rFonts w:ascii="Arial" w:cs="Arial" w:eastAsia="Arial" w:hAnsi="Arial"/>
          <w:sz w:val="18"/>
          <w:szCs w:val="18"/>
          <w:color w:val="3A4967"/>
        </w:rPr>
        <w:t>Common Stock and Class B Common Stock is $5.07, $6.23, and $5.46 for the fiscal years 2024, 2023, and 2022, respectively, as each share of Class A and Class B participates equally in earnings. Shares of Class B are convertible at any time into shares of Class A on a one-for-one basis at the option of the stockholder.</w:t>
      </w:r>
    </w:p>
    <w:p>
      <w:pPr>
        <w:spacing w:after="0" w:line="96" w:lineRule="exact"/>
        <w:rPr>
          <w:sz w:val="20"/>
          <w:szCs w:val="20"/>
          <w:color w:val="auto"/>
        </w:rPr>
      </w:pPr>
    </w:p>
    <w:p>
      <w:pPr>
        <w:ind w:left="400" w:right="20"/>
        <w:spacing w:after="0" w:line="297" w:lineRule="auto"/>
        <w:rPr>
          <w:sz w:val="20"/>
          <w:szCs w:val="20"/>
          <w:color w:val="auto"/>
        </w:rPr>
      </w:pPr>
      <w:r>
        <w:rPr>
          <w:rFonts w:ascii="Arial" w:cs="Arial" w:eastAsia="Arial" w:hAnsi="Arial"/>
          <w:sz w:val="17"/>
          <w:szCs w:val="17"/>
          <w:color w:val="3A4967"/>
        </w:rPr>
        <w:t>Weighted average stock options to purchase approximately 142,000, 52,000, and 17,000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589280</wp:posOffset>
            </wp:positionV>
            <wp:extent cx="2584450" cy="19177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3A4967"/>
        </w:rPr>
        <w:t>were outstanding during fiscal years 2024, 2023, and 2022, respectively, but not included in computing diluted income per share because their effects were anti- dilutive. Additionally, approximately 52,000, 54,000, and 1,000 performance awards were outstanding during fiscal years 2024, 2023, and 2022, respectively, but not included in computing dilutive income per share because the performance criteria of these stock awards were not met at the respective fiscal year ends.</w:t>
      </w:r>
    </w:p>
    <w:p>
      <w:pPr>
        <w:spacing w:after="0" w:line="570"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58</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68" w:name="page69"/>
    <w:bookmarkEnd w:id="68"/>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R. Accumulated Other Comprehensive Loss</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3A4967"/>
        </w:rPr>
        <w:t>Accumulated other comprehensive loss represents cumulative currency translation adjustments and amounts of unrecognized actuarial gains or losses related to the Company sponsored post-retirement medical plan, net of tax effect. Changes in accumulated other comprehensive loss represent currency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380"/>
        <w:spacing w:after="0" w:line="254" w:lineRule="auto"/>
        <w:rPr>
          <w:sz w:val="20"/>
          <w:szCs w:val="20"/>
          <w:color w:val="auto"/>
        </w:rPr>
      </w:pPr>
      <w:r>
        <w:rPr>
          <w:rFonts w:ascii="Arial" w:cs="Arial" w:eastAsia="Arial" w:hAnsi="Arial"/>
          <w:sz w:val="18"/>
          <w:szCs w:val="18"/>
          <w:color w:val="3A4967"/>
        </w:rPr>
        <w:t>translation adjustments due to exchange rate fluctuations in the period and actuarial losses or gains, net of tax effect, recognized as components of net periodic benefit costs. The components of the accumulated other comprehensive loss was as follows as of:</w:t>
      </w:r>
    </w:p>
    <w:p>
      <w:pPr>
        <w:spacing w:after="0" w:line="188"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584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266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28, 2024</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30, 2023</w:t>
            </w:r>
          </w:p>
        </w:tc>
      </w:tr>
      <w:tr>
        <w:trPr>
          <w:trHeight w:val="36"/>
        </w:trPr>
        <w:tc>
          <w:tcPr>
            <w:tcW w:w="5840" w:type="dxa"/>
            <w:vAlign w:val="bottom"/>
            <w:tcBorders>
              <w:bottom w:val="single" w:sz="8" w:color="3A4967"/>
            </w:tcBorders>
          </w:tcPr>
          <w:p>
            <w:pPr>
              <w:spacing w:after="0"/>
              <w:rPr>
                <w:sz w:val="3"/>
                <w:szCs w:val="3"/>
                <w:color w:val="auto"/>
              </w:rPr>
            </w:pPr>
          </w:p>
        </w:tc>
        <w:tc>
          <w:tcPr>
            <w:tcW w:w="166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0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r>
      <w:tr>
        <w:trPr>
          <w:trHeight w:val="227"/>
        </w:trPr>
        <w:tc>
          <w:tcPr>
            <w:tcW w:w="5840" w:type="dxa"/>
            <w:vAlign w:val="bottom"/>
          </w:tcPr>
          <w:p>
            <w:pPr>
              <w:ind w:left="80"/>
              <w:spacing w:after="0"/>
              <w:rPr>
                <w:sz w:val="20"/>
                <w:szCs w:val="20"/>
                <w:color w:val="auto"/>
              </w:rPr>
            </w:pPr>
            <w:r>
              <w:rPr>
                <w:rFonts w:ascii="Arial" w:cs="Arial" w:eastAsia="Arial" w:hAnsi="Arial"/>
                <w:sz w:val="17"/>
                <w:szCs w:val="17"/>
                <w:color w:val="3A4967"/>
              </w:rPr>
              <w:t>Cumulative currency translation adjustments</w:t>
            </w:r>
          </w:p>
        </w:tc>
        <w:tc>
          <w:tcPr>
            <w:tcW w:w="1660" w:type="dxa"/>
            <w:vAlign w:val="bottom"/>
          </w:tcPr>
          <w:p>
            <w:pPr>
              <w:jc w:val="right"/>
              <w:ind w:right="437"/>
              <w:spacing w:after="0"/>
              <w:rPr>
                <w:sz w:val="20"/>
                <w:szCs w:val="20"/>
                <w:color w:val="auto"/>
              </w:rPr>
            </w:pPr>
            <w:r>
              <w:rPr>
                <w:rFonts w:ascii="Arial" w:cs="Arial" w:eastAsia="Arial" w:hAnsi="Arial"/>
                <w:sz w:val="17"/>
                <w:szCs w:val="17"/>
                <w:color w:val="3A4967"/>
              </w:rPr>
              <w:t>$</w:t>
            </w:r>
          </w:p>
        </w:tc>
        <w:tc>
          <w:tcPr>
            <w:tcW w:w="1000" w:type="dxa"/>
            <w:vAlign w:val="bottom"/>
          </w:tcPr>
          <w:p>
            <w:pPr>
              <w:jc w:val="right"/>
              <w:spacing w:after="0"/>
              <w:rPr>
                <w:sz w:val="20"/>
                <w:szCs w:val="20"/>
                <w:color w:val="auto"/>
              </w:rPr>
            </w:pPr>
            <w:r>
              <w:rPr>
                <w:rFonts w:ascii="Arial" w:cs="Arial" w:eastAsia="Arial" w:hAnsi="Arial"/>
                <w:sz w:val="17"/>
                <w:szCs w:val="17"/>
                <w:color w:val="3A4967"/>
              </w:rPr>
              <w:t>(856)</w:t>
            </w:r>
          </w:p>
        </w:tc>
        <w:tc>
          <w:tcPr>
            <w:tcW w:w="700" w:type="dxa"/>
            <w:vAlign w:val="bottom"/>
          </w:tcPr>
          <w:p>
            <w:pPr>
              <w:jc w:val="right"/>
              <w:ind w:right="437"/>
              <w:spacing w:after="0"/>
              <w:rPr>
                <w:sz w:val="20"/>
                <w:szCs w:val="20"/>
                <w:color w:val="auto"/>
              </w:rPr>
            </w:pPr>
            <w:r>
              <w:rPr>
                <w:rFonts w:ascii="Arial" w:cs="Arial" w:eastAsia="Arial" w:hAnsi="Arial"/>
                <w:sz w:val="17"/>
                <w:szCs w:val="17"/>
                <w:color w:val="3A4967"/>
              </w:rPr>
              <w:t>$</w:t>
            </w:r>
          </w:p>
        </w:tc>
        <w:tc>
          <w:tcPr>
            <w:tcW w:w="980" w:type="dxa"/>
            <w:vAlign w:val="bottom"/>
          </w:tcPr>
          <w:p>
            <w:pPr>
              <w:jc w:val="right"/>
              <w:spacing w:after="0"/>
              <w:rPr>
                <w:sz w:val="20"/>
                <w:szCs w:val="20"/>
                <w:color w:val="auto"/>
              </w:rPr>
            </w:pPr>
            <w:r>
              <w:rPr>
                <w:rFonts w:ascii="Arial" w:cs="Arial" w:eastAsia="Arial" w:hAnsi="Arial"/>
                <w:sz w:val="17"/>
                <w:szCs w:val="17"/>
                <w:color w:val="3A4967"/>
              </w:rPr>
              <w:t>(141)</w:t>
            </w:r>
          </w:p>
        </w:tc>
      </w:tr>
      <w:tr>
        <w:trPr>
          <w:trHeight w:val="41"/>
        </w:trPr>
        <w:tc>
          <w:tcPr>
            <w:tcW w:w="5840" w:type="dxa"/>
            <w:vAlign w:val="bottom"/>
            <w:tcBorders>
              <w:bottom w:val="single" w:sz="8" w:color="3A4967"/>
            </w:tcBorders>
          </w:tcPr>
          <w:p>
            <w:pPr>
              <w:spacing w:after="0"/>
              <w:rPr>
                <w:sz w:val="3"/>
                <w:szCs w:val="3"/>
                <w:color w:val="auto"/>
              </w:rPr>
            </w:pPr>
          </w:p>
        </w:tc>
        <w:tc>
          <w:tcPr>
            <w:tcW w:w="166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0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r>
      <w:tr>
        <w:trPr>
          <w:trHeight w:val="227"/>
        </w:trPr>
        <w:tc>
          <w:tcPr>
            <w:tcW w:w="5840" w:type="dxa"/>
            <w:vAlign w:val="bottom"/>
          </w:tcPr>
          <w:p>
            <w:pPr>
              <w:ind w:left="80"/>
              <w:spacing w:after="0"/>
              <w:rPr>
                <w:sz w:val="20"/>
                <w:szCs w:val="20"/>
                <w:color w:val="auto"/>
              </w:rPr>
            </w:pPr>
            <w:r>
              <w:rPr>
                <w:rFonts w:ascii="Arial" w:cs="Arial" w:eastAsia="Arial" w:hAnsi="Arial"/>
                <w:sz w:val="17"/>
                <w:szCs w:val="17"/>
                <w:color w:val="3A4967"/>
              </w:rPr>
              <w:t>Deferred benefit costs, net of tax</w:t>
            </w:r>
          </w:p>
        </w:tc>
        <w:tc>
          <w:tcPr>
            <w:tcW w:w="1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3A4967"/>
              </w:rPr>
              <w:t>160</w:t>
            </w: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84</w:t>
            </w:r>
          </w:p>
        </w:tc>
      </w:tr>
      <w:tr>
        <w:trPr>
          <w:trHeight w:val="41"/>
        </w:trPr>
        <w:tc>
          <w:tcPr>
            <w:tcW w:w="5840" w:type="dxa"/>
            <w:vAlign w:val="bottom"/>
            <w:tcBorders>
              <w:bottom w:val="single" w:sz="8" w:color="3A4967"/>
            </w:tcBorders>
          </w:tcPr>
          <w:p>
            <w:pPr>
              <w:spacing w:after="0"/>
              <w:rPr>
                <w:sz w:val="3"/>
                <w:szCs w:val="3"/>
                <w:color w:val="auto"/>
              </w:rPr>
            </w:pPr>
          </w:p>
        </w:tc>
        <w:tc>
          <w:tcPr>
            <w:tcW w:w="1660" w:type="dxa"/>
            <w:vAlign w:val="bottom"/>
            <w:tcBorders>
              <w:bottom w:val="single" w:sz="8" w:color="3A4967"/>
            </w:tcBorders>
          </w:tcPr>
          <w:p>
            <w:pPr>
              <w:spacing w:after="0"/>
              <w:rPr>
                <w:sz w:val="3"/>
                <w:szCs w:val="3"/>
                <w:color w:val="auto"/>
              </w:rPr>
            </w:pPr>
          </w:p>
        </w:tc>
        <w:tc>
          <w:tcPr>
            <w:tcW w:w="1000" w:type="dxa"/>
            <w:vAlign w:val="bottom"/>
            <w:tcBorders>
              <w:bottom w:val="single" w:sz="8" w:color="3A4967"/>
            </w:tcBorders>
          </w:tcPr>
          <w:p>
            <w:pPr>
              <w:spacing w:after="0"/>
              <w:rPr>
                <w:sz w:val="3"/>
                <w:szCs w:val="3"/>
                <w:color w:val="auto"/>
              </w:rPr>
            </w:pPr>
          </w:p>
        </w:tc>
        <w:tc>
          <w:tcPr>
            <w:tcW w:w="70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r>
      <w:tr>
        <w:trPr>
          <w:trHeight w:val="267"/>
        </w:trPr>
        <w:tc>
          <w:tcPr>
            <w:tcW w:w="584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TOTAL ACCUMULATED OTHER COMPREHENSIVE LOSS</w:t>
            </w:r>
          </w:p>
        </w:tc>
        <w:tc>
          <w:tcPr>
            <w:tcW w:w="1660" w:type="dxa"/>
            <w:vAlign w:val="bottom"/>
            <w:tcBorders>
              <w:bottom w:val="single" w:sz="8" w:color="3A4967"/>
            </w:tcBorders>
          </w:tcPr>
          <w:p>
            <w:pPr>
              <w:jc w:val="right"/>
              <w:ind w:right="437"/>
              <w:spacing w:after="0"/>
              <w:rPr>
                <w:sz w:val="20"/>
                <w:szCs w:val="20"/>
                <w:color w:val="auto"/>
              </w:rPr>
            </w:pPr>
            <w:r>
              <w:rPr>
                <w:rFonts w:ascii="Arial" w:cs="Arial" w:eastAsia="Arial" w:hAnsi="Arial"/>
                <w:sz w:val="17"/>
                <w:szCs w:val="17"/>
                <w:b w:val="1"/>
                <w:bCs w:val="1"/>
                <w:color w:val="3A4967"/>
              </w:rPr>
              <w:t>$</w:t>
            </w:r>
          </w:p>
        </w:tc>
        <w:tc>
          <w:tcPr>
            <w:tcW w:w="100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(696)</w:t>
            </w:r>
          </w:p>
        </w:tc>
        <w:tc>
          <w:tcPr>
            <w:tcW w:w="700" w:type="dxa"/>
            <w:vAlign w:val="bottom"/>
            <w:tcBorders>
              <w:bottom w:val="single" w:sz="8" w:color="3A4967"/>
            </w:tcBorders>
          </w:tcPr>
          <w:p>
            <w:pPr>
              <w:jc w:val="right"/>
              <w:ind w:right="437"/>
              <w:spacing w:after="0"/>
              <w:rPr>
                <w:sz w:val="20"/>
                <w:szCs w:val="20"/>
                <w:color w:val="auto"/>
              </w:rPr>
            </w:pPr>
            <w:r>
              <w:rPr>
                <w:rFonts w:ascii="Arial" w:cs="Arial" w:eastAsia="Arial" w:hAnsi="Arial"/>
                <w:sz w:val="17"/>
                <w:szCs w:val="17"/>
                <w:b w:val="1"/>
                <w:bCs w:val="1"/>
                <w:color w:val="3A4967"/>
              </w:rPr>
              <w:t>$</w:t>
            </w:r>
          </w:p>
        </w:tc>
        <w:tc>
          <w:tcPr>
            <w:tcW w:w="9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-564515</wp:posOffset>
            </wp:positionV>
            <wp:extent cx="6487160" cy="56007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487160" cy="56007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S. Valuation and Qualifying Accounts</w:t>
      </w:r>
    </w:p>
    <w:p>
      <w:pPr>
        <w:spacing w:after="0" w:line="11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3A4967"/>
        </w:rPr>
        <w:t>The Company maintains reserves against accounts receivable for doubtful accounts and inventory for obsolete and slow-moving inventory. The Company also maintains reserves against accounts receivable for distributor promotional allowances. In addition, the Company maintains a reserve for estimated returns of stale beer, which is included in accrued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120" w:type="dxa"/>
            <w:vAlign w:val="bottom"/>
            <w:gridSpan w:val="3"/>
          </w:tcPr>
          <w:p>
            <w:pPr>
              <w:jc w:val="center"/>
              <w:ind w:left="416"/>
              <w:spacing w:after="0"/>
              <w:rPr>
                <w:sz w:val="20"/>
                <w:szCs w:val="20"/>
                <w:color w:val="auto"/>
              </w:rPr>
            </w:pPr>
            <w:r>
              <w:rPr>
                <w:rFonts w:ascii="Arial" w:cs="Arial" w:eastAsia="Arial" w:hAnsi="Arial"/>
                <w:sz w:val="16"/>
                <w:szCs w:val="16"/>
                <w:b w:val="1"/>
                <w:bCs w:val="1"/>
                <w:color w:val="3A4967"/>
              </w:rPr>
              <w:t>Balance at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tcPr>
          <w:p>
            <w:pPr>
              <w:jc w:val="right"/>
              <w:ind w:right="417"/>
              <w:spacing w:after="0"/>
              <w:rPr>
                <w:sz w:val="20"/>
                <w:szCs w:val="20"/>
                <w:color w:val="auto"/>
              </w:rPr>
            </w:pPr>
            <w:r>
              <w:rPr>
                <w:rFonts w:ascii="Arial" w:cs="Arial" w:eastAsia="Arial" w:hAnsi="Arial"/>
                <w:sz w:val="16"/>
                <w:szCs w:val="16"/>
                <w:b w:val="1"/>
                <w:bCs w:val="1"/>
                <w:color w:val="3A4967"/>
              </w:rPr>
              <w:t>Amounts</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Balance at</w:t>
            </w:r>
          </w:p>
        </w:tc>
      </w:tr>
      <w:tr>
        <w:trPr>
          <w:trHeight w:val="192"/>
        </w:trPr>
        <w:tc>
          <w:tcPr>
            <w:tcW w:w="3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jc w:val="center"/>
              <w:ind w:right="316"/>
              <w:spacing w:after="0"/>
              <w:rPr>
                <w:sz w:val="20"/>
                <w:szCs w:val="20"/>
                <w:color w:val="auto"/>
              </w:rPr>
            </w:pPr>
            <w:r>
              <w:rPr>
                <w:rFonts w:ascii="Arial" w:cs="Arial" w:eastAsia="Arial" w:hAnsi="Arial"/>
                <w:sz w:val="16"/>
                <w:szCs w:val="16"/>
                <w:b w:val="1"/>
                <w:bCs w:val="1"/>
                <w:color w:val="3A4967"/>
                <w:w w:val="99"/>
              </w:rPr>
              <w:t>Beginning</w:t>
            </w:r>
          </w:p>
        </w:tc>
        <w:tc>
          <w:tcPr>
            <w:tcW w:w="120" w:type="dxa"/>
            <w:vAlign w:val="bottom"/>
          </w:tcPr>
          <w:p>
            <w:pPr>
              <w:spacing w:after="0"/>
              <w:rPr>
                <w:sz w:val="16"/>
                <w:szCs w:val="16"/>
                <w:color w:val="auto"/>
              </w:rPr>
            </w:pPr>
          </w:p>
        </w:tc>
        <w:tc>
          <w:tcPr>
            <w:tcW w:w="1220" w:type="dxa"/>
            <w:vAlign w:val="bottom"/>
            <w:gridSpan w:val="2"/>
          </w:tcPr>
          <w:p>
            <w:pPr>
              <w:jc w:val="right"/>
              <w:ind w:right="116"/>
              <w:spacing w:after="0"/>
              <w:rPr>
                <w:sz w:val="20"/>
                <w:szCs w:val="20"/>
                <w:color w:val="auto"/>
              </w:rPr>
            </w:pPr>
            <w:r>
              <w:rPr>
                <w:rFonts w:ascii="Arial" w:cs="Arial" w:eastAsia="Arial" w:hAnsi="Arial"/>
                <w:sz w:val="16"/>
                <w:szCs w:val="16"/>
                <w:b w:val="1"/>
                <w:bCs w:val="1"/>
                <w:color w:val="3A4967"/>
                <w:w w:val="96"/>
              </w:rPr>
              <w:t>Net Provision</w:t>
            </w:r>
          </w:p>
        </w:tc>
        <w:tc>
          <w:tcPr>
            <w:tcW w:w="1820" w:type="dxa"/>
            <w:vAlign w:val="bottom"/>
            <w:gridSpan w:val="2"/>
          </w:tcPr>
          <w:p>
            <w:pPr>
              <w:jc w:val="right"/>
              <w:ind w:right="417"/>
              <w:spacing w:after="0"/>
              <w:rPr>
                <w:sz w:val="20"/>
                <w:szCs w:val="20"/>
                <w:color w:val="auto"/>
              </w:rPr>
            </w:pPr>
            <w:r>
              <w:rPr>
                <w:rFonts w:ascii="Arial" w:cs="Arial" w:eastAsia="Arial" w:hAnsi="Arial"/>
                <w:sz w:val="16"/>
                <w:szCs w:val="16"/>
                <w:b w:val="1"/>
                <w:bCs w:val="1"/>
                <w:color w:val="3A4967"/>
              </w:rPr>
              <w:t>Charged Against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End of</w:t>
            </w:r>
          </w:p>
        </w:tc>
      </w:tr>
      <w:tr>
        <w:trPr>
          <w:trHeight w:val="198"/>
        </w:trPr>
        <w:tc>
          <w:tcPr>
            <w:tcW w:w="358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94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3A4967"/>
              </w:rPr>
              <w:t>of Period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6"/>
              <w:spacing w:after="0"/>
              <w:rPr>
                <w:sz w:val="20"/>
                <w:szCs w:val="20"/>
                <w:color w:val="auto"/>
              </w:rPr>
            </w:pPr>
            <w:r>
              <w:rPr>
                <w:rFonts w:ascii="Arial" w:cs="Arial" w:eastAsia="Arial" w:hAnsi="Arial"/>
                <w:sz w:val="16"/>
                <w:szCs w:val="16"/>
                <w:b w:val="1"/>
                <w:bCs w:val="1"/>
                <w:color w:val="3A4967"/>
              </w:rPr>
              <w:t>(Recovery)</w:t>
            </w:r>
          </w:p>
        </w:tc>
        <w:tc>
          <w:tcPr>
            <w:tcW w:w="540" w:type="dxa"/>
            <w:vAlign w:val="bottom"/>
          </w:tcPr>
          <w:p>
            <w:pPr>
              <w:spacing w:after="0"/>
              <w:rPr>
                <w:sz w:val="17"/>
                <w:szCs w:val="17"/>
                <w:color w:val="auto"/>
              </w:rPr>
            </w:pPr>
          </w:p>
        </w:tc>
        <w:tc>
          <w:tcPr>
            <w:tcW w:w="1280" w:type="dxa"/>
            <w:vAlign w:val="bottom"/>
          </w:tcPr>
          <w:p>
            <w:pPr>
              <w:jc w:val="right"/>
              <w:ind w:right="417"/>
              <w:spacing w:after="0"/>
              <w:rPr>
                <w:sz w:val="20"/>
                <w:szCs w:val="20"/>
                <w:color w:val="auto"/>
              </w:rPr>
            </w:pPr>
            <w:r>
              <w:rPr>
                <w:rFonts w:ascii="Arial" w:cs="Arial" w:eastAsia="Arial" w:hAnsi="Arial"/>
                <w:sz w:val="16"/>
                <w:szCs w:val="16"/>
                <w:b w:val="1"/>
                <w:bCs w:val="1"/>
                <w:color w:val="3A4967"/>
              </w:rPr>
              <w:t>Reserves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Period</w:t>
            </w:r>
          </w:p>
        </w:tc>
      </w:tr>
      <w:tr>
        <w:trPr>
          <w:trHeight w:val="36"/>
        </w:trPr>
        <w:tc>
          <w:tcPr>
            <w:tcW w:w="35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40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20" w:type="dxa"/>
            <w:vAlign w:val="bottom"/>
            <w:tcBorders>
              <w:bottom w:val="single" w:sz="8" w:color="3A4967"/>
            </w:tcBorders>
          </w:tcPr>
          <w:p>
            <w:pPr>
              <w:spacing w:after="0"/>
              <w:rPr>
                <w:sz w:val="3"/>
                <w:szCs w:val="3"/>
                <w:color w:val="auto"/>
              </w:rPr>
            </w:pPr>
          </w:p>
        </w:tc>
        <w:tc>
          <w:tcPr>
            <w:tcW w:w="160" w:type="dxa"/>
            <w:vAlign w:val="bottom"/>
            <w:tcBorders>
              <w:bottom w:val="single" w:sz="8" w:color="3A4967"/>
            </w:tcBorders>
          </w:tcPr>
          <w:p>
            <w:pPr>
              <w:spacing w:after="0"/>
              <w:rPr>
                <w:sz w:val="3"/>
                <w:szCs w:val="3"/>
                <w:color w:val="auto"/>
              </w:rPr>
            </w:pPr>
          </w:p>
        </w:tc>
        <w:tc>
          <w:tcPr>
            <w:tcW w:w="1060" w:type="dxa"/>
            <w:vAlign w:val="bottom"/>
            <w:tcBorders>
              <w:bottom w:val="single" w:sz="8" w:color="3A4967"/>
            </w:tcBorders>
          </w:tcPr>
          <w:p>
            <w:pPr>
              <w:spacing w:after="0"/>
              <w:rPr>
                <w:sz w:val="3"/>
                <w:szCs w:val="3"/>
                <w:color w:val="auto"/>
              </w:rPr>
            </w:pPr>
          </w:p>
        </w:tc>
        <w:tc>
          <w:tcPr>
            <w:tcW w:w="54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r>
      <w:tr>
        <w:trPr>
          <w:trHeight w:val="229"/>
        </w:trPr>
        <w:tc>
          <w:tcPr>
            <w:tcW w:w="3580" w:type="dxa"/>
            <w:vAlign w:val="bottom"/>
          </w:tcPr>
          <w:p>
            <w:pPr>
              <w:ind w:left="80"/>
              <w:spacing w:after="0"/>
              <w:rPr>
                <w:sz w:val="20"/>
                <w:szCs w:val="20"/>
                <w:color w:val="auto"/>
              </w:rPr>
            </w:pPr>
            <w:r>
              <w:rPr>
                <w:rFonts w:ascii="Arial" w:cs="Arial" w:eastAsia="Arial" w:hAnsi="Arial"/>
                <w:sz w:val="17"/>
                <w:szCs w:val="17"/>
                <w:b w:val="1"/>
                <w:bCs w:val="1"/>
                <w:color w:val="3A4967"/>
              </w:rPr>
              <w:t>Allowance for Credit Losses</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7"/>
        </w:trPr>
        <w:tc>
          <w:tcPr>
            <w:tcW w:w="3580" w:type="dxa"/>
            <w:vAlign w:val="bottom"/>
          </w:tcPr>
          <w:p>
            <w:pPr>
              <w:ind w:left="80"/>
              <w:spacing w:after="0"/>
              <w:rPr>
                <w:sz w:val="20"/>
                <w:szCs w:val="20"/>
                <w:color w:val="auto"/>
              </w:rPr>
            </w:pPr>
            <w:r>
              <w:rPr>
                <w:rFonts w:ascii="Arial" w:cs="Arial" w:eastAsia="Arial" w:hAnsi="Arial"/>
                <w:sz w:val="17"/>
                <w:szCs w:val="17"/>
                <w:color w:val="3A4967"/>
              </w:rPr>
              <w:t>2024</w:t>
            </w:r>
          </w:p>
        </w:tc>
        <w:tc>
          <w:tcPr>
            <w:tcW w:w="940" w:type="dxa"/>
            <w:vAlign w:val="bottom"/>
          </w:tcPr>
          <w:p>
            <w:pPr>
              <w:jc w:val="right"/>
              <w:spacing w:after="0"/>
              <w:rPr>
                <w:sz w:val="20"/>
                <w:szCs w:val="20"/>
                <w:color w:val="auto"/>
              </w:rPr>
            </w:pPr>
            <w:r>
              <w:rPr>
                <w:rFonts w:ascii="Arial" w:cs="Arial" w:eastAsia="Arial" w:hAnsi="Arial"/>
                <w:sz w:val="17"/>
                <w:szCs w:val="17"/>
                <w:color w:val="3A4967"/>
              </w:rPr>
              <w:t>$</w:t>
            </w:r>
          </w:p>
        </w:tc>
        <w:tc>
          <w:tcPr>
            <w:tcW w:w="400" w:type="dxa"/>
            <w:vAlign w:val="bottom"/>
          </w:tcPr>
          <w:p>
            <w:pPr>
              <w:spacing w:after="0"/>
              <w:rPr>
                <w:sz w:val="24"/>
                <w:szCs w:val="24"/>
                <w:color w:val="auto"/>
              </w:rPr>
            </w:pPr>
          </w:p>
        </w:tc>
        <w:tc>
          <w:tcPr>
            <w:tcW w:w="780" w:type="dxa"/>
            <w:vAlign w:val="bottom"/>
          </w:tcPr>
          <w:p>
            <w:pPr>
              <w:jc w:val="right"/>
              <w:ind w:right="316"/>
              <w:spacing w:after="0"/>
              <w:rPr>
                <w:sz w:val="20"/>
                <w:szCs w:val="20"/>
                <w:color w:val="auto"/>
              </w:rPr>
            </w:pPr>
            <w:r>
              <w:rPr>
                <w:rFonts w:ascii="Arial" w:cs="Arial" w:eastAsia="Arial" w:hAnsi="Arial"/>
                <w:sz w:val="17"/>
                <w:szCs w:val="17"/>
                <w:color w:val="3A4967"/>
              </w:rPr>
              <w:t>427</w:t>
            </w:r>
          </w:p>
        </w:tc>
        <w:tc>
          <w:tcPr>
            <w:tcW w:w="120" w:type="dxa"/>
            <w:vAlign w:val="bottom"/>
          </w:tcPr>
          <w:p>
            <w:pPr>
              <w:jc w:val="right"/>
              <w:spacing w:after="0"/>
              <w:rPr>
                <w:sz w:val="20"/>
                <w:szCs w:val="20"/>
                <w:color w:val="auto"/>
              </w:rPr>
            </w:pPr>
            <w:r>
              <w:rPr>
                <w:rFonts w:ascii="Arial" w:cs="Arial" w:eastAsia="Arial" w:hAnsi="Arial"/>
                <w:sz w:val="17"/>
                <w:szCs w:val="17"/>
                <w:color w:val="3A4967"/>
                <w:w w:val="84"/>
              </w:rPr>
              <w:t>$</w:t>
            </w:r>
          </w:p>
        </w:tc>
        <w:tc>
          <w:tcPr>
            <w:tcW w:w="160" w:type="dxa"/>
            <w:vAlign w:val="bottom"/>
          </w:tcPr>
          <w:p>
            <w:pPr>
              <w:spacing w:after="0"/>
              <w:rPr>
                <w:sz w:val="24"/>
                <w:szCs w:val="24"/>
                <w:color w:val="auto"/>
              </w:rPr>
            </w:pPr>
          </w:p>
        </w:tc>
        <w:tc>
          <w:tcPr>
            <w:tcW w:w="1060" w:type="dxa"/>
            <w:vAlign w:val="bottom"/>
          </w:tcPr>
          <w:p>
            <w:pPr>
              <w:jc w:val="center"/>
              <w:ind w:left="396"/>
              <w:spacing w:after="0"/>
              <w:rPr>
                <w:sz w:val="20"/>
                <w:szCs w:val="20"/>
                <w:color w:val="auto"/>
              </w:rPr>
            </w:pPr>
            <w:r>
              <w:rPr>
                <w:rFonts w:ascii="Arial" w:cs="Arial" w:eastAsia="Arial" w:hAnsi="Arial"/>
                <w:sz w:val="17"/>
                <w:szCs w:val="17"/>
                <w:color w:val="3A4967"/>
                <w:w w:val="94"/>
              </w:rPr>
              <w:t>26</w:t>
            </w:r>
          </w:p>
        </w:tc>
        <w:tc>
          <w:tcPr>
            <w:tcW w:w="540" w:type="dxa"/>
            <w:vAlign w:val="bottom"/>
          </w:tcPr>
          <w:p>
            <w:pPr>
              <w:ind w:left="320"/>
              <w:spacing w:after="0"/>
              <w:rPr>
                <w:sz w:val="20"/>
                <w:szCs w:val="20"/>
                <w:color w:val="auto"/>
              </w:rPr>
            </w:pPr>
            <w:r>
              <w:rPr>
                <w:rFonts w:ascii="Arial" w:cs="Arial" w:eastAsia="Arial" w:hAnsi="Arial"/>
                <w:sz w:val="17"/>
                <w:szCs w:val="17"/>
                <w:color w:val="3A4967"/>
              </w:rPr>
              <w:t>$</w:t>
            </w:r>
          </w:p>
        </w:tc>
        <w:tc>
          <w:tcPr>
            <w:tcW w:w="1280" w:type="dxa"/>
            <w:vAlign w:val="bottom"/>
          </w:tcPr>
          <w:p>
            <w:pPr>
              <w:jc w:val="right"/>
              <w:ind w:right="377"/>
              <w:spacing w:after="0"/>
              <w:rPr>
                <w:sz w:val="20"/>
                <w:szCs w:val="20"/>
                <w:color w:val="auto"/>
              </w:rPr>
            </w:pPr>
            <w:r>
              <w:rPr>
                <w:rFonts w:ascii="Arial" w:cs="Arial" w:eastAsia="Arial" w:hAnsi="Arial"/>
                <w:sz w:val="17"/>
                <w:szCs w:val="17"/>
                <w:color w:val="3A4967"/>
              </w:rPr>
              <w:t>(406)</w:t>
            </w:r>
          </w:p>
        </w:tc>
        <w:tc>
          <w:tcPr>
            <w:tcW w:w="380" w:type="dxa"/>
            <w:vAlign w:val="bottom"/>
          </w:tcPr>
          <w:p>
            <w:pPr>
              <w:jc w:val="right"/>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47</w:t>
            </w:r>
          </w:p>
        </w:tc>
      </w:tr>
      <w:tr>
        <w:trPr>
          <w:trHeight w:val="281"/>
        </w:trPr>
        <w:tc>
          <w:tcPr>
            <w:tcW w:w="3580" w:type="dxa"/>
            <w:vAlign w:val="bottom"/>
          </w:tcPr>
          <w:p>
            <w:pPr>
              <w:ind w:left="80"/>
              <w:spacing w:after="0"/>
              <w:rPr>
                <w:sz w:val="20"/>
                <w:szCs w:val="20"/>
                <w:color w:val="auto"/>
              </w:rPr>
            </w:pPr>
            <w:r>
              <w:rPr>
                <w:rFonts w:ascii="Arial" w:cs="Arial" w:eastAsia="Arial" w:hAnsi="Arial"/>
                <w:sz w:val="17"/>
                <w:szCs w:val="17"/>
                <w:color w:val="3A4967"/>
              </w:rPr>
              <w:t>2023</w:t>
            </w:r>
          </w:p>
        </w:tc>
        <w:tc>
          <w:tcPr>
            <w:tcW w:w="940" w:type="dxa"/>
            <w:vAlign w:val="bottom"/>
          </w:tcPr>
          <w:p>
            <w:pPr>
              <w:jc w:val="right"/>
              <w:spacing w:after="0"/>
              <w:rPr>
                <w:sz w:val="20"/>
                <w:szCs w:val="20"/>
                <w:color w:val="auto"/>
              </w:rPr>
            </w:pPr>
            <w:r>
              <w:rPr>
                <w:rFonts w:ascii="Arial" w:cs="Arial" w:eastAsia="Arial" w:hAnsi="Arial"/>
                <w:sz w:val="17"/>
                <w:szCs w:val="17"/>
                <w:color w:val="3A4967"/>
              </w:rPr>
              <w:t>$</w:t>
            </w:r>
          </w:p>
        </w:tc>
        <w:tc>
          <w:tcPr>
            <w:tcW w:w="400" w:type="dxa"/>
            <w:vAlign w:val="bottom"/>
          </w:tcPr>
          <w:p>
            <w:pPr>
              <w:spacing w:after="0"/>
              <w:rPr>
                <w:sz w:val="24"/>
                <w:szCs w:val="24"/>
                <w:color w:val="auto"/>
              </w:rPr>
            </w:pPr>
          </w:p>
        </w:tc>
        <w:tc>
          <w:tcPr>
            <w:tcW w:w="780" w:type="dxa"/>
            <w:vAlign w:val="bottom"/>
          </w:tcPr>
          <w:p>
            <w:pPr>
              <w:jc w:val="right"/>
              <w:ind w:right="316"/>
              <w:spacing w:after="0"/>
              <w:rPr>
                <w:sz w:val="20"/>
                <w:szCs w:val="20"/>
                <w:color w:val="auto"/>
              </w:rPr>
            </w:pPr>
            <w:r>
              <w:rPr>
                <w:rFonts w:ascii="Arial" w:cs="Arial" w:eastAsia="Arial" w:hAnsi="Arial"/>
                <w:sz w:val="17"/>
                <w:szCs w:val="17"/>
                <w:color w:val="3A4967"/>
              </w:rPr>
              <w:t>418</w:t>
            </w:r>
          </w:p>
        </w:tc>
        <w:tc>
          <w:tcPr>
            <w:tcW w:w="120" w:type="dxa"/>
            <w:vAlign w:val="bottom"/>
          </w:tcPr>
          <w:p>
            <w:pPr>
              <w:jc w:val="right"/>
              <w:spacing w:after="0"/>
              <w:rPr>
                <w:sz w:val="20"/>
                <w:szCs w:val="20"/>
                <w:color w:val="auto"/>
              </w:rPr>
            </w:pPr>
            <w:r>
              <w:rPr>
                <w:rFonts w:ascii="Arial" w:cs="Arial" w:eastAsia="Arial" w:hAnsi="Arial"/>
                <w:sz w:val="17"/>
                <w:szCs w:val="17"/>
                <w:color w:val="3A4967"/>
                <w:w w:val="84"/>
              </w:rPr>
              <w:t>$</w:t>
            </w:r>
          </w:p>
        </w:tc>
        <w:tc>
          <w:tcPr>
            <w:tcW w:w="160" w:type="dxa"/>
            <w:vAlign w:val="bottom"/>
          </w:tcPr>
          <w:p>
            <w:pPr>
              <w:spacing w:after="0"/>
              <w:rPr>
                <w:sz w:val="24"/>
                <w:szCs w:val="24"/>
                <w:color w:val="auto"/>
              </w:rPr>
            </w:pPr>
          </w:p>
        </w:tc>
        <w:tc>
          <w:tcPr>
            <w:tcW w:w="1060" w:type="dxa"/>
            <w:vAlign w:val="bottom"/>
          </w:tcPr>
          <w:p>
            <w:pPr>
              <w:jc w:val="center"/>
              <w:ind w:left="396"/>
              <w:spacing w:after="0"/>
              <w:rPr>
                <w:sz w:val="20"/>
                <w:szCs w:val="20"/>
                <w:color w:val="auto"/>
              </w:rPr>
            </w:pPr>
            <w:r>
              <w:rPr>
                <w:rFonts w:ascii="Arial" w:cs="Arial" w:eastAsia="Arial" w:hAnsi="Arial"/>
                <w:sz w:val="17"/>
                <w:szCs w:val="17"/>
                <w:color w:val="3A4967"/>
                <w:w w:val="94"/>
              </w:rPr>
              <w:t>15</w:t>
            </w:r>
          </w:p>
        </w:tc>
        <w:tc>
          <w:tcPr>
            <w:tcW w:w="540" w:type="dxa"/>
            <w:vAlign w:val="bottom"/>
          </w:tcPr>
          <w:p>
            <w:pPr>
              <w:ind w:left="320"/>
              <w:spacing w:after="0"/>
              <w:rPr>
                <w:sz w:val="20"/>
                <w:szCs w:val="20"/>
                <w:color w:val="auto"/>
              </w:rPr>
            </w:pPr>
            <w:r>
              <w:rPr>
                <w:rFonts w:ascii="Arial" w:cs="Arial" w:eastAsia="Arial" w:hAnsi="Arial"/>
                <w:sz w:val="17"/>
                <w:szCs w:val="17"/>
                <w:color w:val="3A4967"/>
              </w:rPr>
              <w:t>$</w:t>
            </w:r>
          </w:p>
        </w:tc>
        <w:tc>
          <w:tcPr>
            <w:tcW w:w="1280" w:type="dxa"/>
            <w:vAlign w:val="bottom"/>
          </w:tcPr>
          <w:p>
            <w:pPr>
              <w:jc w:val="right"/>
              <w:ind w:right="377"/>
              <w:spacing w:after="0"/>
              <w:rPr>
                <w:sz w:val="20"/>
                <w:szCs w:val="20"/>
                <w:color w:val="auto"/>
              </w:rPr>
            </w:pPr>
            <w:r>
              <w:rPr>
                <w:rFonts w:ascii="Arial" w:cs="Arial" w:eastAsia="Arial" w:hAnsi="Arial"/>
                <w:sz w:val="17"/>
                <w:szCs w:val="17"/>
                <w:color w:val="3A4967"/>
              </w:rPr>
              <w:t>(6)</w:t>
            </w:r>
          </w:p>
        </w:tc>
        <w:tc>
          <w:tcPr>
            <w:tcW w:w="380" w:type="dxa"/>
            <w:vAlign w:val="bottom"/>
          </w:tcPr>
          <w:p>
            <w:pPr>
              <w:jc w:val="right"/>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427</w:t>
            </w:r>
          </w:p>
        </w:tc>
      </w:tr>
      <w:tr>
        <w:trPr>
          <w:trHeight w:val="281"/>
        </w:trPr>
        <w:tc>
          <w:tcPr>
            <w:tcW w:w="3580" w:type="dxa"/>
            <w:vAlign w:val="bottom"/>
          </w:tcPr>
          <w:p>
            <w:pPr>
              <w:ind w:left="80"/>
              <w:spacing w:after="0"/>
              <w:rPr>
                <w:sz w:val="20"/>
                <w:szCs w:val="20"/>
                <w:color w:val="auto"/>
              </w:rPr>
            </w:pPr>
            <w:r>
              <w:rPr>
                <w:rFonts w:ascii="Arial" w:cs="Arial" w:eastAsia="Arial" w:hAnsi="Arial"/>
                <w:sz w:val="17"/>
                <w:szCs w:val="17"/>
                <w:color w:val="3A4967"/>
              </w:rPr>
              <w:t>2022</w:t>
            </w:r>
          </w:p>
        </w:tc>
        <w:tc>
          <w:tcPr>
            <w:tcW w:w="940" w:type="dxa"/>
            <w:vAlign w:val="bottom"/>
          </w:tcPr>
          <w:p>
            <w:pPr>
              <w:jc w:val="right"/>
              <w:spacing w:after="0"/>
              <w:rPr>
                <w:sz w:val="20"/>
                <w:szCs w:val="20"/>
                <w:color w:val="auto"/>
              </w:rPr>
            </w:pPr>
            <w:r>
              <w:rPr>
                <w:rFonts w:ascii="Arial" w:cs="Arial" w:eastAsia="Arial" w:hAnsi="Arial"/>
                <w:sz w:val="17"/>
                <w:szCs w:val="17"/>
                <w:color w:val="3A4967"/>
              </w:rPr>
              <w:t>$</w:t>
            </w:r>
          </w:p>
        </w:tc>
        <w:tc>
          <w:tcPr>
            <w:tcW w:w="400" w:type="dxa"/>
            <w:vAlign w:val="bottom"/>
          </w:tcPr>
          <w:p>
            <w:pPr>
              <w:spacing w:after="0"/>
              <w:rPr>
                <w:sz w:val="24"/>
                <w:szCs w:val="24"/>
                <w:color w:val="auto"/>
              </w:rPr>
            </w:pPr>
          </w:p>
        </w:tc>
        <w:tc>
          <w:tcPr>
            <w:tcW w:w="780" w:type="dxa"/>
            <w:vAlign w:val="bottom"/>
          </w:tcPr>
          <w:p>
            <w:pPr>
              <w:jc w:val="right"/>
              <w:ind w:right="316"/>
              <w:spacing w:after="0"/>
              <w:rPr>
                <w:sz w:val="20"/>
                <w:szCs w:val="20"/>
                <w:color w:val="auto"/>
              </w:rPr>
            </w:pPr>
            <w:r>
              <w:rPr>
                <w:rFonts w:ascii="Arial" w:cs="Arial" w:eastAsia="Arial" w:hAnsi="Arial"/>
                <w:sz w:val="17"/>
                <w:szCs w:val="17"/>
                <w:color w:val="3A4967"/>
              </w:rPr>
              <w:t>353</w:t>
            </w:r>
          </w:p>
        </w:tc>
        <w:tc>
          <w:tcPr>
            <w:tcW w:w="120" w:type="dxa"/>
            <w:vAlign w:val="bottom"/>
          </w:tcPr>
          <w:p>
            <w:pPr>
              <w:jc w:val="right"/>
              <w:spacing w:after="0"/>
              <w:rPr>
                <w:sz w:val="20"/>
                <w:szCs w:val="20"/>
                <w:color w:val="auto"/>
              </w:rPr>
            </w:pPr>
            <w:r>
              <w:rPr>
                <w:rFonts w:ascii="Arial" w:cs="Arial" w:eastAsia="Arial" w:hAnsi="Arial"/>
                <w:sz w:val="17"/>
                <w:szCs w:val="17"/>
                <w:color w:val="3A4967"/>
                <w:w w:val="84"/>
              </w:rPr>
              <w:t>$</w:t>
            </w:r>
          </w:p>
        </w:tc>
        <w:tc>
          <w:tcPr>
            <w:tcW w:w="160" w:type="dxa"/>
            <w:vAlign w:val="bottom"/>
          </w:tcPr>
          <w:p>
            <w:pPr>
              <w:spacing w:after="0"/>
              <w:rPr>
                <w:sz w:val="24"/>
                <w:szCs w:val="24"/>
                <w:color w:val="auto"/>
              </w:rPr>
            </w:pPr>
          </w:p>
        </w:tc>
        <w:tc>
          <w:tcPr>
            <w:tcW w:w="1060" w:type="dxa"/>
            <w:vAlign w:val="bottom"/>
          </w:tcPr>
          <w:p>
            <w:pPr>
              <w:jc w:val="right"/>
              <w:ind w:right="116"/>
              <w:spacing w:after="0"/>
              <w:rPr>
                <w:sz w:val="20"/>
                <w:szCs w:val="20"/>
                <w:color w:val="auto"/>
              </w:rPr>
            </w:pPr>
            <w:r>
              <w:rPr>
                <w:rFonts w:ascii="Arial" w:cs="Arial" w:eastAsia="Arial" w:hAnsi="Arial"/>
                <w:sz w:val="17"/>
                <w:szCs w:val="17"/>
                <w:color w:val="3A4967"/>
              </w:rPr>
              <w:t>326</w:t>
            </w:r>
          </w:p>
        </w:tc>
        <w:tc>
          <w:tcPr>
            <w:tcW w:w="540" w:type="dxa"/>
            <w:vAlign w:val="bottom"/>
          </w:tcPr>
          <w:p>
            <w:pPr>
              <w:ind w:left="320"/>
              <w:spacing w:after="0"/>
              <w:rPr>
                <w:sz w:val="20"/>
                <w:szCs w:val="20"/>
                <w:color w:val="auto"/>
              </w:rPr>
            </w:pPr>
            <w:r>
              <w:rPr>
                <w:rFonts w:ascii="Arial" w:cs="Arial" w:eastAsia="Arial" w:hAnsi="Arial"/>
                <w:sz w:val="17"/>
                <w:szCs w:val="17"/>
                <w:color w:val="3A4967"/>
              </w:rPr>
              <w:t>$</w:t>
            </w:r>
          </w:p>
        </w:tc>
        <w:tc>
          <w:tcPr>
            <w:tcW w:w="1280" w:type="dxa"/>
            <w:vAlign w:val="bottom"/>
          </w:tcPr>
          <w:p>
            <w:pPr>
              <w:jc w:val="right"/>
              <w:ind w:right="377"/>
              <w:spacing w:after="0"/>
              <w:rPr>
                <w:sz w:val="20"/>
                <w:szCs w:val="20"/>
                <w:color w:val="auto"/>
              </w:rPr>
            </w:pPr>
            <w:r>
              <w:rPr>
                <w:rFonts w:ascii="Arial" w:cs="Arial" w:eastAsia="Arial" w:hAnsi="Arial"/>
                <w:sz w:val="17"/>
                <w:szCs w:val="17"/>
                <w:color w:val="3A4967"/>
              </w:rPr>
              <w:t>(261)</w:t>
            </w:r>
          </w:p>
        </w:tc>
        <w:tc>
          <w:tcPr>
            <w:tcW w:w="380" w:type="dxa"/>
            <w:vAlign w:val="bottom"/>
          </w:tcPr>
          <w:p>
            <w:pPr>
              <w:jc w:val="right"/>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418</w:t>
            </w:r>
          </w:p>
        </w:tc>
      </w:tr>
      <w:tr>
        <w:trPr>
          <w:trHeight w:val="40"/>
        </w:trPr>
        <w:tc>
          <w:tcPr>
            <w:tcW w:w="3580" w:type="dxa"/>
            <w:vAlign w:val="bottom"/>
            <w:tcBorders>
              <w:bottom w:val="single" w:sz="8" w:color="3A4967"/>
            </w:tcBorders>
          </w:tcPr>
          <w:p>
            <w:pPr>
              <w:spacing w:after="0"/>
              <w:rPr>
                <w:sz w:val="3"/>
                <w:szCs w:val="3"/>
                <w:color w:val="auto"/>
              </w:rPr>
            </w:pPr>
          </w:p>
        </w:tc>
        <w:tc>
          <w:tcPr>
            <w:tcW w:w="2120" w:type="dxa"/>
            <w:vAlign w:val="bottom"/>
            <w:tcBorders>
              <w:bottom w:val="single" w:sz="8" w:color="3A4967"/>
            </w:tcBorders>
            <w:gridSpan w:val="3"/>
          </w:tcPr>
          <w:p>
            <w:pPr>
              <w:spacing w:after="0"/>
              <w:rPr>
                <w:sz w:val="3"/>
                <w:szCs w:val="3"/>
                <w:color w:val="auto"/>
              </w:rPr>
            </w:pPr>
          </w:p>
        </w:tc>
        <w:tc>
          <w:tcPr>
            <w:tcW w:w="120" w:type="dxa"/>
            <w:vAlign w:val="bottom"/>
            <w:tcBorders>
              <w:bottom w:val="single" w:sz="8" w:color="3A4967"/>
            </w:tcBorders>
          </w:tcPr>
          <w:p>
            <w:pPr>
              <w:spacing w:after="0"/>
              <w:rPr>
                <w:sz w:val="3"/>
                <w:szCs w:val="3"/>
                <w:color w:val="auto"/>
              </w:rPr>
            </w:pPr>
          </w:p>
        </w:tc>
        <w:tc>
          <w:tcPr>
            <w:tcW w:w="160" w:type="dxa"/>
            <w:vAlign w:val="bottom"/>
            <w:tcBorders>
              <w:bottom w:val="single" w:sz="8" w:color="3A4967"/>
            </w:tcBorders>
          </w:tcPr>
          <w:p>
            <w:pPr>
              <w:spacing w:after="0"/>
              <w:rPr>
                <w:sz w:val="3"/>
                <w:szCs w:val="3"/>
                <w:color w:val="auto"/>
              </w:rPr>
            </w:pPr>
          </w:p>
        </w:tc>
        <w:tc>
          <w:tcPr>
            <w:tcW w:w="1060" w:type="dxa"/>
            <w:vAlign w:val="bottom"/>
            <w:tcBorders>
              <w:bottom w:val="single" w:sz="8" w:color="3A4967"/>
            </w:tcBorders>
          </w:tcPr>
          <w:p>
            <w:pPr>
              <w:spacing w:after="0"/>
              <w:rPr>
                <w:sz w:val="3"/>
                <w:szCs w:val="3"/>
                <w:color w:val="auto"/>
              </w:rPr>
            </w:pPr>
          </w:p>
        </w:tc>
        <w:tc>
          <w:tcPr>
            <w:tcW w:w="54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r>
      <w:tr>
        <w:trPr>
          <w:trHeight w:val="404"/>
        </w:trPr>
        <w:tc>
          <w:tcPr>
            <w:tcW w:w="3580" w:type="dxa"/>
            <w:vAlign w:val="bottom"/>
          </w:tcPr>
          <w:p>
            <w:pPr>
              <w:spacing w:after="0"/>
              <w:rPr>
                <w:sz w:val="24"/>
                <w:szCs w:val="24"/>
                <w:color w:val="auto"/>
              </w:rPr>
            </w:pPr>
          </w:p>
        </w:tc>
        <w:tc>
          <w:tcPr>
            <w:tcW w:w="2120" w:type="dxa"/>
            <w:vAlign w:val="bottom"/>
            <w:gridSpan w:val="3"/>
          </w:tcPr>
          <w:p>
            <w:pPr>
              <w:jc w:val="center"/>
              <w:ind w:left="416"/>
              <w:spacing w:after="0"/>
              <w:rPr>
                <w:sz w:val="20"/>
                <w:szCs w:val="20"/>
                <w:color w:val="auto"/>
              </w:rPr>
            </w:pPr>
            <w:r>
              <w:rPr>
                <w:rFonts w:ascii="Arial" w:cs="Arial" w:eastAsia="Arial" w:hAnsi="Arial"/>
                <w:sz w:val="16"/>
                <w:szCs w:val="16"/>
                <w:b w:val="1"/>
                <w:bCs w:val="1"/>
                <w:color w:val="3A4967"/>
              </w:rPr>
              <w:t>Balance at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jc w:val="right"/>
              <w:ind w:right="197"/>
              <w:spacing w:after="0"/>
              <w:rPr>
                <w:sz w:val="20"/>
                <w:szCs w:val="20"/>
                <w:color w:val="auto"/>
              </w:rPr>
            </w:pPr>
            <w:r>
              <w:rPr>
                <w:rFonts w:ascii="Arial" w:cs="Arial" w:eastAsia="Arial" w:hAnsi="Arial"/>
                <w:sz w:val="16"/>
                <w:szCs w:val="16"/>
                <w:b w:val="1"/>
                <w:bCs w:val="1"/>
                <w:color w:val="3A4967"/>
              </w:rPr>
              <w:t>Amounts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Balance at</w:t>
            </w:r>
          </w:p>
        </w:tc>
      </w:tr>
      <w:tr>
        <w:trPr>
          <w:trHeight w:val="192"/>
        </w:trPr>
        <w:tc>
          <w:tcPr>
            <w:tcW w:w="3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jc w:val="right"/>
              <w:ind w:right="316"/>
              <w:spacing w:after="0"/>
              <w:rPr>
                <w:sz w:val="20"/>
                <w:szCs w:val="20"/>
                <w:color w:val="auto"/>
              </w:rPr>
            </w:pPr>
            <w:r>
              <w:rPr>
                <w:rFonts w:ascii="Arial" w:cs="Arial" w:eastAsia="Arial" w:hAnsi="Arial"/>
                <w:sz w:val="16"/>
                <w:szCs w:val="16"/>
                <w:b w:val="1"/>
                <w:bCs w:val="1"/>
                <w:color w:val="3A4967"/>
                <w:w w:val="97"/>
              </w:rPr>
              <w:t>Beginning</w:t>
            </w:r>
          </w:p>
        </w:tc>
        <w:tc>
          <w:tcPr>
            <w:tcW w:w="120" w:type="dxa"/>
            <w:vAlign w:val="bottom"/>
          </w:tcPr>
          <w:p>
            <w:pPr>
              <w:spacing w:after="0"/>
              <w:rPr>
                <w:sz w:val="16"/>
                <w:szCs w:val="16"/>
                <w:color w:val="auto"/>
              </w:rPr>
            </w:pPr>
          </w:p>
        </w:tc>
        <w:tc>
          <w:tcPr>
            <w:tcW w:w="1220" w:type="dxa"/>
            <w:vAlign w:val="bottom"/>
            <w:gridSpan w:val="2"/>
          </w:tcPr>
          <w:p>
            <w:pPr>
              <w:jc w:val="right"/>
              <w:ind w:right="96"/>
              <w:spacing w:after="0"/>
              <w:rPr>
                <w:sz w:val="20"/>
                <w:szCs w:val="20"/>
                <w:color w:val="auto"/>
              </w:rPr>
            </w:pPr>
            <w:r>
              <w:rPr>
                <w:rFonts w:ascii="Arial" w:cs="Arial" w:eastAsia="Arial" w:hAnsi="Arial"/>
                <w:sz w:val="16"/>
                <w:szCs w:val="16"/>
                <w:b w:val="1"/>
                <w:bCs w:val="1"/>
                <w:color w:val="3A4967"/>
                <w:w w:val="98"/>
              </w:rPr>
              <w:t>Net Provision</w:t>
            </w:r>
          </w:p>
        </w:tc>
        <w:tc>
          <w:tcPr>
            <w:tcW w:w="1820" w:type="dxa"/>
            <w:vAlign w:val="bottom"/>
            <w:gridSpan w:val="2"/>
          </w:tcPr>
          <w:p>
            <w:pPr>
              <w:jc w:val="right"/>
              <w:ind w:right="197"/>
              <w:spacing w:after="0"/>
              <w:rPr>
                <w:sz w:val="20"/>
                <w:szCs w:val="20"/>
                <w:color w:val="auto"/>
              </w:rPr>
            </w:pPr>
            <w:r>
              <w:rPr>
                <w:rFonts w:ascii="Arial" w:cs="Arial" w:eastAsia="Arial" w:hAnsi="Arial"/>
                <w:sz w:val="16"/>
                <w:szCs w:val="16"/>
                <w:b w:val="1"/>
                <w:bCs w:val="1"/>
                <w:color w:val="3A4967"/>
              </w:rPr>
              <w:t>Charged Against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End of</w:t>
            </w:r>
          </w:p>
        </w:tc>
      </w:tr>
      <w:tr>
        <w:trPr>
          <w:trHeight w:val="198"/>
        </w:trPr>
        <w:tc>
          <w:tcPr>
            <w:tcW w:w="358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94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3A4967"/>
              </w:rPr>
              <w:t>of Period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96"/>
              <w:spacing w:after="0"/>
              <w:rPr>
                <w:sz w:val="20"/>
                <w:szCs w:val="20"/>
                <w:color w:val="auto"/>
              </w:rPr>
            </w:pPr>
            <w:r>
              <w:rPr>
                <w:rFonts w:ascii="Arial" w:cs="Arial" w:eastAsia="Arial" w:hAnsi="Arial"/>
                <w:sz w:val="16"/>
                <w:szCs w:val="16"/>
                <w:b w:val="1"/>
                <w:bCs w:val="1"/>
                <w:color w:val="3A4967"/>
              </w:rPr>
              <w:t>(Recovery)</w:t>
            </w:r>
          </w:p>
        </w:tc>
        <w:tc>
          <w:tcPr>
            <w:tcW w:w="540" w:type="dxa"/>
            <w:vAlign w:val="bottom"/>
          </w:tcPr>
          <w:p>
            <w:pPr>
              <w:spacing w:after="0"/>
              <w:rPr>
                <w:sz w:val="17"/>
                <w:szCs w:val="17"/>
                <w:color w:val="auto"/>
              </w:rPr>
            </w:pPr>
          </w:p>
        </w:tc>
        <w:tc>
          <w:tcPr>
            <w:tcW w:w="1280" w:type="dxa"/>
            <w:vAlign w:val="bottom"/>
          </w:tcPr>
          <w:p>
            <w:pPr>
              <w:jc w:val="right"/>
              <w:ind w:right="197"/>
              <w:spacing w:after="0"/>
              <w:rPr>
                <w:sz w:val="20"/>
                <w:szCs w:val="20"/>
                <w:color w:val="auto"/>
              </w:rPr>
            </w:pPr>
            <w:r>
              <w:rPr>
                <w:rFonts w:ascii="Arial" w:cs="Arial" w:eastAsia="Arial" w:hAnsi="Arial"/>
                <w:sz w:val="16"/>
                <w:szCs w:val="16"/>
                <w:b w:val="1"/>
                <w:bCs w:val="1"/>
                <w:color w:val="3A4967"/>
              </w:rPr>
              <w:t>Reserves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Period</w:t>
            </w:r>
          </w:p>
        </w:tc>
      </w:tr>
      <w:tr>
        <w:trPr>
          <w:trHeight w:val="36"/>
        </w:trPr>
        <w:tc>
          <w:tcPr>
            <w:tcW w:w="35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40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20" w:type="dxa"/>
            <w:vAlign w:val="bottom"/>
            <w:tcBorders>
              <w:bottom w:val="single" w:sz="8" w:color="3A4967"/>
            </w:tcBorders>
          </w:tcPr>
          <w:p>
            <w:pPr>
              <w:spacing w:after="0"/>
              <w:rPr>
                <w:sz w:val="3"/>
                <w:szCs w:val="3"/>
                <w:color w:val="auto"/>
              </w:rPr>
            </w:pPr>
          </w:p>
        </w:tc>
        <w:tc>
          <w:tcPr>
            <w:tcW w:w="160" w:type="dxa"/>
            <w:vAlign w:val="bottom"/>
            <w:tcBorders>
              <w:bottom w:val="single" w:sz="8" w:color="3A4967"/>
            </w:tcBorders>
          </w:tcPr>
          <w:p>
            <w:pPr>
              <w:spacing w:after="0"/>
              <w:rPr>
                <w:sz w:val="3"/>
                <w:szCs w:val="3"/>
                <w:color w:val="auto"/>
              </w:rPr>
            </w:pPr>
          </w:p>
        </w:tc>
        <w:tc>
          <w:tcPr>
            <w:tcW w:w="1060" w:type="dxa"/>
            <w:vAlign w:val="bottom"/>
            <w:tcBorders>
              <w:bottom w:val="single" w:sz="8" w:color="3A4967"/>
            </w:tcBorders>
          </w:tcPr>
          <w:p>
            <w:pPr>
              <w:spacing w:after="0"/>
              <w:rPr>
                <w:sz w:val="3"/>
                <w:szCs w:val="3"/>
                <w:color w:val="auto"/>
              </w:rPr>
            </w:pPr>
          </w:p>
        </w:tc>
        <w:tc>
          <w:tcPr>
            <w:tcW w:w="54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r>
      <w:tr>
        <w:trPr>
          <w:trHeight w:val="229"/>
        </w:trPr>
        <w:tc>
          <w:tcPr>
            <w:tcW w:w="3580" w:type="dxa"/>
            <w:vAlign w:val="bottom"/>
          </w:tcPr>
          <w:p>
            <w:pPr>
              <w:ind w:left="80"/>
              <w:spacing w:after="0"/>
              <w:rPr>
                <w:sz w:val="20"/>
                <w:szCs w:val="20"/>
                <w:color w:val="auto"/>
              </w:rPr>
            </w:pPr>
            <w:r>
              <w:rPr>
                <w:rFonts w:ascii="Arial" w:cs="Arial" w:eastAsia="Arial" w:hAnsi="Arial"/>
                <w:sz w:val="17"/>
                <w:szCs w:val="17"/>
                <w:b w:val="1"/>
                <w:bCs w:val="1"/>
                <w:color w:val="3A4967"/>
              </w:rPr>
              <w:t>Discount Accrual</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7"/>
        </w:trPr>
        <w:tc>
          <w:tcPr>
            <w:tcW w:w="3580" w:type="dxa"/>
            <w:vAlign w:val="bottom"/>
          </w:tcPr>
          <w:p>
            <w:pPr>
              <w:ind w:left="80"/>
              <w:spacing w:after="0"/>
              <w:rPr>
                <w:sz w:val="20"/>
                <w:szCs w:val="20"/>
                <w:color w:val="auto"/>
              </w:rPr>
            </w:pPr>
            <w:r>
              <w:rPr>
                <w:rFonts w:ascii="Arial" w:cs="Arial" w:eastAsia="Arial" w:hAnsi="Arial"/>
                <w:sz w:val="17"/>
                <w:szCs w:val="17"/>
                <w:color w:val="3A4967"/>
              </w:rPr>
              <w:t>2024</w:t>
            </w:r>
          </w:p>
        </w:tc>
        <w:tc>
          <w:tcPr>
            <w:tcW w:w="940" w:type="dxa"/>
            <w:vAlign w:val="bottom"/>
          </w:tcPr>
          <w:p>
            <w:pPr>
              <w:jc w:val="right"/>
              <w:spacing w:after="0"/>
              <w:rPr>
                <w:sz w:val="20"/>
                <w:szCs w:val="20"/>
                <w:color w:val="auto"/>
              </w:rPr>
            </w:pPr>
            <w:r>
              <w:rPr>
                <w:rFonts w:ascii="Arial" w:cs="Arial" w:eastAsia="Arial" w:hAnsi="Arial"/>
                <w:sz w:val="17"/>
                <w:szCs w:val="17"/>
                <w:color w:val="3A4967"/>
              </w:rPr>
              <w:t>$</w:t>
            </w:r>
          </w:p>
        </w:tc>
        <w:tc>
          <w:tcPr>
            <w:tcW w:w="1180" w:type="dxa"/>
            <w:vAlign w:val="bottom"/>
            <w:gridSpan w:val="2"/>
          </w:tcPr>
          <w:p>
            <w:pPr>
              <w:jc w:val="right"/>
              <w:ind w:right="316"/>
              <w:spacing w:after="0"/>
              <w:rPr>
                <w:sz w:val="20"/>
                <w:szCs w:val="20"/>
                <w:color w:val="auto"/>
              </w:rPr>
            </w:pPr>
            <w:r>
              <w:rPr>
                <w:rFonts w:ascii="Arial" w:cs="Arial" w:eastAsia="Arial" w:hAnsi="Arial"/>
                <w:sz w:val="17"/>
                <w:szCs w:val="17"/>
                <w:color w:val="3A4967"/>
              </w:rPr>
              <w:t>7,953</w:t>
            </w:r>
          </w:p>
        </w:tc>
        <w:tc>
          <w:tcPr>
            <w:tcW w:w="120" w:type="dxa"/>
            <w:vAlign w:val="bottom"/>
          </w:tcPr>
          <w:p>
            <w:pPr>
              <w:jc w:val="right"/>
              <w:spacing w:after="0"/>
              <w:rPr>
                <w:sz w:val="20"/>
                <w:szCs w:val="20"/>
                <w:color w:val="auto"/>
              </w:rPr>
            </w:pPr>
            <w:r>
              <w:rPr>
                <w:rFonts w:ascii="Arial" w:cs="Arial" w:eastAsia="Arial" w:hAnsi="Arial"/>
                <w:sz w:val="17"/>
                <w:szCs w:val="17"/>
                <w:color w:val="3A4967"/>
                <w:w w:val="84"/>
              </w:rPr>
              <w:t>$</w:t>
            </w:r>
          </w:p>
        </w:tc>
        <w:tc>
          <w:tcPr>
            <w:tcW w:w="160" w:type="dxa"/>
            <w:vAlign w:val="bottom"/>
          </w:tcPr>
          <w:p>
            <w:pPr>
              <w:spacing w:after="0"/>
              <w:rPr>
                <w:sz w:val="24"/>
                <w:szCs w:val="24"/>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3A4967"/>
              </w:rPr>
              <w:t>61,037</w:t>
            </w:r>
          </w:p>
        </w:tc>
        <w:tc>
          <w:tcPr>
            <w:tcW w:w="540" w:type="dxa"/>
            <w:vAlign w:val="bottom"/>
          </w:tcPr>
          <w:p>
            <w:pPr>
              <w:ind w:left="320"/>
              <w:spacing w:after="0"/>
              <w:rPr>
                <w:sz w:val="20"/>
                <w:szCs w:val="20"/>
                <w:color w:val="auto"/>
              </w:rPr>
            </w:pPr>
            <w:r>
              <w:rPr>
                <w:rFonts w:ascii="Arial" w:cs="Arial" w:eastAsia="Arial" w:hAnsi="Arial"/>
                <w:sz w:val="17"/>
                <w:szCs w:val="17"/>
                <w:color w:val="3A4967"/>
              </w:rPr>
              <w:t>$</w:t>
            </w:r>
          </w:p>
        </w:tc>
        <w:tc>
          <w:tcPr>
            <w:tcW w:w="1280" w:type="dxa"/>
            <w:vAlign w:val="bottom"/>
          </w:tcPr>
          <w:p>
            <w:pPr>
              <w:jc w:val="right"/>
              <w:ind w:right="157"/>
              <w:spacing w:after="0"/>
              <w:rPr>
                <w:sz w:val="20"/>
                <w:szCs w:val="20"/>
                <w:color w:val="auto"/>
              </w:rPr>
            </w:pPr>
            <w:r>
              <w:rPr>
                <w:rFonts w:ascii="Arial" w:cs="Arial" w:eastAsia="Arial" w:hAnsi="Arial"/>
                <w:sz w:val="17"/>
                <w:szCs w:val="17"/>
                <w:color w:val="3A4967"/>
              </w:rPr>
              <w:t>(60,843)</w:t>
            </w:r>
          </w:p>
        </w:tc>
        <w:tc>
          <w:tcPr>
            <w:tcW w:w="380" w:type="dxa"/>
            <w:vAlign w:val="bottom"/>
          </w:tcPr>
          <w:p>
            <w:pPr>
              <w:jc w:val="right"/>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8,147</w:t>
            </w:r>
          </w:p>
        </w:tc>
      </w:tr>
      <w:tr>
        <w:trPr>
          <w:trHeight w:val="281"/>
        </w:trPr>
        <w:tc>
          <w:tcPr>
            <w:tcW w:w="3580" w:type="dxa"/>
            <w:vAlign w:val="bottom"/>
          </w:tcPr>
          <w:p>
            <w:pPr>
              <w:ind w:left="80"/>
              <w:spacing w:after="0"/>
              <w:rPr>
                <w:sz w:val="20"/>
                <w:szCs w:val="20"/>
                <w:color w:val="auto"/>
              </w:rPr>
            </w:pPr>
            <w:r>
              <w:rPr>
                <w:rFonts w:ascii="Arial" w:cs="Arial" w:eastAsia="Arial" w:hAnsi="Arial"/>
                <w:sz w:val="17"/>
                <w:szCs w:val="17"/>
                <w:color w:val="3A4967"/>
              </w:rPr>
              <w:t>2023</w:t>
            </w:r>
          </w:p>
        </w:tc>
        <w:tc>
          <w:tcPr>
            <w:tcW w:w="940" w:type="dxa"/>
            <w:vAlign w:val="bottom"/>
          </w:tcPr>
          <w:p>
            <w:pPr>
              <w:jc w:val="right"/>
              <w:spacing w:after="0"/>
              <w:rPr>
                <w:sz w:val="20"/>
                <w:szCs w:val="20"/>
                <w:color w:val="auto"/>
              </w:rPr>
            </w:pPr>
            <w:r>
              <w:rPr>
                <w:rFonts w:ascii="Arial" w:cs="Arial" w:eastAsia="Arial" w:hAnsi="Arial"/>
                <w:sz w:val="17"/>
                <w:szCs w:val="17"/>
                <w:color w:val="3A4967"/>
              </w:rPr>
              <w:t>$</w:t>
            </w:r>
          </w:p>
        </w:tc>
        <w:tc>
          <w:tcPr>
            <w:tcW w:w="1180" w:type="dxa"/>
            <w:vAlign w:val="bottom"/>
            <w:gridSpan w:val="2"/>
          </w:tcPr>
          <w:p>
            <w:pPr>
              <w:jc w:val="right"/>
              <w:ind w:right="316"/>
              <w:spacing w:after="0"/>
              <w:rPr>
                <w:sz w:val="20"/>
                <w:szCs w:val="20"/>
                <w:color w:val="auto"/>
              </w:rPr>
            </w:pPr>
            <w:r>
              <w:rPr>
                <w:rFonts w:ascii="Arial" w:cs="Arial" w:eastAsia="Arial" w:hAnsi="Arial"/>
                <w:sz w:val="17"/>
                <w:szCs w:val="17"/>
                <w:color w:val="3A4967"/>
              </w:rPr>
              <w:t>8,179</w:t>
            </w:r>
          </w:p>
        </w:tc>
        <w:tc>
          <w:tcPr>
            <w:tcW w:w="120" w:type="dxa"/>
            <w:vAlign w:val="bottom"/>
          </w:tcPr>
          <w:p>
            <w:pPr>
              <w:jc w:val="right"/>
              <w:spacing w:after="0"/>
              <w:rPr>
                <w:sz w:val="20"/>
                <w:szCs w:val="20"/>
                <w:color w:val="auto"/>
              </w:rPr>
            </w:pPr>
            <w:r>
              <w:rPr>
                <w:rFonts w:ascii="Arial" w:cs="Arial" w:eastAsia="Arial" w:hAnsi="Arial"/>
                <w:sz w:val="17"/>
                <w:szCs w:val="17"/>
                <w:color w:val="3A4967"/>
                <w:w w:val="84"/>
              </w:rPr>
              <w:t>$</w:t>
            </w:r>
          </w:p>
        </w:tc>
        <w:tc>
          <w:tcPr>
            <w:tcW w:w="160" w:type="dxa"/>
            <w:vAlign w:val="bottom"/>
          </w:tcPr>
          <w:p>
            <w:pPr>
              <w:spacing w:after="0"/>
              <w:rPr>
                <w:sz w:val="24"/>
                <w:szCs w:val="24"/>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3A4967"/>
              </w:rPr>
              <w:t>62,620</w:t>
            </w:r>
          </w:p>
        </w:tc>
        <w:tc>
          <w:tcPr>
            <w:tcW w:w="540" w:type="dxa"/>
            <w:vAlign w:val="bottom"/>
          </w:tcPr>
          <w:p>
            <w:pPr>
              <w:ind w:left="320"/>
              <w:spacing w:after="0"/>
              <w:rPr>
                <w:sz w:val="20"/>
                <w:szCs w:val="20"/>
                <w:color w:val="auto"/>
              </w:rPr>
            </w:pPr>
            <w:r>
              <w:rPr>
                <w:rFonts w:ascii="Arial" w:cs="Arial" w:eastAsia="Arial" w:hAnsi="Arial"/>
                <w:sz w:val="17"/>
                <w:szCs w:val="17"/>
                <w:color w:val="3A4967"/>
              </w:rPr>
              <w:t>$</w:t>
            </w:r>
          </w:p>
        </w:tc>
        <w:tc>
          <w:tcPr>
            <w:tcW w:w="1280" w:type="dxa"/>
            <w:vAlign w:val="bottom"/>
          </w:tcPr>
          <w:p>
            <w:pPr>
              <w:jc w:val="right"/>
              <w:ind w:right="157"/>
              <w:spacing w:after="0"/>
              <w:rPr>
                <w:sz w:val="20"/>
                <w:szCs w:val="20"/>
                <w:color w:val="auto"/>
              </w:rPr>
            </w:pPr>
            <w:r>
              <w:rPr>
                <w:rFonts w:ascii="Arial" w:cs="Arial" w:eastAsia="Arial" w:hAnsi="Arial"/>
                <w:sz w:val="17"/>
                <w:szCs w:val="17"/>
                <w:color w:val="3A4967"/>
              </w:rPr>
              <w:t>(62,846)</w:t>
            </w:r>
          </w:p>
        </w:tc>
        <w:tc>
          <w:tcPr>
            <w:tcW w:w="380" w:type="dxa"/>
            <w:vAlign w:val="bottom"/>
          </w:tcPr>
          <w:p>
            <w:pPr>
              <w:jc w:val="right"/>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7,953</w:t>
            </w:r>
          </w:p>
        </w:tc>
      </w:tr>
      <w:tr>
        <w:trPr>
          <w:trHeight w:val="281"/>
        </w:trPr>
        <w:tc>
          <w:tcPr>
            <w:tcW w:w="3580" w:type="dxa"/>
            <w:vAlign w:val="bottom"/>
          </w:tcPr>
          <w:p>
            <w:pPr>
              <w:ind w:left="80"/>
              <w:spacing w:after="0"/>
              <w:rPr>
                <w:sz w:val="20"/>
                <w:szCs w:val="20"/>
                <w:color w:val="auto"/>
              </w:rPr>
            </w:pPr>
            <w:r>
              <w:rPr>
                <w:rFonts w:ascii="Arial" w:cs="Arial" w:eastAsia="Arial" w:hAnsi="Arial"/>
                <w:sz w:val="17"/>
                <w:szCs w:val="17"/>
                <w:color w:val="3A4967"/>
              </w:rPr>
              <w:t>2022</w:t>
            </w:r>
          </w:p>
        </w:tc>
        <w:tc>
          <w:tcPr>
            <w:tcW w:w="940" w:type="dxa"/>
            <w:vAlign w:val="bottom"/>
          </w:tcPr>
          <w:p>
            <w:pPr>
              <w:jc w:val="right"/>
              <w:spacing w:after="0"/>
              <w:rPr>
                <w:sz w:val="20"/>
                <w:szCs w:val="20"/>
                <w:color w:val="auto"/>
              </w:rPr>
            </w:pPr>
            <w:r>
              <w:rPr>
                <w:rFonts w:ascii="Arial" w:cs="Arial" w:eastAsia="Arial" w:hAnsi="Arial"/>
                <w:sz w:val="17"/>
                <w:szCs w:val="17"/>
                <w:color w:val="3A4967"/>
              </w:rPr>
              <w:t>$</w:t>
            </w:r>
          </w:p>
        </w:tc>
        <w:tc>
          <w:tcPr>
            <w:tcW w:w="1180" w:type="dxa"/>
            <w:vAlign w:val="bottom"/>
            <w:gridSpan w:val="2"/>
          </w:tcPr>
          <w:p>
            <w:pPr>
              <w:jc w:val="right"/>
              <w:ind w:right="316"/>
              <w:spacing w:after="0"/>
              <w:rPr>
                <w:sz w:val="20"/>
                <w:szCs w:val="20"/>
                <w:color w:val="auto"/>
              </w:rPr>
            </w:pPr>
            <w:r>
              <w:rPr>
                <w:rFonts w:ascii="Arial" w:cs="Arial" w:eastAsia="Arial" w:hAnsi="Arial"/>
                <w:sz w:val="17"/>
                <w:szCs w:val="17"/>
                <w:color w:val="3A4967"/>
              </w:rPr>
              <w:t>11,221</w:t>
            </w:r>
          </w:p>
        </w:tc>
        <w:tc>
          <w:tcPr>
            <w:tcW w:w="120" w:type="dxa"/>
            <w:vAlign w:val="bottom"/>
          </w:tcPr>
          <w:p>
            <w:pPr>
              <w:jc w:val="right"/>
              <w:spacing w:after="0"/>
              <w:rPr>
                <w:sz w:val="20"/>
                <w:szCs w:val="20"/>
                <w:color w:val="auto"/>
              </w:rPr>
            </w:pPr>
            <w:r>
              <w:rPr>
                <w:rFonts w:ascii="Arial" w:cs="Arial" w:eastAsia="Arial" w:hAnsi="Arial"/>
                <w:sz w:val="17"/>
                <w:szCs w:val="17"/>
                <w:color w:val="3A4967"/>
                <w:w w:val="84"/>
              </w:rPr>
              <w:t>$</w:t>
            </w:r>
          </w:p>
        </w:tc>
        <w:tc>
          <w:tcPr>
            <w:tcW w:w="160" w:type="dxa"/>
            <w:vAlign w:val="bottom"/>
          </w:tcPr>
          <w:p>
            <w:pPr>
              <w:spacing w:after="0"/>
              <w:rPr>
                <w:sz w:val="24"/>
                <w:szCs w:val="24"/>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3A4967"/>
              </w:rPr>
              <w:t>54,825</w:t>
            </w:r>
          </w:p>
        </w:tc>
        <w:tc>
          <w:tcPr>
            <w:tcW w:w="540" w:type="dxa"/>
            <w:vAlign w:val="bottom"/>
          </w:tcPr>
          <w:p>
            <w:pPr>
              <w:ind w:left="320"/>
              <w:spacing w:after="0"/>
              <w:rPr>
                <w:sz w:val="20"/>
                <w:szCs w:val="20"/>
                <w:color w:val="auto"/>
              </w:rPr>
            </w:pPr>
            <w:r>
              <w:rPr>
                <w:rFonts w:ascii="Arial" w:cs="Arial" w:eastAsia="Arial" w:hAnsi="Arial"/>
                <w:sz w:val="17"/>
                <w:szCs w:val="17"/>
                <w:color w:val="3A4967"/>
              </w:rPr>
              <w:t>$</w:t>
            </w:r>
          </w:p>
        </w:tc>
        <w:tc>
          <w:tcPr>
            <w:tcW w:w="1280" w:type="dxa"/>
            <w:vAlign w:val="bottom"/>
          </w:tcPr>
          <w:p>
            <w:pPr>
              <w:jc w:val="right"/>
              <w:ind w:right="157"/>
              <w:spacing w:after="0"/>
              <w:rPr>
                <w:sz w:val="20"/>
                <w:szCs w:val="20"/>
                <w:color w:val="auto"/>
              </w:rPr>
            </w:pPr>
            <w:r>
              <w:rPr>
                <w:rFonts w:ascii="Arial" w:cs="Arial" w:eastAsia="Arial" w:hAnsi="Arial"/>
                <w:sz w:val="17"/>
                <w:szCs w:val="17"/>
                <w:color w:val="3A4967"/>
              </w:rPr>
              <w:t>(57,867)</w:t>
            </w:r>
          </w:p>
        </w:tc>
        <w:tc>
          <w:tcPr>
            <w:tcW w:w="380" w:type="dxa"/>
            <w:vAlign w:val="bottom"/>
          </w:tcPr>
          <w:p>
            <w:pPr>
              <w:jc w:val="right"/>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8,179</w:t>
            </w:r>
          </w:p>
        </w:tc>
      </w:tr>
      <w:tr>
        <w:trPr>
          <w:trHeight w:val="40"/>
        </w:trPr>
        <w:tc>
          <w:tcPr>
            <w:tcW w:w="3580" w:type="dxa"/>
            <w:vAlign w:val="bottom"/>
            <w:tcBorders>
              <w:bottom w:val="single" w:sz="8" w:color="3A4967"/>
            </w:tcBorders>
          </w:tcPr>
          <w:p>
            <w:pPr>
              <w:spacing w:after="0"/>
              <w:rPr>
                <w:sz w:val="3"/>
                <w:szCs w:val="3"/>
                <w:color w:val="auto"/>
              </w:rPr>
            </w:pPr>
          </w:p>
        </w:tc>
        <w:tc>
          <w:tcPr>
            <w:tcW w:w="2120" w:type="dxa"/>
            <w:vAlign w:val="bottom"/>
            <w:tcBorders>
              <w:bottom w:val="single" w:sz="8" w:color="3A4967"/>
            </w:tcBorders>
            <w:gridSpan w:val="3"/>
          </w:tcPr>
          <w:p>
            <w:pPr>
              <w:spacing w:after="0"/>
              <w:rPr>
                <w:sz w:val="3"/>
                <w:szCs w:val="3"/>
                <w:color w:val="auto"/>
              </w:rPr>
            </w:pPr>
          </w:p>
        </w:tc>
        <w:tc>
          <w:tcPr>
            <w:tcW w:w="120" w:type="dxa"/>
            <w:vAlign w:val="bottom"/>
            <w:tcBorders>
              <w:bottom w:val="single" w:sz="8" w:color="3A4967"/>
            </w:tcBorders>
          </w:tcPr>
          <w:p>
            <w:pPr>
              <w:spacing w:after="0"/>
              <w:rPr>
                <w:sz w:val="3"/>
                <w:szCs w:val="3"/>
                <w:color w:val="auto"/>
              </w:rPr>
            </w:pPr>
          </w:p>
        </w:tc>
        <w:tc>
          <w:tcPr>
            <w:tcW w:w="160" w:type="dxa"/>
            <w:vAlign w:val="bottom"/>
            <w:tcBorders>
              <w:bottom w:val="single" w:sz="8" w:color="3A4967"/>
            </w:tcBorders>
          </w:tcPr>
          <w:p>
            <w:pPr>
              <w:spacing w:after="0"/>
              <w:rPr>
                <w:sz w:val="3"/>
                <w:szCs w:val="3"/>
                <w:color w:val="auto"/>
              </w:rPr>
            </w:pPr>
          </w:p>
        </w:tc>
        <w:tc>
          <w:tcPr>
            <w:tcW w:w="1060" w:type="dxa"/>
            <w:vAlign w:val="bottom"/>
            <w:tcBorders>
              <w:bottom w:val="single" w:sz="8" w:color="3A4967"/>
            </w:tcBorders>
          </w:tcPr>
          <w:p>
            <w:pPr>
              <w:spacing w:after="0"/>
              <w:rPr>
                <w:sz w:val="3"/>
                <w:szCs w:val="3"/>
                <w:color w:val="auto"/>
              </w:rPr>
            </w:pPr>
          </w:p>
        </w:tc>
        <w:tc>
          <w:tcPr>
            <w:tcW w:w="54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r>
      <w:tr>
        <w:trPr>
          <w:trHeight w:val="404"/>
        </w:trPr>
        <w:tc>
          <w:tcPr>
            <w:tcW w:w="3580" w:type="dxa"/>
            <w:vAlign w:val="bottom"/>
          </w:tcPr>
          <w:p>
            <w:pPr>
              <w:spacing w:after="0"/>
              <w:rPr>
                <w:sz w:val="24"/>
                <w:szCs w:val="24"/>
                <w:color w:val="auto"/>
              </w:rPr>
            </w:pPr>
          </w:p>
        </w:tc>
        <w:tc>
          <w:tcPr>
            <w:tcW w:w="2120" w:type="dxa"/>
            <w:vAlign w:val="bottom"/>
            <w:gridSpan w:val="3"/>
          </w:tcPr>
          <w:p>
            <w:pPr>
              <w:jc w:val="center"/>
              <w:ind w:left="416"/>
              <w:spacing w:after="0"/>
              <w:rPr>
                <w:sz w:val="20"/>
                <w:szCs w:val="20"/>
                <w:color w:val="auto"/>
              </w:rPr>
            </w:pPr>
            <w:r>
              <w:rPr>
                <w:rFonts w:ascii="Arial" w:cs="Arial" w:eastAsia="Arial" w:hAnsi="Arial"/>
                <w:sz w:val="16"/>
                <w:szCs w:val="16"/>
                <w:b w:val="1"/>
                <w:bCs w:val="1"/>
                <w:color w:val="3A4967"/>
              </w:rPr>
              <w:t>Balance at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jc w:val="right"/>
              <w:ind w:right="157"/>
              <w:spacing w:after="0"/>
              <w:rPr>
                <w:sz w:val="20"/>
                <w:szCs w:val="20"/>
                <w:color w:val="auto"/>
              </w:rPr>
            </w:pPr>
            <w:r>
              <w:rPr>
                <w:rFonts w:ascii="Arial" w:cs="Arial" w:eastAsia="Arial" w:hAnsi="Arial"/>
                <w:sz w:val="16"/>
                <w:szCs w:val="16"/>
                <w:b w:val="1"/>
                <w:bCs w:val="1"/>
                <w:color w:val="3A4967"/>
              </w:rPr>
              <w:t>Amounts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Balance at</w:t>
            </w:r>
          </w:p>
        </w:tc>
      </w:tr>
      <w:tr>
        <w:trPr>
          <w:trHeight w:val="192"/>
        </w:trPr>
        <w:tc>
          <w:tcPr>
            <w:tcW w:w="3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gridSpan w:val="2"/>
          </w:tcPr>
          <w:p>
            <w:pPr>
              <w:jc w:val="center"/>
              <w:ind w:right="316"/>
              <w:spacing w:after="0"/>
              <w:rPr>
                <w:sz w:val="20"/>
                <w:szCs w:val="20"/>
                <w:color w:val="auto"/>
              </w:rPr>
            </w:pPr>
            <w:r>
              <w:rPr>
                <w:rFonts w:ascii="Arial" w:cs="Arial" w:eastAsia="Arial" w:hAnsi="Arial"/>
                <w:sz w:val="16"/>
                <w:szCs w:val="16"/>
                <w:b w:val="1"/>
                <w:bCs w:val="1"/>
                <w:color w:val="3A4967"/>
                <w:w w:val="99"/>
              </w:rPr>
              <w:t>Beginning</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3A4967"/>
              </w:rPr>
              <w:t>Net Provision</w:t>
            </w: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3A4967"/>
              </w:rPr>
              <w:t>Charged Against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End of</w:t>
            </w:r>
          </w:p>
        </w:tc>
      </w:tr>
      <w:tr>
        <w:trPr>
          <w:trHeight w:val="198"/>
        </w:trPr>
        <w:tc>
          <w:tcPr>
            <w:tcW w:w="358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94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3A4967"/>
              </w:rPr>
              <w:t>of Period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96"/>
              <w:spacing w:after="0"/>
              <w:rPr>
                <w:sz w:val="20"/>
                <w:szCs w:val="20"/>
                <w:color w:val="auto"/>
              </w:rPr>
            </w:pPr>
            <w:r>
              <w:rPr>
                <w:rFonts w:ascii="Arial" w:cs="Arial" w:eastAsia="Arial" w:hAnsi="Arial"/>
                <w:sz w:val="16"/>
                <w:szCs w:val="16"/>
                <w:b w:val="1"/>
                <w:bCs w:val="1"/>
                <w:color w:val="3A4967"/>
              </w:rPr>
              <w:t>(Recovery)</w:t>
            </w:r>
          </w:p>
        </w:tc>
        <w:tc>
          <w:tcPr>
            <w:tcW w:w="540" w:type="dxa"/>
            <w:vAlign w:val="bottom"/>
          </w:tcPr>
          <w:p>
            <w:pPr>
              <w:spacing w:after="0"/>
              <w:rPr>
                <w:sz w:val="17"/>
                <w:szCs w:val="17"/>
                <w:color w:val="auto"/>
              </w:rPr>
            </w:pPr>
          </w:p>
        </w:tc>
        <w:tc>
          <w:tcPr>
            <w:tcW w:w="1280" w:type="dxa"/>
            <w:vAlign w:val="bottom"/>
          </w:tcPr>
          <w:p>
            <w:pPr>
              <w:jc w:val="right"/>
              <w:ind w:right="157"/>
              <w:spacing w:after="0"/>
              <w:rPr>
                <w:sz w:val="20"/>
                <w:szCs w:val="20"/>
                <w:color w:val="auto"/>
              </w:rPr>
            </w:pPr>
            <w:r>
              <w:rPr>
                <w:rFonts w:ascii="Arial" w:cs="Arial" w:eastAsia="Arial" w:hAnsi="Arial"/>
                <w:sz w:val="16"/>
                <w:szCs w:val="16"/>
                <w:b w:val="1"/>
                <w:bCs w:val="1"/>
                <w:color w:val="3A4967"/>
              </w:rPr>
              <w:t>Reserves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Period</w:t>
            </w:r>
          </w:p>
        </w:tc>
      </w:tr>
      <w:tr>
        <w:trPr>
          <w:trHeight w:val="36"/>
        </w:trPr>
        <w:tc>
          <w:tcPr>
            <w:tcW w:w="35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40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20" w:type="dxa"/>
            <w:vAlign w:val="bottom"/>
            <w:tcBorders>
              <w:bottom w:val="single" w:sz="8" w:color="3A4967"/>
            </w:tcBorders>
          </w:tcPr>
          <w:p>
            <w:pPr>
              <w:spacing w:after="0"/>
              <w:rPr>
                <w:sz w:val="3"/>
                <w:szCs w:val="3"/>
                <w:color w:val="auto"/>
              </w:rPr>
            </w:pPr>
          </w:p>
        </w:tc>
        <w:tc>
          <w:tcPr>
            <w:tcW w:w="160" w:type="dxa"/>
            <w:vAlign w:val="bottom"/>
            <w:tcBorders>
              <w:bottom w:val="single" w:sz="8" w:color="3A4967"/>
            </w:tcBorders>
          </w:tcPr>
          <w:p>
            <w:pPr>
              <w:spacing w:after="0"/>
              <w:rPr>
                <w:sz w:val="3"/>
                <w:szCs w:val="3"/>
                <w:color w:val="auto"/>
              </w:rPr>
            </w:pPr>
          </w:p>
        </w:tc>
        <w:tc>
          <w:tcPr>
            <w:tcW w:w="1060" w:type="dxa"/>
            <w:vAlign w:val="bottom"/>
            <w:tcBorders>
              <w:bottom w:val="single" w:sz="8" w:color="3A4967"/>
            </w:tcBorders>
          </w:tcPr>
          <w:p>
            <w:pPr>
              <w:spacing w:after="0"/>
              <w:rPr>
                <w:sz w:val="3"/>
                <w:szCs w:val="3"/>
                <w:color w:val="auto"/>
              </w:rPr>
            </w:pPr>
          </w:p>
        </w:tc>
        <w:tc>
          <w:tcPr>
            <w:tcW w:w="54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r>
      <w:tr>
        <w:trPr>
          <w:trHeight w:val="229"/>
        </w:trPr>
        <w:tc>
          <w:tcPr>
            <w:tcW w:w="3580" w:type="dxa"/>
            <w:vAlign w:val="bottom"/>
          </w:tcPr>
          <w:p>
            <w:pPr>
              <w:ind w:left="80"/>
              <w:spacing w:after="0"/>
              <w:rPr>
                <w:sz w:val="20"/>
                <w:szCs w:val="20"/>
                <w:color w:val="auto"/>
              </w:rPr>
            </w:pPr>
            <w:r>
              <w:rPr>
                <w:rFonts w:ascii="Arial" w:cs="Arial" w:eastAsia="Arial" w:hAnsi="Arial"/>
                <w:sz w:val="17"/>
                <w:szCs w:val="17"/>
                <w:b w:val="1"/>
                <w:bCs w:val="1"/>
                <w:color w:val="3A4967"/>
              </w:rPr>
              <w:t>Inventory Obsolescence Reserve</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7"/>
        </w:trPr>
        <w:tc>
          <w:tcPr>
            <w:tcW w:w="3580" w:type="dxa"/>
            <w:vAlign w:val="bottom"/>
          </w:tcPr>
          <w:p>
            <w:pPr>
              <w:ind w:left="80"/>
              <w:spacing w:after="0"/>
              <w:rPr>
                <w:sz w:val="20"/>
                <w:szCs w:val="20"/>
                <w:color w:val="auto"/>
              </w:rPr>
            </w:pPr>
            <w:r>
              <w:rPr>
                <w:rFonts w:ascii="Arial" w:cs="Arial" w:eastAsia="Arial" w:hAnsi="Arial"/>
                <w:sz w:val="17"/>
                <w:szCs w:val="17"/>
                <w:color w:val="3A4967"/>
              </w:rPr>
              <w:t>2024</w:t>
            </w:r>
          </w:p>
        </w:tc>
        <w:tc>
          <w:tcPr>
            <w:tcW w:w="940" w:type="dxa"/>
            <w:vAlign w:val="bottom"/>
          </w:tcPr>
          <w:p>
            <w:pPr>
              <w:jc w:val="right"/>
              <w:spacing w:after="0"/>
              <w:rPr>
                <w:sz w:val="20"/>
                <w:szCs w:val="20"/>
                <w:color w:val="auto"/>
              </w:rPr>
            </w:pPr>
            <w:r>
              <w:rPr>
                <w:rFonts w:ascii="Arial" w:cs="Arial" w:eastAsia="Arial" w:hAnsi="Arial"/>
                <w:sz w:val="17"/>
                <w:szCs w:val="17"/>
                <w:color w:val="3A4967"/>
              </w:rPr>
              <w:t>$</w:t>
            </w:r>
          </w:p>
        </w:tc>
        <w:tc>
          <w:tcPr>
            <w:tcW w:w="1180" w:type="dxa"/>
            <w:vAlign w:val="bottom"/>
            <w:gridSpan w:val="2"/>
          </w:tcPr>
          <w:p>
            <w:pPr>
              <w:jc w:val="right"/>
              <w:ind w:right="316"/>
              <w:spacing w:after="0"/>
              <w:rPr>
                <w:sz w:val="20"/>
                <w:szCs w:val="20"/>
                <w:color w:val="auto"/>
              </w:rPr>
            </w:pPr>
            <w:r>
              <w:rPr>
                <w:rFonts w:ascii="Arial" w:cs="Arial" w:eastAsia="Arial" w:hAnsi="Arial"/>
                <w:sz w:val="17"/>
                <w:szCs w:val="17"/>
                <w:color w:val="3A4967"/>
              </w:rPr>
              <w:t>7,640</w:t>
            </w:r>
          </w:p>
        </w:tc>
        <w:tc>
          <w:tcPr>
            <w:tcW w:w="120" w:type="dxa"/>
            <w:vAlign w:val="bottom"/>
          </w:tcPr>
          <w:p>
            <w:pPr>
              <w:jc w:val="right"/>
              <w:spacing w:after="0"/>
              <w:rPr>
                <w:sz w:val="20"/>
                <w:szCs w:val="20"/>
                <w:color w:val="auto"/>
              </w:rPr>
            </w:pPr>
            <w:r>
              <w:rPr>
                <w:rFonts w:ascii="Arial" w:cs="Arial" w:eastAsia="Arial" w:hAnsi="Arial"/>
                <w:sz w:val="17"/>
                <w:szCs w:val="17"/>
                <w:color w:val="3A4967"/>
              </w:rPr>
              <w:t>$</w:t>
            </w:r>
          </w:p>
        </w:tc>
        <w:tc>
          <w:tcPr>
            <w:tcW w:w="160" w:type="dxa"/>
            <w:vAlign w:val="bottom"/>
          </w:tcPr>
          <w:p>
            <w:pPr>
              <w:spacing w:after="0"/>
              <w:rPr>
                <w:sz w:val="24"/>
                <w:szCs w:val="24"/>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3A4967"/>
              </w:rPr>
              <w:t>21,916</w:t>
            </w:r>
          </w:p>
        </w:tc>
        <w:tc>
          <w:tcPr>
            <w:tcW w:w="540" w:type="dxa"/>
            <w:vAlign w:val="bottom"/>
          </w:tcPr>
          <w:p>
            <w:pPr>
              <w:ind w:left="360"/>
              <w:spacing w:after="0"/>
              <w:rPr>
                <w:sz w:val="20"/>
                <w:szCs w:val="20"/>
                <w:color w:val="auto"/>
              </w:rPr>
            </w:pPr>
            <w:r>
              <w:rPr>
                <w:rFonts w:ascii="Arial" w:cs="Arial" w:eastAsia="Arial" w:hAnsi="Arial"/>
                <w:sz w:val="17"/>
                <w:szCs w:val="17"/>
                <w:color w:val="3A4967"/>
              </w:rPr>
              <w:t>$</w:t>
            </w:r>
          </w:p>
        </w:tc>
        <w:tc>
          <w:tcPr>
            <w:tcW w:w="1280" w:type="dxa"/>
            <w:vAlign w:val="bottom"/>
          </w:tcPr>
          <w:p>
            <w:pPr>
              <w:jc w:val="right"/>
              <w:ind w:right="117"/>
              <w:spacing w:after="0"/>
              <w:rPr>
                <w:sz w:val="20"/>
                <w:szCs w:val="20"/>
                <w:color w:val="auto"/>
              </w:rPr>
            </w:pPr>
            <w:r>
              <w:rPr>
                <w:rFonts w:ascii="Arial" w:cs="Arial" w:eastAsia="Arial" w:hAnsi="Arial"/>
                <w:sz w:val="17"/>
                <w:szCs w:val="17"/>
                <w:color w:val="3A4967"/>
              </w:rPr>
              <w:t>(13,241)</w:t>
            </w:r>
          </w:p>
        </w:tc>
        <w:tc>
          <w:tcPr>
            <w:tcW w:w="380" w:type="dxa"/>
            <w:vAlign w:val="bottom"/>
          </w:tcPr>
          <w:p>
            <w:pPr>
              <w:jc w:val="right"/>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16,315</w:t>
            </w:r>
          </w:p>
        </w:tc>
      </w:tr>
      <w:tr>
        <w:trPr>
          <w:trHeight w:val="281"/>
        </w:trPr>
        <w:tc>
          <w:tcPr>
            <w:tcW w:w="3580" w:type="dxa"/>
            <w:vAlign w:val="bottom"/>
          </w:tcPr>
          <w:p>
            <w:pPr>
              <w:ind w:left="80"/>
              <w:spacing w:after="0"/>
              <w:rPr>
                <w:sz w:val="20"/>
                <w:szCs w:val="20"/>
                <w:color w:val="auto"/>
              </w:rPr>
            </w:pPr>
            <w:r>
              <w:rPr>
                <w:rFonts w:ascii="Arial" w:cs="Arial" w:eastAsia="Arial" w:hAnsi="Arial"/>
                <w:sz w:val="17"/>
                <w:szCs w:val="17"/>
                <w:color w:val="3A4967"/>
              </w:rPr>
              <w:t>2023</w:t>
            </w:r>
          </w:p>
        </w:tc>
        <w:tc>
          <w:tcPr>
            <w:tcW w:w="940" w:type="dxa"/>
            <w:vAlign w:val="bottom"/>
          </w:tcPr>
          <w:p>
            <w:pPr>
              <w:jc w:val="right"/>
              <w:spacing w:after="0"/>
              <w:rPr>
                <w:sz w:val="20"/>
                <w:szCs w:val="20"/>
                <w:color w:val="auto"/>
              </w:rPr>
            </w:pPr>
            <w:r>
              <w:rPr>
                <w:rFonts w:ascii="Arial" w:cs="Arial" w:eastAsia="Arial" w:hAnsi="Arial"/>
                <w:sz w:val="17"/>
                <w:szCs w:val="17"/>
                <w:color w:val="3A4967"/>
              </w:rPr>
              <w:t>$</w:t>
            </w:r>
          </w:p>
        </w:tc>
        <w:tc>
          <w:tcPr>
            <w:tcW w:w="1180" w:type="dxa"/>
            <w:vAlign w:val="bottom"/>
            <w:gridSpan w:val="2"/>
          </w:tcPr>
          <w:p>
            <w:pPr>
              <w:jc w:val="right"/>
              <w:ind w:right="316"/>
              <w:spacing w:after="0"/>
              <w:rPr>
                <w:sz w:val="20"/>
                <w:szCs w:val="20"/>
                <w:color w:val="auto"/>
              </w:rPr>
            </w:pPr>
            <w:r>
              <w:rPr>
                <w:rFonts w:ascii="Arial" w:cs="Arial" w:eastAsia="Arial" w:hAnsi="Arial"/>
                <w:sz w:val="17"/>
                <w:szCs w:val="17"/>
                <w:color w:val="3A4967"/>
              </w:rPr>
              <w:t>21,976</w:t>
            </w:r>
          </w:p>
        </w:tc>
        <w:tc>
          <w:tcPr>
            <w:tcW w:w="120" w:type="dxa"/>
            <w:vAlign w:val="bottom"/>
          </w:tcPr>
          <w:p>
            <w:pPr>
              <w:jc w:val="right"/>
              <w:spacing w:after="0"/>
              <w:rPr>
                <w:sz w:val="20"/>
                <w:szCs w:val="20"/>
                <w:color w:val="auto"/>
              </w:rPr>
            </w:pPr>
            <w:r>
              <w:rPr>
                <w:rFonts w:ascii="Arial" w:cs="Arial" w:eastAsia="Arial" w:hAnsi="Arial"/>
                <w:sz w:val="17"/>
                <w:szCs w:val="17"/>
                <w:color w:val="3A4967"/>
              </w:rPr>
              <w:t>$</w:t>
            </w:r>
          </w:p>
        </w:tc>
        <w:tc>
          <w:tcPr>
            <w:tcW w:w="160" w:type="dxa"/>
            <w:vAlign w:val="bottom"/>
          </w:tcPr>
          <w:p>
            <w:pPr>
              <w:spacing w:after="0"/>
              <w:rPr>
                <w:sz w:val="24"/>
                <w:szCs w:val="24"/>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3A4967"/>
              </w:rPr>
              <w:t>19,328</w:t>
            </w:r>
          </w:p>
        </w:tc>
        <w:tc>
          <w:tcPr>
            <w:tcW w:w="540" w:type="dxa"/>
            <w:vAlign w:val="bottom"/>
          </w:tcPr>
          <w:p>
            <w:pPr>
              <w:ind w:left="360"/>
              <w:spacing w:after="0"/>
              <w:rPr>
                <w:sz w:val="20"/>
                <w:szCs w:val="20"/>
                <w:color w:val="auto"/>
              </w:rPr>
            </w:pPr>
            <w:r>
              <w:rPr>
                <w:rFonts w:ascii="Arial" w:cs="Arial" w:eastAsia="Arial" w:hAnsi="Arial"/>
                <w:sz w:val="17"/>
                <w:szCs w:val="17"/>
                <w:color w:val="3A4967"/>
              </w:rPr>
              <w:t>$</w:t>
            </w:r>
          </w:p>
        </w:tc>
        <w:tc>
          <w:tcPr>
            <w:tcW w:w="1280" w:type="dxa"/>
            <w:vAlign w:val="bottom"/>
          </w:tcPr>
          <w:p>
            <w:pPr>
              <w:jc w:val="right"/>
              <w:ind w:right="117"/>
              <w:spacing w:after="0"/>
              <w:rPr>
                <w:sz w:val="20"/>
                <w:szCs w:val="20"/>
                <w:color w:val="auto"/>
              </w:rPr>
            </w:pPr>
            <w:r>
              <w:rPr>
                <w:rFonts w:ascii="Arial" w:cs="Arial" w:eastAsia="Arial" w:hAnsi="Arial"/>
                <w:sz w:val="17"/>
                <w:szCs w:val="17"/>
                <w:color w:val="3A4967"/>
              </w:rPr>
              <w:t>(33,664)</w:t>
            </w:r>
          </w:p>
        </w:tc>
        <w:tc>
          <w:tcPr>
            <w:tcW w:w="380" w:type="dxa"/>
            <w:vAlign w:val="bottom"/>
          </w:tcPr>
          <w:p>
            <w:pPr>
              <w:jc w:val="right"/>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7,640</w:t>
            </w:r>
          </w:p>
        </w:tc>
      </w:tr>
      <w:tr>
        <w:trPr>
          <w:trHeight w:val="281"/>
        </w:trPr>
        <w:tc>
          <w:tcPr>
            <w:tcW w:w="3580" w:type="dxa"/>
            <w:vAlign w:val="bottom"/>
          </w:tcPr>
          <w:p>
            <w:pPr>
              <w:ind w:left="80"/>
              <w:spacing w:after="0"/>
              <w:rPr>
                <w:sz w:val="20"/>
                <w:szCs w:val="20"/>
                <w:color w:val="auto"/>
              </w:rPr>
            </w:pPr>
            <w:r>
              <w:rPr>
                <w:rFonts w:ascii="Arial" w:cs="Arial" w:eastAsia="Arial" w:hAnsi="Arial"/>
                <w:sz w:val="17"/>
                <w:szCs w:val="17"/>
                <w:color w:val="3A4967"/>
              </w:rPr>
              <w:t>2022</w:t>
            </w:r>
          </w:p>
        </w:tc>
        <w:tc>
          <w:tcPr>
            <w:tcW w:w="940" w:type="dxa"/>
            <w:vAlign w:val="bottom"/>
          </w:tcPr>
          <w:p>
            <w:pPr>
              <w:jc w:val="right"/>
              <w:spacing w:after="0"/>
              <w:rPr>
                <w:sz w:val="20"/>
                <w:szCs w:val="20"/>
                <w:color w:val="auto"/>
              </w:rPr>
            </w:pPr>
            <w:r>
              <w:rPr>
                <w:rFonts w:ascii="Arial" w:cs="Arial" w:eastAsia="Arial" w:hAnsi="Arial"/>
                <w:sz w:val="17"/>
                <w:szCs w:val="17"/>
                <w:color w:val="3A4967"/>
              </w:rPr>
              <w:t>$</w:t>
            </w:r>
          </w:p>
        </w:tc>
        <w:tc>
          <w:tcPr>
            <w:tcW w:w="1180" w:type="dxa"/>
            <w:vAlign w:val="bottom"/>
            <w:gridSpan w:val="2"/>
          </w:tcPr>
          <w:p>
            <w:pPr>
              <w:jc w:val="right"/>
              <w:ind w:right="316"/>
              <w:spacing w:after="0"/>
              <w:rPr>
                <w:sz w:val="20"/>
                <w:szCs w:val="20"/>
                <w:color w:val="auto"/>
              </w:rPr>
            </w:pPr>
            <w:r>
              <w:rPr>
                <w:rFonts w:ascii="Arial" w:cs="Arial" w:eastAsia="Arial" w:hAnsi="Arial"/>
                <w:sz w:val="17"/>
                <w:szCs w:val="17"/>
                <w:color w:val="3A4967"/>
              </w:rPr>
              <w:t>43,055</w:t>
            </w:r>
          </w:p>
        </w:tc>
        <w:tc>
          <w:tcPr>
            <w:tcW w:w="120" w:type="dxa"/>
            <w:vAlign w:val="bottom"/>
          </w:tcPr>
          <w:p>
            <w:pPr>
              <w:jc w:val="right"/>
              <w:spacing w:after="0"/>
              <w:rPr>
                <w:sz w:val="20"/>
                <w:szCs w:val="20"/>
                <w:color w:val="auto"/>
              </w:rPr>
            </w:pPr>
            <w:r>
              <w:rPr>
                <w:rFonts w:ascii="Arial" w:cs="Arial" w:eastAsia="Arial" w:hAnsi="Arial"/>
                <w:sz w:val="17"/>
                <w:szCs w:val="17"/>
                <w:color w:val="3A4967"/>
              </w:rPr>
              <w:t>$</w:t>
            </w:r>
          </w:p>
        </w:tc>
        <w:tc>
          <w:tcPr>
            <w:tcW w:w="160" w:type="dxa"/>
            <w:vAlign w:val="bottom"/>
          </w:tcPr>
          <w:p>
            <w:pPr>
              <w:spacing w:after="0"/>
              <w:rPr>
                <w:sz w:val="24"/>
                <w:szCs w:val="24"/>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3A4967"/>
              </w:rPr>
              <w:t>35,867</w:t>
            </w:r>
          </w:p>
        </w:tc>
        <w:tc>
          <w:tcPr>
            <w:tcW w:w="540" w:type="dxa"/>
            <w:vAlign w:val="bottom"/>
          </w:tcPr>
          <w:p>
            <w:pPr>
              <w:ind w:left="360"/>
              <w:spacing w:after="0"/>
              <w:rPr>
                <w:sz w:val="20"/>
                <w:szCs w:val="20"/>
                <w:color w:val="auto"/>
              </w:rPr>
            </w:pPr>
            <w:r>
              <w:rPr>
                <w:rFonts w:ascii="Arial" w:cs="Arial" w:eastAsia="Arial" w:hAnsi="Arial"/>
                <w:sz w:val="17"/>
                <w:szCs w:val="17"/>
                <w:color w:val="3A4967"/>
              </w:rPr>
              <w:t>$</w:t>
            </w:r>
          </w:p>
        </w:tc>
        <w:tc>
          <w:tcPr>
            <w:tcW w:w="1280" w:type="dxa"/>
            <w:vAlign w:val="bottom"/>
          </w:tcPr>
          <w:p>
            <w:pPr>
              <w:jc w:val="right"/>
              <w:ind w:right="117"/>
              <w:spacing w:after="0"/>
              <w:rPr>
                <w:sz w:val="20"/>
                <w:szCs w:val="20"/>
                <w:color w:val="auto"/>
              </w:rPr>
            </w:pPr>
            <w:r>
              <w:rPr>
                <w:rFonts w:ascii="Arial" w:cs="Arial" w:eastAsia="Arial" w:hAnsi="Arial"/>
                <w:sz w:val="17"/>
                <w:szCs w:val="17"/>
                <w:color w:val="3A4967"/>
              </w:rPr>
              <w:t>(56,946)</w:t>
            </w:r>
          </w:p>
        </w:tc>
        <w:tc>
          <w:tcPr>
            <w:tcW w:w="380" w:type="dxa"/>
            <w:vAlign w:val="bottom"/>
          </w:tcPr>
          <w:p>
            <w:pPr>
              <w:jc w:val="right"/>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21,976</w:t>
            </w:r>
          </w:p>
        </w:tc>
      </w:tr>
      <w:tr>
        <w:trPr>
          <w:trHeight w:val="40"/>
        </w:trPr>
        <w:tc>
          <w:tcPr>
            <w:tcW w:w="35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1180" w:type="dxa"/>
            <w:vAlign w:val="bottom"/>
            <w:tcBorders>
              <w:bottom w:val="single" w:sz="8" w:color="3A4967"/>
            </w:tcBorders>
            <w:gridSpan w:val="2"/>
          </w:tcPr>
          <w:p>
            <w:pPr>
              <w:spacing w:after="0"/>
              <w:rPr>
                <w:sz w:val="3"/>
                <w:szCs w:val="3"/>
                <w:color w:val="auto"/>
              </w:rPr>
            </w:pPr>
          </w:p>
        </w:tc>
        <w:tc>
          <w:tcPr>
            <w:tcW w:w="120" w:type="dxa"/>
            <w:vAlign w:val="bottom"/>
            <w:tcBorders>
              <w:bottom w:val="single" w:sz="8" w:color="3A4967"/>
            </w:tcBorders>
          </w:tcPr>
          <w:p>
            <w:pPr>
              <w:spacing w:after="0"/>
              <w:rPr>
                <w:sz w:val="3"/>
                <w:szCs w:val="3"/>
                <w:color w:val="auto"/>
              </w:rPr>
            </w:pPr>
          </w:p>
        </w:tc>
        <w:tc>
          <w:tcPr>
            <w:tcW w:w="160" w:type="dxa"/>
            <w:vAlign w:val="bottom"/>
            <w:tcBorders>
              <w:bottom w:val="single" w:sz="8" w:color="3A4967"/>
            </w:tcBorders>
          </w:tcPr>
          <w:p>
            <w:pPr>
              <w:spacing w:after="0"/>
              <w:rPr>
                <w:sz w:val="3"/>
                <w:szCs w:val="3"/>
                <w:color w:val="auto"/>
              </w:rPr>
            </w:pPr>
          </w:p>
        </w:tc>
        <w:tc>
          <w:tcPr>
            <w:tcW w:w="1060" w:type="dxa"/>
            <w:vAlign w:val="bottom"/>
            <w:tcBorders>
              <w:bottom w:val="single" w:sz="8" w:color="3A4967"/>
            </w:tcBorders>
          </w:tcPr>
          <w:p>
            <w:pPr>
              <w:spacing w:after="0"/>
              <w:rPr>
                <w:sz w:val="3"/>
                <w:szCs w:val="3"/>
                <w:color w:val="auto"/>
              </w:rPr>
            </w:pPr>
          </w:p>
        </w:tc>
        <w:tc>
          <w:tcPr>
            <w:tcW w:w="54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r>
      <w:tr>
        <w:trPr>
          <w:trHeight w:val="685"/>
        </w:trPr>
        <w:tc>
          <w:tcPr>
            <w:tcW w:w="3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3A4967"/>
              </w:rPr>
              <w:t>Balance at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jc w:val="right"/>
              <w:ind w:right="197"/>
              <w:spacing w:after="0"/>
              <w:rPr>
                <w:sz w:val="20"/>
                <w:szCs w:val="20"/>
                <w:color w:val="auto"/>
              </w:rPr>
            </w:pPr>
            <w:r>
              <w:rPr>
                <w:rFonts w:ascii="Arial" w:cs="Arial" w:eastAsia="Arial" w:hAnsi="Arial"/>
                <w:sz w:val="16"/>
                <w:szCs w:val="16"/>
                <w:b w:val="1"/>
                <w:bCs w:val="1"/>
                <w:color w:val="3A4967"/>
              </w:rPr>
              <w:t>Amounts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Balance at</w:t>
            </w:r>
          </w:p>
        </w:tc>
      </w:tr>
      <w:tr>
        <w:trPr>
          <w:trHeight w:val="192"/>
        </w:trPr>
        <w:tc>
          <w:tcPr>
            <w:tcW w:w="3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3A4967"/>
                <w:w w:val="97"/>
              </w:rPr>
              <w:t>Beginning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3A4967"/>
                <w:w w:val="98"/>
              </w:rPr>
              <w:t>Net Provision</w:t>
            </w:r>
          </w:p>
        </w:tc>
        <w:tc>
          <w:tcPr>
            <w:tcW w:w="1820" w:type="dxa"/>
            <w:vAlign w:val="bottom"/>
            <w:gridSpan w:val="2"/>
          </w:tcPr>
          <w:p>
            <w:pPr>
              <w:jc w:val="right"/>
              <w:ind w:right="197"/>
              <w:spacing w:after="0"/>
              <w:rPr>
                <w:sz w:val="20"/>
                <w:szCs w:val="20"/>
                <w:color w:val="auto"/>
              </w:rPr>
            </w:pPr>
            <w:r>
              <w:rPr>
                <w:rFonts w:ascii="Arial" w:cs="Arial" w:eastAsia="Arial" w:hAnsi="Arial"/>
                <w:sz w:val="16"/>
                <w:szCs w:val="16"/>
                <w:b w:val="1"/>
                <w:bCs w:val="1"/>
                <w:color w:val="3A4967"/>
              </w:rPr>
              <w:t>Charged Against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End of</w:t>
            </w:r>
          </w:p>
        </w:tc>
      </w:tr>
      <w:tr>
        <w:trPr>
          <w:trHeight w:val="198"/>
        </w:trPr>
        <w:tc>
          <w:tcPr>
            <w:tcW w:w="3580" w:type="dxa"/>
            <w:vAlign w:val="bottom"/>
          </w:tcPr>
          <w:p>
            <w:pPr>
              <w:ind w:left="80"/>
              <w:spacing w:after="0"/>
              <w:rPr>
                <w:sz w:val="20"/>
                <w:szCs w:val="20"/>
                <w:color w:val="auto"/>
              </w:rPr>
            </w:pPr>
            <w:r>
              <w:rPr>
                <w:rFonts w:ascii="Arial" w:cs="Arial" w:eastAsia="Arial" w:hAnsi="Arial"/>
                <w:sz w:val="13"/>
                <w:szCs w:val="13"/>
                <w:i w:val="1"/>
                <w:iCs w:val="1"/>
                <w:color w:val="3A4967"/>
              </w:rPr>
              <w:t>(In thousands)</w:t>
            </w: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3A4967"/>
              </w:rPr>
              <w:t>of Period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3A4967"/>
              </w:rPr>
              <w:t>(Recovery)</w:t>
            </w:r>
          </w:p>
        </w:tc>
        <w:tc>
          <w:tcPr>
            <w:tcW w:w="540" w:type="dxa"/>
            <w:vAlign w:val="bottom"/>
          </w:tcPr>
          <w:p>
            <w:pPr>
              <w:spacing w:after="0"/>
              <w:rPr>
                <w:sz w:val="17"/>
                <w:szCs w:val="17"/>
                <w:color w:val="auto"/>
              </w:rPr>
            </w:pPr>
          </w:p>
        </w:tc>
        <w:tc>
          <w:tcPr>
            <w:tcW w:w="1280" w:type="dxa"/>
            <w:vAlign w:val="bottom"/>
          </w:tcPr>
          <w:p>
            <w:pPr>
              <w:jc w:val="right"/>
              <w:ind w:right="197"/>
              <w:spacing w:after="0"/>
              <w:rPr>
                <w:sz w:val="20"/>
                <w:szCs w:val="20"/>
                <w:color w:val="auto"/>
              </w:rPr>
            </w:pPr>
            <w:r>
              <w:rPr>
                <w:rFonts w:ascii="Arial" w:cs="Arial" w:eastAsia="Arial" w:hAnsi="Arial"/>
                <w:sz w:val="16"/>
                <w:szCs w:val="16"/>
                <w:b w:val="1"/>
                <w:bCs w:val="1"/>
                <w:color w:val="3A4967"/>
              </w:rPr>
              <w:t>Reserves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3A4967"/>
              </w:rPr>
              <w:t>Period</w:t>
            </w:r>
          </w:p>
        </w:tc>
      </w:tr>
      <w:tr>
        <w:trPr>
          <w:trHeight w:val="36"/>
        </w:trPr>
        <w:tc>
          <w:tcPr>
            <w:tcW w:w="35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40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20" w:type="dxa"/>
            <w:vAlign w:val="bottom"/>
            <w:tcBorders>
              <w:bottom w:val="single" w:sz="8" w:color="3A4967"/>
            </w:tcBorders>
          </w:tcPr>
          <w:p>
            <w:pPr>
              <w:spacing w:after="0"/>
              <w:rPr>
                <w:sz w:val="3"/>
                <w:szCs w:val="3"/>
                <w:color w:val="auto"/>
              </w:rPr>
            </w:pPr>
          </w:p>
        </w:tc>
        <w:tc>
          <w:tcPr>
            <w:tcW w:w="160" w:type="dxa"/>
            <w:vAlign w:val="bottom"/>
            <w:tcBorders>
              <w:bottom w:val="single" w:sz="8" w:color="3A4967"/>
            </w:tcBorders>
          </w:tcPr>
          <w:p>
            <w:pPr>
              <w:spacing w:after="0"/>
              <w:rPr>
                <w:sz w:val="3"/>
                <w:szCs w:val="3"/>
                <w:color w:val="auto"/>
              </w:rPr>
            </w:pPr>
          </w:p>
        </w:tc>
        <w:tc>
          <w:tcPr>
            <w:tcW w:w="1060" w:type="dxa"/>
            <w:vAlign w:val="bottom"/>
            <w:tcBorders>
              <w:bottom w:val="single" w:sz="8" w:color="3A4967"/>
            </w:tcBorders>
          </w:tcPr>
          <w:p>
            <w:pPr>
              <w:spacing w:after="0"/>
              <w:rPr>
                <w:sz w:val="3"/>
                <w:szCs w:val="3"/>
                <w:color w:val="auto"/>
              </w:rPr>
            </w:pPr>
          </w:p>
        </w:tc>
        <w:tc>
          <w:tcPr>
            <w:tcW w:w="54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r>
      <w:tr>
        <w:trPr>
          <w:trHeight w:val="229"/>
        </w:trPr>
        <w:tc>
          <w:tcPr>
            <w:tcW w:w="3580" w:type="dxa"/>
            <w:vAlign w:val="bottom"/>
          </w:tcPr>
          <w:p>
            <w:pPr>
              <w:ind w:left="80"/>
              <w:spacing w:after="0"/>
              <w:rPr>
                <w:sz w:val="20"/>
                <w:szCs w:val="20"/>
                <w:color w:val="auto"/>
              </w:rPr>
            </w:pPr>
            <w:r>
              <w:rPr>
                <w:rFonts w:ascii="Arial" w:cs="Arial" w:eastAsia="Arial" w:hAnsi="Arial"/>
                <w:sz w:val="17"/>
                <w:szCs w:val="17"/>
                <w:b w:val="1"/>
                <w:bCs w:val="1"/>
                <w:color w:val="3A4967"/>
              </w:rPr>
              <w:t>Stale Beer Reserve</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87"/>
        </w:trPr>
        <w:tc>
          <w:tcPr>
            <w:tcW w:w="3580" w:type="dxa"/>
            <w:vAlign w:val="bottom"/>
          </w:tcPr>
          <w:p>
            <w:pPr>
              <w:ind w:left="80"/>
              <w:spacing w:after="0"/>
              <w:rPr>
                <w:sz w:val="20"/>
                <w:szCs w:val="20"/>
                <w:color w:val="auto"/>
              </w:rPr>
            </w:pPr>
            <w:r>
              <w:rPr>
                <w:rFonts w:ascii="Arial" w:cs="Arial" w:eastAsia="Arial" w:hAnsi="Arial"/>
                <w:sz w:val="17"/>
                <w:szCs w:val="17"/>
                <w:color w:val="3A4967"/>
              </w:rPr>
              <w:t>2024</w:t>
            </w:r>
          </w:p>
        </w:tc>
        <w:tc>
          <w:tcPr>
            <w:tcW w:w="940" w:type="dxa"/>
            <w:vAlign w:val="bottom"/>
          </w:tcPr>
          <w:p>
            <w:pPr>
              <w:spacing w:after="0"/>
              <w:rPr>
                <w:sz w:val="24"/>
                <w:szCs w:val="24"/>
                <w:color w:val="auto"/>
              </w:rPr>
            </w:pPr>
          </w:p>
        </w:tc>
        <w:tc>
          <w:tcPr>
            <w:tcW w:w="400" w:type="dxa"/>
            <w:vAlign w:val="bottom"/>
          </w:tcPr>
          <w:p>
            <w:pPr>
              <w:jc w:val="center"/>
              <w:ind w:left="217"/>
              <w:spacing w:after="0"/>
              <w:rPr>
                <w:sz w:val="20"/>
                <w:szCs w:val="20"/>
                <w:color w:val="auto"/>
              </w:rPr>
            </w:pPr>
            <w:r>
              <w:rPr>
                <w:rFonts w:ascii="Arial" w:cs="Arial" w:eastAsia="Arial" w:hAnsi="Arial"/>
                <w:sz w:val="17"/>
                <w:szCs w:val="17"/>
                <w:color w:val="3A4967"/>
              </w:rPr>
              <w:t>$</w:t>
            </w:r>
          </w:p>
        </w:tc>
        <w:tc>
          <w:tcPr>
            <w:tcW w:w="780" w:type="dxa"/>
            <w:vAlign w:val="bottom"/>
          </w:tcPr>
          <w:p>
            <w:pPr>
              <w:jc w:val="right"/>
              <w:spacing w:after="0"/>
              <w:rPr>
                <w:sz w:val="20"/>
                <w:szCs w:val="20"/>
                <w:color w:val="auto"/>
              </w:rPr>
            </w:pPr>
            <w:r>
              <w:rPr>
                <w:rFonts w:ascii="Arial" w:cs="Arial" w:eastAsia="Arial" w:hAnsi="Arial"/>
                <w:sz w:val="17"/>
                <w:szCs w:val="17"/>
                <w:color w:val="3A4967"/>
              </w:rPr>
              <w:t>8,240</w:t>
            </w:r>
          </w:p>
        </w:tc>
        <w:tc>
          <w:tcPr>
            <w:tcW w:w="12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7"/>
                <w:szCs w:val="17"/>
                <w:color w:val="3A4967"/>
              </w:rPr>
              <w:t>$</w:t>
            </w:r>
          </w:p>
        </w:tc>
        <w:tc>
          <w:tcPr>
            <w:tcW w:w="1060" w:type="dxa"/>
            <w:vAlign w:val="bottom"/>
          </w:tcPr>
          <w:p>
            <w:pPr>
              <w:jc w:val="right"/>
              <w:spacing w:after="0"/>
              <w:rPr>
                <w:sz w:val="20"/>
                <w:szCs w:val="20"/>
                <w:color w:val="auto"/>
              </w:rPr>
            </w:pPr>
            <w:r>
              <w:rPr>
                <w:rFonts w:ascii="Arial" w:cs="Arial" w:eastAsia="Arial" w:hAnsi="Arial"/>
                <w:sz w:val="17"/>
                <w:szCs w:val="17"/>
                <w:color w:val="3A4967"/>
              </w:rPr>
              <w:t>5,311</w:t>
            </w:r>
          </w:p>
        </w:tc>
        <w:tc>
          <w:tcPr>
            <w:tcW w:w="540" w:type="dxa"/>
            <w:vAlign w:val="bottom"/>
          </w:tcPr>
          <w:p>
            <w:pPr>
              <w:ind w:left="320"/>
              <w:spacing w:after="0"/>
              <w:rPr>
                <w:sz w:val="20"/>
                <w:szCs w:val="20"/>
                <w:color w:val="auto"/>
              </w:rPr>
            </w:pPr>
            <w:r>
              <w:rPr>
                <w:rFonts w:ascii="Arial" w:cs="Arial" w:eastAsia="Arial" w:hAnsi="Arial"/>
                <w:sz w:val="17"/>
                <w:szCs w:val="17"/>
                <w:color w:val="3A4967"/>
              </w:rPr>
              <w:t>$</w:t>
            </w:r>
          </w:p>
        </w:tc>
        <w:tc>
          <w:tcPr>
            <w:tcW w:w="1280" w:type="dxa"/>
            <w:vAlign w:val="bottom"/>
          </w:tcPr>
          <w:p>
            <w:pPr>
              <w:jc w:val="right"/>
              <w:ind w:right="157"/>
              <w:spacing w:after="0"/>
              <w:rPr>
                <w:sz w:val="20"/>
                <w:szCs w:val="20"/>
                <w:color w:val="auto"/>
              </w:rPr>
            </w:pPr>
            <w:r>
              <w:rPr>
                <w:rFonts w:ascii="Arial" w:cs="Arial" w:eastAsia="Arial" w:hAnsi="Arial"/>
                <w:sz w:val="17"/>
                <w:szCs w:val="17"/>
                <w:color w:val="3A4967"/>
              </w:rPr>
              <w:t>(7,459)</w:t>
            </w:r>
          </w:p>
        </w:tc>
        <w:tc>
          <w:tcPr>
            <w:tcW w:w="380" w:type="dxa"/>
            <w:vAlign w:val="bottom"/>
          </w:tcPr>
          <w:p>
            <w:pPr>
              <w:jc w:val="right"/>
              <w:ind w:right="15"/>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6,092</w:t>
            </w:r>
          </w:p>
        </w:tc>
      </w:tr>
      <w:tr>
        <w:trPr>
          <w:trHeight w:val="281"/>
        </w:trPr>
        <w:tc>
          <w:tcPr>
            <w:tcW w:w="3580" w:type="dxa"/>
            <w:vAlign w:val="bottom"/>
          </w:tcPr>
          <w:p>
            <w:pPr>
              <w:ind w:left="80"/>
              <w:spacing w:after="0"/>
              <w:rPr>
                <w:sz w:val="20"/>
                <w:szCs w:val="20"/>
                <w:color w:val="auto"/>
              </w:rPr>
            </w:pPr>
            <w:r>
              <w:rPr>
                <w:rFonts w:ascii="Arial" w:cs="Arial" w:eastAsia="Arial" w:hAnsi="Arial"/>
                <w:sz w:val="17"/>
                <w:szCs w:val="17"/>
                <w:color w:val="3A4967"/>
              </w:rPr>
              <w:t>2023</w:t>
            </w:r>
          </w:p>
        </w:tc>
        <w:tc>
          <w:tcPr>
            <w:tcW w:w="940" w:type="dxa"/>
            <w:vAlign w:val="bottom"/>
          </w:tcPr>
          <w:p>
            <w:pPr>
              <w:spacing w:after="0"/>
              <w:rPr>
                <w:sz w:val="24"/>
                <w:szCs w:val="24"/>
                <w:color w:val="auto"/>
              </w:rPr>
            </w:pPr>
          </w:p>
        </w:tc>
        <w:tc>
          <w:tcPr>
            <w:tcW w:w="400" w:type="dxa"/>
            <w:vAlign w:val="bottom"/>
          </w:tcPr>
          <w:p>
            <w:pPr>
              <w:jc w:val="center"/>
              <w:ind w:left="217"/>
              <w:spacing w:after="0"/>
              <w:rPr>
                <w:sz w:val="20"/>
                <w:szCs w:val="20"/>
                <w:color w:val="auto"/>
              </w:rPr>
            </w:pPr>
            <w:r>
              <w:rPr>
                <w:rFonts w:ascii="Arial" w:cs="Arial" w:eastAsia="Arial" w:hAnsi="Arial"/>
                <w:sz w:val="17"/>
                <w:szCs w:val="17"/>
                <w:color w:val="3A4967"/>
              </w:rPr>
              <w:t>$</w:t>
            </w:r>
          </w:p>
        </w:tc>
        <w:tc>
          <w:tcPr>
            <w:tcW w:w="780" w:type="dxa"/>
            <w:vAlign w:val="bottom"/>
          </w:tcPr>
          <w:p>
            <w:pPr>
              <w:jc w:val="right"/>
              <w:spacing w:after="0"/>
              <w:rPr>
                <w:sz w:val="20"/>
                <w:szCs w:val="20"/>
                <w:color w:val="auto"/>
              </w:rPr>
            </w:pPr>
            <w:r>
              <w:rPr>
                <w:rFonts w:ascii="Arial" w:cs="Arial" w:eastAsia="Arial" w:hAnsi="Arial"/>
                <w:sz w:val="17"/>
                <w:szCs w:val="17"/>
                <w:color w:val="3A4967"/>
              </w:rPr>
              <w:t>5,580</w:t>
            </w:r>
          </w:p>
        </w:tc>
        <w:tc>
          <w:tcPr>
            <w:tcW w:w="12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7"/>
                <w:szCs w:val="17"/>
                <w:color w:val="3A4967"/>
              </w:rPr>
              <w:t>$</w:t>
            </w:r>
          </w:p>
        </w:tc>
        <w:tc>
          <w:tcPr>
            <w:tcW w:w="1060" w:type="dxa"/>
            <w:vAlign w:val="bottom"/>
          </w:tcPr>
          <w:p>
            <w:pPr>
              <w:jc w:val="center"/>
              <w:ind w:left="416"/>
              <w:spacing w:after="0"/>
              <w:rPr>
                <w:sz w:val="20"/>
                <w:szCs w:val="20"/>
                <w:color w:val="auto"/>
              </w:rPr>
            </w:pPr>
            <w:r>
              <w:rPr>
                <w:rFonts w:ascii="Arial" w:cs="Arial" w:eastAsia="Arial" w:hAnsi="Arial"/>
                <w:sz w:val="17"/>
                <w:szCs w:val="17"/>
                <w:color w:val="3A4967"/>
                <w:w w:val="99"/>
              </w:rPr>
              <w:t>18,772</w:t>
            </w:r>
          </w:p>
        </w:tc>
        <w:tc>
          <w:tcPr>
            <w:tcW w:w="540" w:type="dxa"/>
            <w:vAlign w:val="bottom"/>
          </w:tcPr>
          <w:p>
            <w:pPr>
              <w:ind w:left="320"/>
              <w:spacing w:after="0"/>
              <w:rPr>
                <w:sz w:val="20"/>
                <w:szCs w:val="20"/>
                <w:color w:val="auto"/>
              </w:rPr>
            </w:pPr>
            <w:r>
              <w:rPr>
                <w:rFonts w:ascii="Arial" w:cs="Arial" w:eastAsia="Arial" w:hAnsi="Arial"/>
                <w:sz w:val="17"/>
                <w:szCs w:val="17"/>
                <w:color w:val="3A4967"/>
              </w:rPr>
              <w:t>$</w:t>
            </w:r>
          </w:p>
        </w:tc>
        <w:tc>
          <w:tcPr>
            <w:tcW w:w="1280" w:type="dxa"/>
            <w:vAlign w:val="bottom"/>
          </w:tcPr>
          <w:p>
            <w:pPr>
              <w:jc w:val="right"/>
              <w:ind w:right="157"/>
              <w:spacing w:after="0"/>
              <w:rPr>
                <w:sz w:val="20"/>
                <w:szCs w:val="20"/>
                <w:color w:val="auto"/>
              </w:rPr>
            </w:pPr>
            <w:r>
              <w:rPr>
                <w:rFonts w:ascii="Arial" w:cs="Arial" w:eastAsia="Arial" w:hAnsi="Arial"/>
                <w:sz w:val="17"/>
                <w:szCs w:val="17"/>
                <w:color w:val="3A4967"/>
              </w:rPr>
              <w:t>(16,112)</w:t>
            </w:r>
          </w:p>
        </w:tc>
        <w:tc>
          <w:tcPr>
            <w:tcW w:w="380" w:type="dxa"/>
            <w:vAlign w:val="bottom"/>
          </w:tcPr>
          <w:p>
            <w:pPr>
              <w:jc w:val="right"/>
              <w:ind w:right="15"/>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8,240</w:t>
            </w:r>
          </w:p>
        </w:tc>
      </w:tr>
      <w:tr>
        <w:trPr>
          <w:trHeight w:val="281"/>
        </w:trPr>
        <w:tc>
          <w:tcPr>
            <w:tcW w:w="3580" w:type="dxa"/>
            <w:vAlign w:val="bottom"/>
          </w:tcPr>
          <w:p>
            <w:pPr>
              <w:ind w:left="80"/>
              <w:spacing w:after="0"/>
              <w:rPr>
                <w:sz w:val="20"/>
                <w:szCs w:val="20"/>
                <w:color w:val="auto"/>
              </w:rPr>
            </w:pPr>
            <w:r>
              <w:rPr>
                <w:rFonts w:ascii="Arial" w:cs="Arial" w:eastAsia="Arial" w:hAnsi="Arial"/>
                <w:sz w:val="17"/>
                <w:szCs w:val="17"/>
                <w:color w:val="3A4967"/>
              </w:rPr>
              <w:t>2022</w:t>
            </w:r>
          </w:p>
        </w:tc>
        <w:tc>
          <w:tcPr>
            <w:tcW w:w="940" w:type="dxa"/>
            <w:vAlign w:val="bottom"/>
          </w:tcPr>
          <w:p>
            <w:pPr>
              <w:spacing w:after="0"/>
              <w:rPr>
                <w:sz w:val="24"/>
                <w:szCs w:val="24"/>
                <w:color w:val="auto"/>
              </w:rPr>
            </w:pPr>
          </w:p>
        </w:tc>
        <w:tc>
          <w:tcPr>
            <w:tcW w:w="400" w:type="dxa"/>
            <w:vAlign w:val="bottom"/>
          </w:tcPr>
          <w:p>
            <w:pPr>
              <w:jc w:val="center"/>
              <w:ind w:left="217"/>
              <w:spacing w:after="0"/>
              <w:rPr>
                <w:sz w:val="20"/>
                <w:szCs w:val="20"/>
                <w:color w:val="auto"/>
              </w:rPr>
            </w:pPr>
            <w:r>
              <w:rPr>
                <w:rFonts w:ascii="Arial" w:cs="Arial" w:eastAsia="Arial" w:hAnsi="Arial"/>
                <w:sz w:val="17"/>
                <w:szCs w:val="17"/>
                <w:color w:val="3A4967"/>
              </w:rPr>
              <w:t>$</w:t>
            </w:r>
          </w:p>
        </w:tc>
        <w:tc>
          <w:tcPr>
            <w:tcW w:w="780" w:type="dxa"/>
            <w:vAlign w:val="bottom"/>
          </w:tcPr>
          <w:p>
            <w:pPr>
              <w:jc w:val="right"/>
              <w:spacing w:after="0"/>
              <w:rPr>
                <w:sz w:val="20"/>
                <w:szCs w:val="20"/>
                <w:color w:val="auto"/>
              </w:rPr>
            </w:pPr>
            <w:r>
              <w:rPr>
                <w:rFonts w:ascii="Arial" w:cs="Arial" w:eastAsia="Arial" w:hAnsi="Arial"/>
                <w:sz w:val="17"/>
                <w:szCs w:val="17"/>
                <w:color w:val="3A4967"/>
              </w:rPr>
              <w:t>6,045</w:t>
            </w:r>
          </w:p>
        </w:tc>
        <w:tc>
          <w:tcPr>
            <w:tcW w:w="12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Arial" w:cs="Arial" w:eastAsia="Arial" w:hAnsi="Arial"/>
                <w:sz w:val="17"/>
                <w:szCs w:val="17"/>
                <w:color w:val="3A4967"/>
              </w:rPr>
              <w:t>$</w:t>
            </w:r>
          </w:p>
        </w:tc>
        <w:tc>
          <w:tcPr>
            <w:tcW w:w="1060" w:type="dxa"/>
            <w:vAlign w:val="bottom"/>
          </w:tcPr>
          <w:p>
            <w:pPr>
              <w:jc w:val="center"/>
              <w:ind w:left="416"/>
              <w:spacing w:after="0"/>
              <w:rPr>
                <w:sz w:val="20"/>
                <w:szCs w:val="20"/>
                <w:color w:val="auto"/>
              </w:rPr>
            </w:pPr>
            <w:r>
              <w:rPr>
                <w:rFonts w:ascii="Arial" w:cs="Arial" w:eastAsia="Arial" w:hAnsi="Arial"/>
                <w:sz w:val="17"/>
                <w:szCs w:val="17"/>
                <w:color w:val="3A4967"/>
                <w:w w:val="99"/>
              </w:rPr>
              <w:t>19,589</w:t>
            </w:r>
          </w:p>
        </w:tc>
        <w:tc>
          <w:tcPr>
            <w:tcW w:w="540" w:type="dxa"/>
            <w:vAlign w:val="bottom"/>
          </w:tcPr>
          <w:p>
            <w:pPr>
              <w:ind w:left="320"/>
              <w:spacing w:after="0"/>
              <w:rPr>
                <w:sz w:val="20"/>
                <w:szCs w:val="20"/>
                <w:color w:val="auto"/>
              </w:rPr>
            </w:pPr>
            <w:r>
              <w:rPr>
                <w:rFonts w:ascii="Arial" w:cs="Arial" w:eastAsia="Arial" w:hAnsi="Arial"/>
                <w:sz w:val="17"/>
                <w:szCs w:val="17"/>
                <w:color w:val="3A4967"/>
              </w:rPr>
              <w:t>$</w:t>
            </w:r>
          </w:p>
        </w:tc>
        <w:tc>
          <w:tcPr>
            <w:tcW w:w="1280" w:type="dxa"/>
            <w:vAlign w:val="bottom"/>
          </w:tcPr>
          <w:p>
            <w:pPr>
              <w:jc w:val="right"/>
              <w:ind w:right="157"/>
              <w:spacing w:after="0"/>
              <w:rPr>
                <w:sz w:val="20"/>
                <w:szCs w:val="20"/>
                <w:color w:val="auto"/>
              </w:rPr>
            </w:pPr>
            <w:r>
              <w:rPr>
                <w:rFonts w:ascii="Arial" w:cs="Arial" w:eastAsia="Arial" w:hAnsi="Arial"/>
                <w:sz w:val="17"/>
                <w:szCs w:val="17"/>
                <w:color w:val="3A4967"/>
              </w:rPr>
              <w:t>(20,054)</w:t>
            </w:r>
          </w:p>
        </w:tc>
        <w:tc>
          <w:tcPr>
            <w:tcW w:w="380" w:type="dxa"/>
            <w:vAlign w:val="bottom"/>
          </w:tcPr>
          <w:p>
            <w:pPr>
              <w:jc w:val="right"/>
              <w:ind w:right="15"/>
              <w:spacing w:after="0"/>
              <w:rPr>
                <w:sz w:val="20"/>
                <w:szCs w:val="20"/>
                <w:color w:val="auto"/>
              </w:rPr>
            </w:pPr>
            <w:r>
              <w:rPr>
                <w:rFonts w:ascii="Arial" w:cs="Arial" w:eastAsia="Arial" w:hAnsi="Arial"/>
                <w:sz w:val="17"/>
                <w:szCs w:val="17"/>
                <w:color w:val="3A4967"/>
              </w:rPr>
              <w:t>$</w:t>
            </w:r>
          </w:p>
        </w:tc>
        <w:tc>
          <w:tcPr>
            <w:tcW w:w="940" w:type="dxa"/>
            <w:vAlign w:val="bottom"/>
          </w:tcPr>
          <w:p>
            <w:pPr>
              <w:jc w:val="right"/>
              <w:spacing w:after="0"/>
              <w:rPr>
                <w:sz w:val="20"/>
                <w:szCs w:val="20"/>
                <w:color w:val="auto"/>
              </w:rPr>
            </w:pPr>
            <w:r>
              <w:rPr>
                <w:rFonts w:ascii="Arial" w:cs="Arial" w:eastAsia="Arial" w:hAnsi="Arial"/>
                <w:sz w:val="17"/>
                <w:szCs w:val="17"/>
                <w:color w:val="3A4967"/>
              </w:rPr>
              <w:t>5,580</w:t>
            </w:r>
          </w:p>
        </w:tc>
      </w:tr>
      <w:tr>
        <w:trPr>
          <w:trHeight w:val="40"/>
        </w:trPr>
        <w:tc>
          <w:tcPr>
            <w:tcW w:w="35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c>
          <w:tcPr>
            <w:tcW w:w="400" w:type="dxa"/>
            <w:vAlign w:val="bottom"/>
            <w:tcBorders>
              <w:bottom w:val="single" w:sz="8" w:color="3A4967"/>
            </w:tcBorders>
          </w:tcPr>
          <w:p>
            <w:pPr>
              <w:spacing w:after="0"/>
              <w:rPr>
                <w:sz w:val="3"/>
                <w:szCs w:val="3"/>
                <w:color w:val="auto"/>
              </w:rPr>
            </w:pPr>
          </w:p>
        </w:tc>
        <w:tc>
          <w:tcPr>
            <w:tcW w:w="780" w:type="dxa"/>
            <w:vAlign w:val="bottom"/>
            <w:tcBorders>
              <w:bottom w:val="single" w:sz="8" w:color="3A4967"/>
            </w:tcBorders>
          </w:tcPr>
          <w:p>
            <w:pPr>
              <w:spacing w:after="0"/>
              <w:rPr>
                <w:sz w:val="3"/>
                <w:szCs w:val="3"/>
                <w:color w:val="auto"/>
              </w:rPr>
            </w:pPr>
          </w:p>
        </w:tc>
        <w:tc>
          <w:tcPr>
            <w:tcW w:w="120" w:type="dxa"/>
            <w:vAlign w:val="bottom"/>
            <w:tcBorders>
              <w:bottom w:val="single" w:sz="8" w:color="3A4967"/>
            </w:tcBorders>
          </w:tcPr>
          <w:p>
            <w:pPr>
              <w:spacing w:after="0"/>
              <w:rPr>
                <w:sz w:val="3"/>
                <w:szCs w:val="3"/>
                <w:color w:val="auto"/>
              </w:rPr>
            </w:pPr>
          </w:p>
        </w:tc>
        <w:tc>
          <w:tcPr>
            <w:tcW w:w="160" w:type="dxa"/>
            <w:vAlign w:val="bottom"/>
            <w:tcBorders>
              <w:bottom w:val="single" w:sz="8" w:color="3A4967"/>
            </w:tcBorders>
          </w:tcPr>
          <w:p>
            <w:pPr>
              <w:spacing w:after="0"/>
              <w:rPr>
                <w:sz w:val="3"/>
                <w:szCs w:val="3"/>
                <w:color w:val="auto"/>
              </w:rPr>
            </w:pPr>
          </w:p>
        </w:tc>
        <w:tc>
          <w:tcPr>
            <w:tcW w:w="1060" w:type="dxa"/>
            <w:vAlign w:val="bottom"/>
            <w:tcBorders>
              <w:bottom w:val="single" w:sz="8" w:color="3A4967"/>
            </w:tcBorders>
          </w:tcPr>
          <w:p>
            <w:pPr>
              <w:spacing w:after="0"/>
              <w:rPr>
                <w:sz w:val="3"/>
                <w:szCs w:val="3"/>
                <w:color w:val="auto"/>
              </w:rPr>
            </w:pPr>
          </w:p>
        </w:tc>
        <w:tc>
          <w:tcPr>
            <w:tcW w:w="540" w:type="dxa"/>
            <w:vAlign w:val="bottom"/>
            <w:tcBorders>
              <w:bottom w:val="single" w:sz="8" w:color="3A4967"/>
            </w:tcBorders>
          </w:tcPr>
          <w:p>
            <w:pPr>
              <w:spacing w:after="0"/>
              <w:rPr>
                <w:sz w:val="3"/>
                <w:szCs w:val="3"/>
                <w:color w:val="auto"/>
              </w:rPr>
            </w:pPr>
          </w:p>
        </w:tc>
        <w:tc>
          <w:tcPr>
            <w:tcW w:w="1280" w:type="dxa"/>
            <w:vAlign w:val="bottom"/>
            <w:tcBorders>
              <w:bottom w:val="single" w:sz="8" w:color="3A4967"/>
            </w:tcBorders>
          </w:tcPr>
          <w:p>
            <w:pPr>
              <w:spacing w:after="0"/>
              <w:rPr>
                <w:sz w:val="3"/>
                <w:szCs w:val="3"/>
                <w:color w:val="auto"/>
              </w:rPr>
            </w:pPr>
          </w:p>
        </w:tc>
        <w:tc>
          <w:tcPr>
            <w:tcW w:w="380" w:type="dxa"/>
            <w:vAlign w:val="bottom"/>
            <w:tcBorders>
              <w:bottom w:val="single" w:sz="8" w:color="3A4967"/>
            </w:tcBorders>
          </w:tcPr>
          <w:p>
            <w:pPr>
              <w:spacing w:after="0"/>
              <w:rPr>
                <w:sz w:val="3"/>
                <w:szCs w:val="3"/>
                <w:color w:val="auto"/>
              </w:rPr>
            </w:pPr>
          </w:p>
        </w:tc>
        <w:tc>
          <w:tcPr>
            <w:tcW w:w="940" w:type="dxa"/>
            <w:vAlign w:val="bottom"/>
            <w:tcBorders>
              <w:bottom w:val="single" w:sz="8" w:color="3A4967"/>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527685</wp:posOffset>
            </wp:positionV>
            <wp:extent cx="2584450" cy="19177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584450" cy="19177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-4749165</wp:posOffset>
            </wp:positionV>
            <wp:extent cx="6565265" cy="641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565265" cy="64198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-3486150</wp:posOffset>
            </wp:positionV>
            <wp:extent cx="6565265" cy="641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565265" cy="64198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-2223135</wp:posOffset>
            </wp:positionV>
            <wp:extent cx="6565265" cy="641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565265" cy="64198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-782320</wp:posOffset>
            </wp:positionV>
            <wp:extent cx="6572250" cy="641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572250" cy="64198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69" w:name="page70"/>
    <w:bookmarkEnd w:id="69"/>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3A4967"/>
        </w:rPr>
        <w:t xml:space="preserve">Item 8 </w:t>
      </w:r>
      <w:r>
        <w:rPr>
          <w:rFonts w:ascii="Arial" w:cs="Arial" w:eastAsia="Arial" w:hAnsi="Arial"/>
          <w:sz w:val="13"/>
          <w:szCs w:val="13"/>
          <w:color w:val="6D7890"/>
        </w:rPr>
        <w:t>Financial Statements and Supplementary Data</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6D7890"/>
        </w:rPr>
        <w:t>T. Licensing Agreements</w:t>
      </w:r>
    </w:p>
    <w:p>
      <w:pPr>
        <w:spacing w:after="0" w:line="23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3A4967"/>
        </w:rPr>
        <w:t>Pepsi Licensing Agreement</w:t>
      </w:r>
    </w:p>
    <w:p>
      <w:pPr>
        <w:spacing w:after="0" w:line="106" w:lineRule="exact"/>
        <w:rPr>
          <w:sz w:val="20"/>
          <w:szCs w:val="20"/>
          <w:color w:val="auto"/>
        </w:rPr>
      </w:pPr>
    </w:p>
    <w:p>
      <w:pPr>
        <w:jc w:val="both"/>
        <w:ind w:left="400"/>
        <w:spacing w:after="0" w:line="254" w:lineRule="auto"/>
        <w:rPr>
          <w:sz w:val="20"/>
          <w:szCs w:val="20"/>
          <w:color w:val="auto"/>
        </w:rPr>
      </w:pPr>
      <w:r>
        <w:rPr>
          <w:rFonts w:ascii="Arial" w:cs="Arial" w:eastAsia="Arial" w:hAnsi="Arial"/>
          <w:sz w:val="17"/>
          <w:szCs w:val="17"/>
          <w:color w:val="3A4967"/>
        </w:rPr>
        <w:t>On August 9, 2021, the Company signed a series of agreements with PepsiCo, Inc. (“Pepsi”) to develop, market, and sell alcohol beverages. Under the agreements, the Company is responsible for developing, manufacturing, and marketing a flavored malt beverage product under the HARD MTN DEW</w:t>
      </w:r>
      <w:r>
        <w:rPr>
          <w:rFonts w:ascii="Arial" w:cs="Arial" w:eastAsia="Arial" w:hAnsi="Arial"/>
          <w:sz w:val="10"/>
          <w:szCs w:val="10"/>
          <w:color w:val="3A4967"/>
        </w:rPr>
        <w:t>®</w:t>
      </w:r>
      <w:r>
        <w:rPr>
          <w:rFonts w:ascii="Arial" w:cs="Arial" w:eastAsia="Arial" w:hAnsi="Arial"/>
          <w:sz w:val="17"/>
          <w:szCs w:val="17"/>
          <w:color w:val="3A4967"/>
        </w:rPr>
        <w:t xml:space="preserve"> brand. As part of the agreements, Pepsi provides certain proprietary ingredients and also licenses the Company the use of its HARD MTN DEW</w:t>
      </w:r>
      <w:r>
        <w:rPr>
          <w:rFonts w:ascii="Arial" w:cs="Arial" w:eastAsia="Arial" w:hAnsi="Arial"/>
          <w:sz w:val="10"/>
          <w:szCs w:val="10"/>
          <w:color w:val="3A4967"/>
        </w:rPr>
        <w:t>®</w:t>
      </w:r>
      <w:r>
        <w:rPr>
          <w:rFonts w:ascii="Arial" w:cs="Arial" w:eastAsia="Arial" w:hAnsi="Arial"/>
          <w:sz w:val="17"/>
          <w:szCs w:val="17"/>
          <w:color w:val="3A4967"/>
        </w:rPr>
        <w:t xml:space="preserve"> trademark in connection with manufacturing, promoting, marketing, and distributing the developed product, primarily through the Pepsi distribution network.</w:t>
      </w:r>
    </w:p>
    <w:p>
      <w:pPr>
        <w:spacing w:after="0" w:line="85" w:lineRule="exact"/>
        <w:rPr>
          <w:sz w:val="20"/>
          <w:szCs w:val="20"/>
          <w:color w:val="auto"/>
        </w:rPr>
      </w:pPr>
    </w:p>
    <w:p>
      <w:pPr>
        <w:jc w:val="both"/>
        <w:ind w:left="400"/>
        <w:spacing w:after="0" w:line="252" w:lineRule="auto"/>
        <w:rPr>
          <w:sz w:val="20"/>
          <w:szCs w:val="20"/>
          <w:color w:val="auto"/>
        </w:rPr>
      </w:pPr>
      <w:r>
        <w:rPr>
          <w:rFonts w:ascii="Arial" w:cs="Arial" w:eastAsia="Arial" w:hAnsi="Arial"/>
          <w:sz w:val="17"/>
          <w:szCs w:val="17"/>
          <w:color w:val="3A4967"/>
        </w:rPr>
        <w:t>During fiscal 2023 and the first half of 2024, distribution was primarily managed through the Pepsi distribution network per terms of the original agreements. Pursuant to these terms, the Company made payments to Pepsi for proprietary ingredients, freight costs to ship the product to Pepsi, and certain marketing services. The costs of the proprietary ingredients above fair market value are recorded within net revenue at the time revenue is recognized for the flavored malt beverages sold to Pepsi and were $0.2 and $2.0 million during fiscal 2024 and 2023, respectively. Freight costs and marketing costs are recorded in advertising, promotional, and selling expenses. The excess costs over fair market value of proprietary ingredients on hand at the end of the period are classified within prepaid expenses and other current assets. The excess over fair market value for inventory on hand was zero and $ 0.1 million as of December 28, 2024 and December 30, 2023, respectively. During fiscal 2024 and 2023, total net revenue recognized under these agreements amounted to approximately less than 1% and 2%, respectively, of the Company’s total net revenues.</w:t>
      </w:r>
    </w:p>
    <w:p>
      <w:pPr>
        <w:spacing w:after="0" w:line="90" w:lineRule="exact"/>
        <w:rPr>
          <w:sz w:val="20"/>
          <w:szCs w:val="20"/>
          <w:color w:val="auto"/>
        </w:rPr>
      </w:pPr>
    </w:p>
    <w:p>
      <w:pPr>
        <w:jc w:val="both"/>
        <w:ind w:left="400"/>
        <w:spacing w:after="0" w:line="287" w:lineRule="auto"/>
        <w:rPr>
          <w:sz w:val="20"/>
          <w:szCs w:val="20"/>
          <w:color w:val="auto"/>
        </w:rPr>
      </w:pPr>
      <w:r>
        <w:rPr>
          <w:rFonts w:ascii="Arial" w:cs="Arial" w:eastAsia="Arial" w:hAnsi="Arial"/>
          <w:sz w:val="16"/>
          <w:szCs w:val="16"/>
          <w:color w:val="3A4967"/>
        </w:rPr>
        <w:t>On February 24, 2024, the Company and Pepsi amended the terms of these agreements, most notably to change distribution from the Pepsi Distribution network to the Company’s distribution network. The transition of distributor networks began in May of 2024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A4967"/>
        </w:rPr>
        <w:t>is extending into 2025. Under the agreements, the Company is responsible for developing, manufacturing, and marketing a flavored malt beverage product under Pepsi’s MTN DEW</w:t>
      </w:r>
      <w:r>
        <w:rPr>
          <w:rFonts w:ascii="Arial" w:cs="Arial" w:eastAsia="Arial" w:hAnsi="Arial"/>
          <w:sz w:val="10"/>
          <w:szCs w:val="10"/>
          <w:color w:val="3A4967"/>
        </w:rPr>
        <w:t>®</w:t>
      </w:r>
      <w:r>
        <w:rPr>
          <w:rFonts w:ascii="Arial" w:cs="Arial" w:eastAsia="Arial" w:hAnsi="Arial"/>
          <w:sz w:val="18"/>
          <w:szCs w:val="18"/>
          <w:color w:val="3A4967"/>
        </w:rPr>
        <w:t xml:space="preserve"> brand. Pepsi provides certain proprietary ingredients and also licenses the Company the use of its HARD MTN DEW</w:t>
      </w:r>
      <w:r>
        <w:rPr>
          <w:rFonts w:ascii="Arial" w:cs="Arial" w:eastAsia="Arial" w:hAnsi="Arial"/>
          <w:sz w:val="10"/>
          <w:szCs w:val="10"/>
          <w:color w:val="3A4967"/>
        </w:rPr>
        <w:t>®</w:t>
      </w:r>
      <w:r>
        <w:rPr>
          <w:rFonts w:ascii="Arial" w:cs="Arial" w:eastAsia="Arial" w:hAnsi="Arial"/>
          <w:sz w:val="18"/>
          <w:szCs w:val="18"/>
          <w:color w:val="3A4967"/>
        </w:rPr>
        <w:t xml:space="preserve"> trademark in connection with manufacturing, promoting, marketing, and distributing the developed product.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U. Segment Reporting</w:t>
      </w:r>
    </w:p>
    <w:p>
      <w:pPr>
        <w:spacing w:after="0" w:line="1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3A4967"/>
        </w:rPr>
        <w:t>Operating segments are defined as components of an enterprise about which separate discrete information is available for evaluation by the chief operating decision maker, or decision making group, in deciding how to allocate resources in assessing performance. The Company has one operating segment and one reportable segment that produces and sells alcohol beverages under various brands. All brands are predominantly beverages that are manufactured using similar production processes, have comparable alcohol content, generally fall under the same regulatory environment, and are sold to the same types of customers in similar size quantities at similar price points, with similar profit margins, and through the same channels of distribution. The Company’s chief operating decision maker (“CODM”) is the chief executive officer.</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3A4967"/>
        </w:rPr>
        <w:t>The accounting policies of the segment are the same as those described in the summary of significant accounting policies. The CODM assesses performance for the segment based on net income, which is reported on the income statement as consolidated net income. The measure of segment assets is reported on the balance sheet as total consolidated assets.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A4967"/>
        </w:rPr>
        <w:t>The table below summarizes the Company’s measures of segment net income that the CODM considered in determining how to allocate resources and assess segment performance for the years ended December 28, 2024, December 30, 2023, and December 31, 2022:</w:t>
      </w:r>
    </w:p>
    <w:p>
      <w:pPr>
        <w:spacing w:after="0" w:line="288"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3A4967"/>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33655</wp:posOffset>
            </wp:positionV>
            <wp:extent cx="3162300"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162300" cy="6350"/>
                    </a:xfrm>
                    <a:prstGeom prst="rect">
                      <a:avLst/>
                    </a:prstGeom>
                    <a:noFill/>
                  </pic:spPr>
                </pic:pic>
              </a:graphicData>
            </a:graphic>
          </wp:anchor>
        </w:drawing>
      </w:r>
    </w:p>
    <w:p>
      <w:pPr>
        <w:spacing w:after="0" w:line="144" w:lineRule="exact"/>
        <w:rPr>
          <w:sz w:val="20"/>
          <w:szCs w:val="20"/>
          <w:color w:val="auto"/>
        </w:rPr>
      </w:pPr>
    </w:p>
    <w:p>
      <w:pPr>
        <w:sectPr>
          <w:pgSz w:w="11880" w:h="15481" w:orient="portrait"/>
          <w:cols w:equalWidth="0" w:num="2">
            <w:col w:w="5320" w:space="340"/>
            <w:col w:w="4920"/>
          </w:cols>
          <w:pgMar w:left="460" w:top="579" w:right="841" w:bottom="0" w:gutter="0" w:footer="0" w:header="0"/>
          <w:type w:val="continuous"/>
        </w:sectPr>
      </w:pPr>
    </w:p>
    <w:tbl>
      <w:tblPr>
        <w:tblLayout w:type="fixed"/>
        <w:tblInd w:w="400" w:type="dxa"/>
        <w:tblCellMar>
          <w:top w:w="0" w:type="dxa"/>
          <w:left w:w="0" w:type="dxa"/>
          <w:bottom w:w="0" w:type="dxa"/>
          <w:right w:w="0" w:type="dxa"/>
        </w:tblCellMar>
      </w:tblPr>
      <w:tr>
        <w:trPr>
          <w:trHeight w:val="198"/>
        </w:trPr>
        <w:tc>
          <w:tcPr>
            <w:tcW w:w="5200" w:type="dxa"/>
            <w:vAlign w:val="bottom"/>
          </w:tcPr>
          <w:p>
            <w:pPr>
              <w:spacing w:after="0"/>
              <w:rPr>
                <w:sz w:val="17"/>
                <w:szCs w:val="17"/>
                <w:color w:val="auto"/>
              </w:rPr>
            </w:pPr>
          </w:p>
        </w:tc>
        <w:tc>
          <w:tcPr>
            <w:tcW w:w="1700" w:type="dxa"/>
            <w:vAlign w:val="bottom"/>
            <w:gridSpan w:val="2"/>
          </w:tcPr>
          <w:p>
            <w:pPr>
              <w:jc w:val="right"/>
              <w:ind w:right="35"/>
              <w:spacing w:after="0"/>
              <w:rPr>
                <w:sz w:val="20"/>
                <w:szCs w:val="20"/>
                <w:color w:val="auto"/>
              </w:rPr>
            </w:pPr>
            <w:r>
              <w:rPr>
                <w:rFonts w:ascii="Arial" w:cs="Arial" w:eastAsia="Arial" w:hAnsi="Arial"/>
                <w:sz w:val="16"/>
                <w:szCs w:val="16"/>
                <w:b w:val="1"/>
                <w:bCs w:val="1"/>
                <w:color w:val="3A4967"/>
              </w:rPr>
              <w:t>December 28, 2024</w:t>
            </w:r>
          </w:p>
        </w:tc>
        <w:tc>
          <w:tcPr>
            <w:tcW w:w="1660" w:type="dxa"/>
            <w:vAlign w:val="bottom"/>
            <w:gridSpan w:val="2"/>
          </w:tcPr>
          <w:p>
            <w:pPr>
              <w:jc w:val="right"/>
              <w:ind w:right="35"/>
              <w:spacing w:after="0"/>
              <w:rPr>
                <w:sz w:val="20"/>
                <w:szCs w:val="20"/>
                <w:color w:val="auto"/>
              </w:rPr>
            </w:pPr>
            <w:r>
              <w:rPr>
                <w:rFonts w:ascii="Arial" w:cs="Arial" w:eastAsia="Arial" w:hAnsi="Arial"/>
                <w:sz w:val="16"/>
                <w:szCs w:val="16"/>
                <w:b w:val="1"/>
                <w:bCs w:val="1"/>
                <w:color w:val="3A4967"/>
              </w:rPr>
              <w:t>December 30, 2023</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3A4967"/>
              </w:rPr>
              <w:t>December 31, 2022</w:t>
            </w:r>
          </w:p>
        </w:tc>
      </w:tr>
      <w:tr>
        <w:trPr>
          <w:trHeight w:val="36"/>
        </w:trPr>
        <w:tc>
          <w:tcPr>
            <w:tcW w:w="5200" w:type="dxa"/>
            <w:vAlign w:val="bottom"/>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64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6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r>
      <w:tr>
        <w:trPr>
          <w:trHeight w:val="227"/>
        </w:trPr>
        <w:tc>
          <w:tcPr>
            <w:tcW w:w="5200" w:type="dxa"/>
            <w:vAlign w:val="bottom"/>
          </w:tcPr>
          <w:p>
            <w:pPr>
              <w:ind w:left="80"/>
              <w:spacing w:after="0"/>
              <w:rPr>
                <w:sz w:val="20"/>
                <w:szCs w:val="20"/>
                <w:color w:val="auto"/>
              </w:rPr>
            </w:pPr>
            <w:r>
              <w:rPr>
                <w:rFonts w:ascii="Arial" w:cs="Arial" w:eastAsia="Arial" w:hAnsi="Arial"/>
                <w:sz w:val="17"/>
                <w:szCs w:val="17"/>
                <w:color w:val="3A4967"/>
              </w:rPr>
              <w:t>Net revenue</w:t>
            </w:r>
          </w:p>
        </w:tc>
        <w:tc>
          <w:tcPr>
            <w:tcW w:w="680" w:type="dxa"/>
            <w:vAlign w:val="bottom"/>
          </w:tcPr>
          <w:p>
            <w:pPr>
              <w:jc w:val="right"/>
              <w:ind w:right="57"/>
              <w:spacing w:after="0"/>
              <w:rPr>
                <w:sz w:val="20"/>
                <w:szCs w:val="20"/>
                <w:color w:val="auto"/>
              </w:rPr>
            </w:pPr>
            <w:r>
              <w:rPr>
                <w:rFonts w:ascii="Arial" w:cs="Arial" w:eastAsia="Arial" w:hAnsi="Arial"/>
                <w:sz w:val="17"/>
                <w:szCs w:val="17"/>
                <w:color w:val="3A4967"/>
              </w:rPr>
              <w:t>$</w:t>
            </w: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2,012,926</w:t>
            </w:r>
          </w:p>
        </w:tc>
        <w:tc>
          <w:tcPr>
            <w:tcW w:w="640" w:type="dxa"/>
            <w:vAlign w:val="bottom"/>
          </w:tcPr>
          <w:p>
            <w:pPr>
              <w:jc w:val="right"/>
              <w:ind w:right="57"/>
              <w:spacing w:after="0"/>
              <w:rPr>
                <w:sz w:val="20"/>
                <w:szCs w:val="20"/>
                <w:color w:val="auto"/>
              </w:rPr>
            </w:pPr>
            <w:r>
              <w:rPr>
                <w:rFonts w:ascii="Arial" w:cs="Arial" w:eastAsia="Arial" w:hAnsi="Arial"/>
                <w:sz w:val="17"/>
                <w:szCs w:val="17"/>
                <w:color w:val="3A4967"/>
              </w:rPr>
              <w:t>$</w:t>
            </w: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2,008,625</w:t>
            </w:r>
          </w:p>
        </w:tc>
        <w:tc>
          <w:tcPr>
            <w:tcW w:w="640" w:type="dxa"/>
            <w:vAlign w:val="bottom"/>
          </w:tcPr>
          <w:p>
            <w:pPr>
              <w:jc w:val="right"/>
              <w:ind w:right="57"/>
              <w:spacing w:after="0"/>
              <w:rPr>
                <w:sz w:val="20"/>
                <w:szCs w:val="20"/>
                <w:color w:val="auto"/>
              </w:rPr>
            </w:pPr>
            <w:r>
              <w:rPr>
                <w:rFonts w:ascii="Arial" w:cs="Arial" w:eastAsia="Arial" w:hAnsi="Arial"/>
                <w:sz w:val="17"/>
                <w:szCs w:val="17"/>
                <w:color w:val="3A4967"/>
              </w:rPr>
              <w:t>$</w:t>
            </w:r>
          </w:p>
        </w:tc>
        <w:tc>
          <w:tcPr>
            <w:tcW w:w="980" w:type="dxa"/>
            <w:vAlign w:val="bottom"/>
          </w:tcPr>
          <w:p>
            <w:pPr>
              <w:jc w:val="right"/>
              <w:spacing w:after="0"/>
              <w:rPr>
                <w:sz w:val="20"/>
                <w:szCs w:val="20"/>
                <w:color w:val="auto"/>
              </w:rPr>
            </w:pPr>
            <w:r>
              <w:rPr>
                <w:rFonts w:ascii="Arial" w:cs="Arial" w:eastAsia="Arial" w:hAnsi="Arial"/>
                <w:sz w:val="17"/>
                <w:szCs w:val="17"/>
                <w:color w:val="3A4967"/>
              </w:rPr>
              <w:t>2,090,334</w:t>
            </w:r>
          </w:p>
        </w:tc>
      </w:tr>
      <w:tr>
        <w:trPr>
          <w:trHeight w:val="289"/>
        </w:trPr>
        <w:tc>
          <w:tcPr>
            <w:tcW w:w="5200" w:type="dxa"/>
            <w:vAlign w:val="bottom"/>
          </w:tcPr>
          <w:p>
            <w:pPr>
              <w:ind w:left="80"/>
              <w:spacing w:after="0"/>
              <w:rPr>
                <w:sz w:val="20"/>
                <w:szCs w:val="20"/>
                <w:color w:val="auto"/>
              </w:rPr>
            </w:pPr>
            <w:r>
              <w:rPr>
                <w:rFonts w:ascii="Arial" w:cs="Arial" w:eastAsia="Arial" w:hAnsi="Arial"/>
                <w:sz w:val="17"/>
                <w:szCs w:val="17"/>
                <w:color w:val="3A4967"/>
              </w:rPr>
              <w:t>Less:</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9"/>
        </w:trPr>
        <w:tc>
          <w:tcPr>
            <w:tcW w:w="5200" w:type="dxa"/>
            <w:vAlign w:val="bottom"/>
          </w:tcPr>
          <w:p>
            <w:pPr>
              <w:ind w:left="220"/>
              <w:spacing w:after="0"/>
              <w:rPr>
                <w:sz w:val="20"/>
                <w:szCs w:val="20"/>
                <w:color w:val="auto"/>
              </w:rPr>
            </w:pPr>
            <w:r>
              <w:rPr>
                <w:rFonts w:ascii="Arial" w:cs="Arial" w:eastAsia="Arial" w:hAnsi="Arial"/>
                <w:sz w:val="17"/>
                <w:szCs w:val="17"/>
                <w:color w:val="3A4967"/>
              </w:rPr>
              <w:t>Cost of goods sold</w:t>
            </w:r>
          </w:p>
        </w:tc>
        <w:tc>
          <w:tcPr>
            <w:tcW w:w="6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1,119,194</w:t>
            </w:r>
          </w:p>
        </w:tc>
        <w:tc>
          <w:tcPr>
            <w:tcW w:w="64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1,156,256</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1,228,348</w:t>
            </w:r>
          </w:p>
        </w:tc>
      </w:tr>
      <w:tr>
        <w:trPr>
          <w:trHeight w:val="289"/>
        </w:trPr>
        <w:tc>
          <w:tcPr>
            <w:tcW w:w="5200" w:type="dxa"/>
            <w:vAlign w:val="bottom"/>
          </w:tcPr>
          <w:p>
            <w:pPr>
              <w:ind w:left="220"/>
              <w:spacing w:after="0"/>
              <w:rPr>
                <w:sz w:val="20"/>
                <w:szCs w:val="20"/>
                <w:color w:val="auto"/>
              </w:rPr>
            </w:pPr>
            <w:r>
              <w:rPr>
                <w:rFonts w:ascii="Arial" w:cs="Arial" w:eastAsia="Arial" w:hAnsi="Arial"/>
                <w:sz w:val="17"/>
                <w:szCs w:val="17"/>
                <w:color w:val="3A4967"/>
              </w:rPr>
              <w:t>Salaries and benefits expenses</w:t>
            </w:r>
          </w:p>
        </w:tc>
        <w:tc>
          <w:tcPr>
            <w:tcW w:w="6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254,589</w:t>
            </w:r>
          </w:p>
        </w:tc>
        <w:tc>
          <w:tcPr>
            <w:tcW w:w="64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238,363</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219,491</w:t>
            </w:r>
          </w:p>
        </w:tc>
      </w:tr>
      <w:tr>
        <w:trPr>
          <w:trHeight w:val="284"/>
        </w:trPr>
        <w:tc>
          <w:tcPr>
            <w:tcW w:w="5200" w:type="dxa"/>
            <w:vAlign w:val="bottom"/>
          </w:tcPr>
          <w:p>
            <w:pPr>
              <w:ind w:left="220"/>
              <w:spacing w:after="0"/>
              <w:rPr>
                <w:sz w:val="20"/>
                <w:szCs w:val="20"/>
                <w:color w:val="auto"/>
              </w:rPr>
            </w:pPr>
            <w:r>
              <w:rPr>
                <w:rFonts w:ascii="Arial" w:cs="Arial" w:eastAsia="Arial" w:hAnsi="Arial"/>
                <w:sz w:val="17"/>
                <w:szCs w:val="17"/>
                <w:color w:val="3A4967"/>
                <w:w w:val="99"/>
              </w:rPr>
              <w:t>Advertising, promotional, and selling expenses (excluding salaries</w:t>
            </w:r>
          </w:p>
        </w:tc>
        <w:tc>
          <w:tcPr>
            <w:tcW w:w="6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402,221</w:t>
            </w:r>
          </w:p>
        </w:tc>
        <w:tc>
          <w:tcPr>
            <w:tcW w:w="64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410,710</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447,085</w:t>
            </w:r>
          </w:p>
        </w:tc>
      </w:tr>
      <w:tr>
        <w:trPr>
          <w:trHeight w:val="208"/>
        </w:trPr>
        <w:tc>
          <w:tcPr>
            <w:tcW w:w="5200" w:type="dxa"/>
            <w:vAlign w:val="bottom"/>
          </w:tcPr>
          <w:p>
            <w:pPr>
              <w:ind w:left="220"/>
              <w:spacing w:after="0"/>
              <w:rPr>
                <w:sz w:val="20"/>
                <w:szCs w:val="20"/>
                <w:color w:val="auto"/>
              </w:rPr>
            </w:pPr>
            <w:r>
              <w:rPr>
                <w:rFonts w:ascii="Arial" w:cs="Arial" w:eastAsia="Arial" w:hAnsi="Arial"/>
                <w:sz w:val="17"/>
                <w:szCs w:val="17"/>
                <w:color w:val="3A4967"/>
              </w:rPr>
              <w:t>and benefits)</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7"/>
        </w:trPr>
        <w:tc>
          <w:tcPr>
            <w:tcW w:w="5200" w:type="dxa"/>
            <w:vAlign w:val="bottom"/>
          </w:tcPr>
          <w:p>
            <w:pPr>
              <w:ind w:left="220"/>
              <w:spacing w:after="0"/>
              <w:rPr>
                <w:sz w:val="20"/>
                <w:szCs w:val="20"/>
                <w:color w:val="auto"/>
              </w:rPr>
            </w:pPr>
            <w:r>
              <w:rPr>
                <w:rFonts w:ascii="Arial" w:cs="Arial" w:eastAsia="Arial" w:hAnsi="Arial"/>
                <w:sz w:val="17"/>
                <w:szCs w:val="17"/>
                <w:color w:val="3A4967"/>
              </w:rPr>
              <w:t>General and administrative expenses (excluding salaries and</w:t>
            </w:r>
          </w:p>
        </w:tc>
        <w:tc>
          <w:tcPr>
            <w:tcW w:w="6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85,129</w:t>
            </w:r>
          </w:p>
        </w:tc>
        <w:tc>
          <w:tcPr>
            <w:tcW w:w="64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81,473</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69,358</w:t>
            </w:r>
          </w:p>
        </w:tc>
      </w:tr>
      <w:tr>
        <w:trPr>
          <w:trHeight w:val="208"/>
        </w:trPr>
        <w:tc>
          <w:tcPr>
            <w:tcW w:w="5200" w:type="dxa"/>
            <w:vAlign w:val="bottom"/>
          </w:tcPr>
          <w:p>
            <w:pPr>
              <w:ind w:left="220"/>
              <w:spacing w:after="0"/>
              <w:rPr>
                <w:sz w:val="20"/>
                <w:szCs w:val="20"/>
                <w:color w:val="auto"/>
              </w:rPr>
            </w:pPr>
            <w:r>
              <w:rPr>
                <w:rFonts w:ascii="Arial" w:cs="Arial" w:eastAsia="Arial" w:hAnsi="Arial"/>
                <w:sz w:val="17"/>
                <w:szCs w:val="17"/>
                <w:color w:val="3A4967"/>
              </w:rPr>
              <w:t>benefits)</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1"/>
        </w:trPr>
        <w:tc>
          <w:tcPr>
            <w:tcW w:w="5200" w:type="dxa"/>
            <w:vAlign w:val="bottom"/>
          </w:tcPr>
          <w:p>
            <w:pPr>
              <w:ind w:left="220"/>
              <w:spacing w:after="0"/>
              <w:rPr>
                <w:sz w:val="20"/>
                <w:szCs w:val="20"/>
                <w:color w:val="auto"/>
              </w:rPr>
            </w:pPr>
            <w:r>
              <w:rPr>
                <w:rFonts w:ascii="Arial" w:cs="Arial" w:eastAsia="Arial" w:hAnsi="Arial"/>
                <w:sz w:val="17"/>
                <w:szCs w:val="17"/>
                <w:color w:val="3A4967"/>
              </w:rPr>
              <w:t>Impairment of intangible assets</w:t>
            </w:r>
          </w:p>
        </w:tc>
        <w:tc>
          <w:tcPr>
            <w:tcW w:w="6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42,584</w:t>
            </w:r>
          </w:p>
        </w:tc>
        <w:tc>
          <w:tcPr>
            <w:tcW w:w="64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16,426</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27,100</w:t>
            </w:r>
          </w:p>
        </w:tc>
      </w:tr>
      <w:tr>
        <w:trPr>
          <w:trHeight w:val="289"/>
        </w:trPr>
        <w:tc>
          <w:tcPr>
            <w:tcW w:w="5200" w:type="dxa"/>
            <w:vAlign w:val="bottom"/>
          </w:tcPr>
          <w:p>
            <w:pPr>
              <w:ind w:left="220"/>
              <w:spacing w:after="0"/>
              <w:rPr>
                <w:sz w:val="20"/>
                <w:szCs w:val="20"/>
                <w:color w:val="auto"/>
              </w:rPr>
            </w:pPr>
            <w:r>
              <w:rPr>
                <w:rFonts w:ascii="Arial" w:cs="Arial" w:eastAsia="Arial" w:hAnsi="Arial"/>
                <w:sz w:val="17"/>
                <w:szCs w:val="17"/>
                <w:color w:val="3A4967"/>
              </w:rPr>
              <w:t>Impairment of brewery assets</w:t>
            </w:r>
          </w:p>
        </w:tc>
        <w:tc>
          <w:tcPr>
            <w:tcW w:w="6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7,184</w:t>
            </w:r>
          </w:p>
        </w:tc>
        <w:tc>
          <w:tcPr>
            <w:tcW w:w="64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5,396</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2,782</w:t>
            </w:r>
          </w:p>
        </w:tc>
      </w:tr>
      <w:tr>
        <w:trPr>
          <w:trHeight w:val="289"/>
        </w:trPr>
        <w:tc>
          <w:tcPr>
            <w:tcW w:w="5200" w:type="dxa"/>
            <w:vAlign w:val="bottom"/>
          </w:tcPr>
          <w:p>
            <w:pPr>
              <w:ind w:left="220"/>
              <w:spacing w:after="0"/>
              <w:rPr>
                <w:sz w:val="20"/>
                <w:szCs w:val="20"/>
                <w:color w:val="auto"/>
              </w:rPr>
            </w:pPr>
            <w:r>
              <w:rPr>
                <w:rFonts w:ascii="Arial" w:cs="Arial" w:eastAsia="Arial" w:hAnsi="Arial"/>
                <w:sz w:val="17"/>
                <w:szCs w:val="17"/>
                <w:color w:val="3A4967"/>
              </w:rPr>
              <w:t>Contract settlement costs</w:t>
            </w:r>
          </w:p>
        </w:tc>
        <w:tc>
          <w:tcPr>
            <w:tcW w:w="6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26,052</w:t>
            </w:r>
          </w:p>
        </w:tc>
        <w:tc>
          <w:tcPr>
            <w:tcW w:w="64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5,379</w:t>
            </w:r>
          </w:p>
        </w:tc>
      </w:tr>
      <w:tr>
        <w:trPr>
          <w:trHeight w:val="289"/>
        </w:trPr>
        <w:tc>
          <w:tcPr>
            <w:tcW w:w="5200" w:type="dxa"/>
            <w:vAlign w:val="bottom"/>
          </w:tcPr>
          <w:p>
            <w:pPr>
              <w:ind w:left="220"/>
              <w:spacing w:after="0"/>
              <w:rPr>
                <w:sz w:val="20"/>
                <w:szCs w:val="20"/>
                <w:color w:val="auto"/>
              </w:rPr>
            </w:pPr>
            <w:r>
              <w:rPr>
                <w:rFonts w:ascii="Arial" w:cs="Arial" w:eastAsia="Arial" w:hAnsi="Arial"/>
                <w:sz w:val="17"/>
                <w:szCs w:val="17"/>
                <w:color w:val="3A4967"/>
              </w:rPr>
              <w:t>Interest income, net</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3A4967"/>
              </w:rPr>
              <w:t>(13,249)</w:t>
            </w:r>
          </w:p>
        </w:tc>
        <w:tc>
          <w:tcPr>
            <w:tcW w:w="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3A4967"/>
              </w:rPr>
              <w:t>(10,995)</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(2,561)</w:t>
            </w:r>
          </w:p>
        </w:tc>
      </w:tr>
      <w:tr>
        <w:trPr>
          <w:trHeight w:val="281"/>
        </w:trPr>
        <w:tc>
          <w:tcPr>
            <w:tcW w:w="5200" w:type="dxa"/>
            <w:vAlign w:val="bottom"/>
          </w:tcPr>
          <w:p>
            <w:pPr>
              <w:ind w:left="220"/>
              <w:spacing w:after="0"/>
              <w:rPr>
                <w:sz w:val="20"/>
                <w:szCs w:val="20"/>
                <w:color w:val="auto"/>
              </w:rPr>
            </w:pPr>
            <w:r>
              <w:rPr>
                <w:rFonts w:ascii="Arial" w:cs="Arial" w:eastAsia="Arial" w:hAnsi="Arial"/>
                <w:sz w:val="17"/>
                <w:szCs w:val="17"/>
                <w:color w:val="3A4967"/>
              </w:rPr>
              <w:t>Other expense, net</w:t>
            </w:r>
          </w:p>
        </w:tc>
        <w:tc>
          <w:tcPr>
            <w:tcW w:w="6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1,620</w:t>
            </w:r>
          </w:p>
        </w:tc>
        <w:tc>
          <w:tcPr>
            <w:tcW w:w="64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1,408</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1,916</w:t>
            </w:r>
          </w:p>
        </w:tc>
      </w:tr>
      <w:tr>
        <w:trPr>
          <w:trHeight w:val="289"/>
        </w:trPr>
        <w:tc>
          <w:tcPr>
            <w:tcW w:w="5200" w:type="dxa"/>
            <w:vAlign w:val="bottom"/>
          </w:tcPr>
          <w:p>
            <w:pPr>
              <w:ind w:left="220"/>
              <w:spacing w:after="0"/>
              <w:rPr>
                <w:sz w:val="20"/>
                <w:szCs w:val="20"/>
                <w:color w:val="auto"/>
              </w:rPr>
            </w:pPr>
            <w:r>
              <w:rPr>
                <w:rFonts w:ascii="Arial" w:cs="Arial" w:eastAsia="Arial" w:hAnsi="Arial"/>
                <w:sz w:val="17"/>
                <w:szCs w:val="17"/>
                <w:color w:val="3A4967"/>
              </w:rPr>
              <w:t>Income tax provision</w:t>
            </w:r>
          </w:p>
        </w:tc>
        <w:tc>
          <w:tcPr>
            <w:tcW w:w="6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27,907</w:t>
            </w:r>
          </w:p>
        </w:tc>
        <w:tc>
          <w:tcPr>
            <w:tcW w:w="64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3A4967"/>
              </w:rPr>
              <w:t>33,338</w:t>
            </w:r>
          </w:p>
        </w:tc>
        <w:tc>
          <w:tcPr>
            <w:tcW w:w="6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3A4967"/>
              </w:rPr>
              <w:t>24,173</w:t>
            </w:r>
          </w:p>
        </w:tc>
      </w:tr>
      <w:tr>
        <w:trPr>
          <w:trHeight w:val="42"/>
        </w:trPr>
        <w:tc>
          <w:tcPr>
            <w:tcW w:w="5200" w:type="dxa"/>
            <w:vAlign w:val="bottom"/>
            <w:tcBorders>
              <w:bottom w:val="single" w:sz="8" w:color="3A4967"/>
            </w:tcBorders>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64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6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r>
      <w:tr>
        <w:trPr>
          <w:trHeight w:val="230"/>
        </w:trPr>
        <w:tc>
          <w:tcPr>
            <w:tcW w:w="5200" w:type="dxa"/>
            <w:vAlign w:val="bottom"/>
          </w:tcPr>
          <w:p>
            <w:pPr>
              <w:ind w:left="80"/>
              <w:spacing w:after="0"/>
              <w:rPr>
                <w:sz w:val="20"/>
                <w:szCs w:val="20"/>
                <w:color w:val="auto"/>
              </w:rPr>
            </w:pPr>
            <w:r>
              <w:rPr>
                <w:rFonts w:ascii="Arial" w:cs="Arial" w:eastAsia="Arial" w:hAnsi="Arial"/>
                <w:sz w:val="17"/>
                <w:szCs w:val="17"/>
                <w:b w:val="1"/>
                <w:bCs w:val="1"/>
                <w:color w:val="3A4967"/>
              </w:rPr>
              <w:t>SEGMENT NET INCOME</w:t>
            </w:r>
          </w:p>
        </w:tc>
        <w:tc>
          <w:tcPr>
            <w:tcW w:w="680" w:type="dxa"/>
            <w:vAlign w:val="bottom"/>
          </w:tcPr>
          <w:p>
            <w:pPr>
              <w:jc w:val="right"/>
              <w:ind w:right="57"/>
              <w:spacing w:after="0"/>
              <w:rPr>
                <w:sz w:val="20"/>
                <w:szCs w:val="20"/>
                <w:color w:val="auto"/>
              </w:rPr>
            </w:pPr>
            <w:r>
              <w:rPr>
                <w:rFonts w:ascii="Arial" w:cs="Arial" w:eastAsia="Arial" w:hAnsi="Arial"/>
                <w:sz w:val="17"/>
                <w:szCs w:val="17"/>
                <w:b w:val="1"/>
                <w:bCs w:val="1"/>
                <w:color w:val="3A4967"/>
              </w:rPr>
              <w:t>$</w:t>
            </w: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3A4967"/>
              </w:rPr>
              <w:t>59,695</w:t>
            </w:r>
          </w:p>
        </w:tc>
        <w:tc>
          <w:tcPr>
            <w:tcW w:w="640" w:type="dxa"/>
            <w:vAlign w:val="bottom"/>
          </w:tcPr>
          <w:p>
            <w:pPr>
              <w:jc w:val="right"/>
              <w:ind w:right="57"/>
              <w:spacing w:after="0"/>
              <w:rPr>
                <w:sz w:val="20"/>
                <w:szCs w:val="20"/>
                <w:color w:val="auto"/>
              </w:rPr>
            </w:pPr>
            <w:r>
              <w:rPr>
                <w:rFonts w:ascii="Arial" w:cs="Arial" w:eastAsia="Arial" w:hAnsi="Arial"/>
                <w:sz w:val="17"/>
                <w:szCs w:val="17"/>
                <w:b w:val="1"/>
                <w:bCs w:val="1"/>
                <w:color w:val="3A4967"/>
              </w:rPr>
              <w:t>$</w:t>
            </w: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3A4967"/>
              </w:rPr>
              <w:t>76,250</w:t>
            </w:r>
          </w:p>
        </w:tc>
        <w:tc>
          <w:tcPr>
            <w:tcW w:w="640" w:type="dxa"/>
            <w:vAlign w:val="bottom"/>
          </w:tcPr>
          <w:p>
            <w:pPr>
              <w:jc w:val="right"/>
              <w:ind w:right="57"/>
              <w:spacing w:after="0"/>
              <w:rPr>
                <w:sz w:val="20"/>
                <w:szCs w:val="20"/>
                <w:color w:val="auto"/>
              </w:rPr>
            </w:pPr>
            <w:r>
              <w:rPr>
                <w:rFonts w:ascii="Arial" w:cs="Arial" w:eastAsia="Arial" w:hAnsi="Arial"/>
                <w:sz w:val="17"/>
                <w:szCs w:val="17"/>
                <w:b w:val="1"/>
                <w:bCs w:val="1"/>
                <w:color w:val="3A4967"/>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3A4967"/>
              </w:rPr>
              <w:t>67,263</w:t>
            </w:r>
          </w:p>
        </w:tc>
      </w:tr>
      <w:tr>
        <w:trPr>
          <w:trHeight w:val="43"/>
        </w:trPr>
        <w:tc>
          <w:tcPr>
            <w:tcW w:w="5200" w:type="dxa"/>
            <w:vAlign w:val="bottom"/>
            <w:tcBorders>
              <w:bottom w:val="single" w:sz="8" w:color="3A4967"/>
            </w:tcBorders>
          </w:tcPr>
          <w:p>
            <w:pPr>
              <w:spacing w:after="0"/>
              <w:rPr>
                <w:sz w:val="3"/>
                <w:szCs w:val="3"/>
                <w:color w:val="auto"/>
              </w:rPr>
            </w:pPr>
          </w:p>
        </w:tc>
        <w:tc>
          <w:tcPr>
            <w:tcW w:w="68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640" w:type="dxa"/>
            <w:vAlign w:val="bottom"/>
            <w:tcBorders>
              <w:bottom w:val="single" w:sz="8" w:color="3A4967"/>
            </w:tcBorders>
          </w:tcPr>
          <w:p>
            <w:pPr>
              <w:spacing w:after="0"/>
              <w:rPr>
                <w:sz w:val="3"/>
                <w:szCs w:val="3"/>
                <w:color w:val="auto"/>
              </w:rPr>
            </w:pPr>
          </w:p>
        </w:tc>
        <w:tc>
          <w:tcPr>
            <w:tcW w:w="1020" w:type="dxa"/>
            <w:vAlign w:val="bottom"/>
            <w:tcBorders>
              <w:bottom w:val="single" w:sz="8" w:color="3A4967"/>
            </w:tcBorders>
          </w:tcPr>
          <w:p>
            <w:pPr>
              <w:spacing w:after="0"/>
              <w:rPr>
                <w:sz w:val="3"/>
                <w:szCs w:val="3"/>
                <w:color w:val="auto"/>
              </w:rPr>
            </w:pPr>
          </w:p>
        </w:tc>
        <w:tc>
          <w:tcPr>
            <w:tcW w:w="6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-2646680</wp:posOffset>
            </wp:positionV>
            <wp:extent cx="6479540" cy="30486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479540" cy="304863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p>
      <w:pPr>
        <w:spacing w:after="0" w:line="396"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60</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70" w:name="page71"/>
    <w:bookmarkEnd w:id="70"/>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3"/>
          <w:szCs w:val="13"/>
          <w:color w:val="3A4967"/>
        </w:rPr>
        <w:t xml:space="preserve">Item 9A </w:t>
      </w:r>
      <w:r>
        <w:rPr>
          <w:rFonts w:ascii="Arial" w:cs="Arial" w:eastAsia="Arial" w:hAnsi="Arial"/>
          <w:sz w:val="13"/>
          <w:szCs w:val="13"/>
          <w:color w:val="6D7890"/>
        </w:rPr>
        <w:t>Controls and Procedures</w:t>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V. Related Party Transactions</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3A4967"/>
        </w:rPr>
        <w:t>The Company has entered into a lease with the Dogfish Head founders and other owners of buildings used in certain of the Company’s restaurant operations. The lease is for ten years with renewal options. The total payments due under the initial ten year term is $3.6 million. Total related party expense recognized was approximately $366,000, in fiscal 2024, 2023, and 2022, respectively. Other related party expenses and transactions totaled less than $0.1 million for fiscal 2024, 2023, and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6D7890"/>
        </w:rPr>
        <w:t>W. Subsequent Events</w:t>
      </w:r>
    </w:p>
    <w:p>
      <w:pPr>
        <w:spacing w:after="0" w:line="114"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3A4967"/>
        </w:rPr>
        <w:t>The Company evaluated subsequent events occurring after the balance sheet date, December 28, 2024, through the issuance of these financial statements and concluded that there were no events of which management was aware that occurred that would require any adjustment to or disclosure in the accompanying consolidated financial statements.</w:t>
      </w:r>
    </w:p>
    <w:p>
      <w:pPr>
        <w:spacing w:after="0" w:line="643"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268" w:lineRule="exact"/>
        <w:rPr>
          <w:sz w:val="20"/>
          <w:szCs w:val="20"/>
          <w:color w:val="auto"/>
        </w:rPr>
      </w:pPr>
    </w:p>
    <w:p>
      <w:pPr>
        <w:jc w:val="center"/>
        <w:ind w:right="460"/>
        <w:spacing w:after="0"/>
        <w:rPr>
          <w:sz w:val="20"/>
          <w:szCs w:val="20"/>
          <w:color w:val="auto"/>
        </w:rPr>
      </w:pPr>
      <w:r>
        <w:rPr>
          <w:rFonts w:ascii="Arial" w:cs="Arial" w:eastAsia="Arial" w:hAnsi="Arial"/>
          <w:sz w:val="35"/>
          <w:szCs w:val="35"/>
          <w:b w:val="1"/>
          <w:bCs w:val="1"/>
          <w:color w:val="3A4967"/>
        </w:rPr>
        <w:t xml:space="preserve">Item 9. </w:t>
      </w:r>
      <w:r>
        <w:rPr>
          <w:rFonts w:ascii="Arial" w:cs="Arial" w:eastAsia="Arial" w:hAnsi="Arial"/>
          <w:sz w:val="35"/>
          <w:szCs w:val="35"/>
          <w:b w:val="1"/>
          <w:bCs w:val="1"/>
          <w:color w:val="6D7890"/>
        </w:rPr>
        <w:t>Changes in and Disagreements with Accountants</w:t>
      </w:r>
    </w:p>
    <w:p>
      <w:pPr>
        <w:spacing w:after="0" w:line="28" w:lineRule="exact"/>
        <w:rPr>
          <w:sz w:val="20"/>
          <w:szCs w:val="20"/>
          <w:color w:val="auto"/>
        </w:rPr>
      </w:pPr>
    </w:p>
    <w:p>
      <w:pPr>
        <w:ind w:left="1440"/>
        <w:spacing w:after="0"/>
        <w:rPr>
          <w:sz w:val="20"/>
          <w:szCs w:val="20"/>
          <w:color w:val="auto"/>
        </w:rPr>
      </w:pPr>
      <w:r>
        <w:rPr>
          <w:rFonts w:ascii="Arial" w:cs="Arial" w:eastAsia="Arial" w:hAnsi="Arial"/>
          <w:sz w:val="35"/>
          <w:szCs w:val="35"/>
          <w:b w:val="1"/>
          <w:bCs w:val="1"/>
          <w:color w:val="6D7890"/>
        </w:rPr>
        <w:t>on Accounting and Financial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3A4967"/>
        </w:rPr>
        <w:t>None.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35"/>
          <w:szCs w:val="35"/>
          <w:b w:val="1"/>
          <w:bCs w:val="1"/>
          <w:color w:val="3A4967"/>
        </w:rPr>
        <w:t xml:space="preserve">Item 9A. </w:t>
      </w:r>
      <w:r>
        <w:rPr>
          <w:rFonts w:ascii="Arial" w:cs="Arial" w:eastAsia="Arial" w:hAnsi="Arial"/>
          <w:sz w:val="35"/>
          <w:szCs w:val="35"/>
          <w:b w:val="1"/>
          <w:bCs w:val="1"/>
          <w:color w:val="6D7890"/>
        </w:rPr>
        <w:t>Controls and Procedures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(a) Evaluation of disclosure controls and procedures</w:t>
      </w:r>
    </w:p>
    <w:p>
      <w:pPr>
        <w:sectPr>
          <w:pgSz w:w="11880" w:h="15481" w:orient="portrait"/>
          <w:cols w:equalWidth="0" w:num="1">
            <w:col w:w="10560"/>
          </w:cols>
          <w:pgMar w:left="860" w:top="579" w:right="461" w:bottom="0" w:gutter="0" w:footer="0" w:header="0"/>
          <w:type w:val="continuous"/>
        </w:sectPr>
      </w:pP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3A4967"/>
        </w:rPr>
        <w:t>The Company’s management, including the Chief Executive Officer and the Chief Financial Officer, carried out an evaluation of the effectiveness of the Company’s disclosure controls and procedures (as such term is defined in Rules 13a-15(e) and 15d-15(e) under the Securities Exchange Act of 1934, as amended) as of the end of the period covered by this report.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ind w:right="380"/>
        <w:spacing w:after="0" w:line="294" w:lineRule="auto"/>
        <w:rPr>
          <w:sz w:val="20"/>
          <w:szCs w:val="20"/>
          <w:color w:val="auto"/>
        </w:rPr>
      </w:pPr>
      <w:r>
        <w:rPr>
          <w:rFonts w:ascii="Arial" w:cs="Arial" w:eastAsia="Arial" w:hAnsi="Arial"/>
          <w:sz w:val="16"/>
          <w:szCs w:val="16"/>
          <w:color w:val="3A4967"/>
        </w:rPr>
        <w:t>Based on this evaluation, the Company’s Chief Executive Officer and Chief Financial Officer concluded that the Company’s disclosure controls and procedures were effective in alerting them in a timely manner to material information required to be disclosed in the Company’s reports filed with or submitted to the SEC.</w:t>
      </w:r>
    </w:p>
    <w:p>
      <w:pPr>
        <w:spacing w:after="0" w:line="397" w:lineRule="exact"/>
        <w:rPr>
          <w:sz w:val="20"/>
          <w:szCs w:val="20"/>
          <w:color w:val="auto"/>
        </w:rPr>
      </w:pPr>
    </w:p>
    <w:p>
      <w:pPr>
        <w:sectPr>
          <w:pgSz w:w="11880" w:h="15481" w:orient="portrait"/>
          <w:cols w:equalWidth="0" w:num="2">
            <w:col w:w="4920" w:space="340"/>
            <w:col w:w="5300"/>
          </w:cols>
          <w:pgMar w:left="860" w:top="579" w:right="461" w:bottom="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(b) Management’s Report on Internal Control Over Financial Reporting</w:t>
      </w:r>
    </w:p>
    <w:p>
      <w:pPr>
        <w:sectPr>
          <w:pgSz w:w="11880" w:h="15481" w:orient="portrait"/>
          <w:cols w:equalWidth="0" w:num="1">
            <w:col w:w="10560"/>
          </w:cols>
          <w:pgMar w:left="860" w:top="579" w:right="461" w:bottom="0" w:gutter="0" w:footer="0" w:header="0"/>
          <w:type w:val="continuous"/>
        </w:sectPr>
      </w:pP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3A4967"/>
        </w:rPr>
        <w:t>The management of the Company is responsible for establishing and maintaining adequate internal control over financial reporting, as such term is defined in Exchange Act Rules 13a-15(f). The Company’s internal control system was designed to provide reasonable assurance to the Company’s management and Board of Directors regarding the preparation and fair presentation of published financial statements.</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3A4967"/>
        </w:rPr>
        <w:t>The Company’s management assessed the effectiveness of the Company’s internal control over financial reporting as of December 28, 2024. In making this assessment, the Company used the criteria set forth by the Committee of Sponsoring Organizations of the Treadway Commission (COSO) in Internal Control—Integrated Framework (2013 framework). Based on its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ind w:left="9" w:right="380"/>
        <w:spacing w:after="0" w:line="259" w:lineRule="auto"/>
        <w:rPr>
          <w:sz w:val="20"/>
          <w:szCs w:val="20"/>
          <w:color w:val="auto"/>
        </w:rPr>
      </w:pPr>
      <w:r>
        <w:rPr>
          <w:rFonts w:ascii="Arial" w:cs="Arial" w:eastAsia="Arial" w:hAnsi="Arial"/>
          <w:sz w:val="18"/>
          <w:szCs w:val="18"/>
          <w:color w:val="3A4967"/>
        </w:rPr>
        <w:t>assessment, the Company believes that, as of December 28, 2024, the Company’s internal control over financial reporting is effective based on those criteria.</w:t>
      </w:r>
    </w:p>
    <w:p>
      <w:pPr>
        <w:spacing w:after="0" w:line="91" w:lineRule="exact"/>
        <w:rPr>
          <w:sz w:val="20"/>
          <w:szCs w:val="20"/>
          <w:color w:val="auto"/>
        </w:rPr>
      </w:pPr>
    </w:p>
    <w:p>
      <w:pPr>
        <w:jc w:val="both"/>
        <w:ind w:left="9" w:right="380"/>
        <w:spacing w:after="0" w:line="267" w:lineRule="auto"/>
        <w:rPr>
          <w:sz w:val="20"/>
          <w:szCs w:val="20"/>
          <w:color w:val="auto"/>
        </w:rPr>
      </w:pPr>
      <w:r>
        <w:rPr>
          <w:rFonts w:ascii="Arial" w:cs="Arial" w:eastAsia="Arial" w:hAnsi="Arial"/>
          <w:sz w:val="17"/>
          <w:szCs w:val="17"/>
          <w:color w:val="3A4967"/>
        </w:rPr>
        <w:t>The effectiveness of the Company’s internal control over financial reporting as of December 28, 2024 has been audited by Deloitte</w:t>
      </w:r>
    </w:p>
    <w:p>
      <w:pPr>
        <w:spacing w:after="0" w:line="1" w:lineRule="exact"/>
        <w:rPr>
          <w:sz w:val="20"/>
          <w:szCs w:val="20"/>
          <w:color w:val="auto"/>
        </w:rPr>
      </w:pPr>
    </w:p>
    <w:p>
      <w:pPr>
        <w:ind w:left="9" w:right="380" w:hanging="9"/>
        <w:spacing w:after="0" w:line="263" w:lineRule="auto"/>
        <w:tabs>
          <w:tab w:leader="none" w:pos="162" w:val="left"/>
        </w:tabs>
        <w:numPr>
          <w:ilvl w:val="0"/>
          <w:numId w:val="20"/>
        </w:numPr>
        <w:rPr>
          <w:rFonts w:ascii="Arial" w:cs="Arial" w:eastAsia="Arial" w:hAnsi="Arial"/>
          <w:sz w:val="18"/>
          <w:szCs w:val="18"/>
          <w:color w:val="3A4967"/>
        </w:rPr>
      </w:pPr>
      <w:r>
        <w:rPr>
          <w:rFonts w:ascii="Arial" w:cs="Arial" w:eastAsia="Arial" w:hAnsi="Arial"/>
          <w:sz w:val="18"/>
          <w:szCs w:val="18"/>
          <w:color w:val="3A4967"/>
        </w:rPr>
        <w:t>Touche LLP, an independent registered public accounting firm, as stated in their report.</w:t>
      </w:r>
    </w:p>
    <w:p>
      <w:pPr>
        <w:spacing w:after="0" w:line="88" w:lineRule="exact"/>
        <w:rPr>
          <w:sz w:val="20"/>
          <w:szCs w:val="20"/>
          <w:color w:val="auto"/>
        </w:rPr>
      </w:pPr>
    </w:p>
    <w:p>
      <w:pPr>
        <w:jc w:val="both"/>
        <w:ind w:left="9" w:right="380"/>
        <w:spacing w:after="0" w:line="271" w:lineRule="auto"/>
        <w:rPr>
          <w:sz w:val="20"/>
          <w:szCs w:val="20"/>
          <w:color w:val="auto"/>
        </w:rPr>
      </w:pPr>
      <w:r>
        <w:rPr>
          <w:rFonts w:ascii="Arial" w:cs="Arial" w:eastAsia="Arial" w:hAnsi="Arial"/>
          <w:sz w:val="17"/>
          <w:szCs w:val="17"/>
          <w:color w:val="3A4967"/>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ectPr>
          <w:pgSz w:w="11880" w:h="15481" w:orient="portrait"/>
          <w:cols w:equalWidth="0" w:num="2">
            <w:col w:w="4920" w:space="331"/>
            <w:col w:w="5309"/>
          </w:cols>
          <w:pgMar w:left="860" w:top="579" w:right="461" w:bottom="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(c) Changes in internal control over financial reporting</w:t>
      </w:r>
    </w:p>
    <w:p>
      <w:pPr>
        <w:spacing w:after="0" w:line="164"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3A4967"/>
        </w:rPr>
        <w:t>No changes in the Company’s internal control over financial reporting occurred during the quarter ended December 28, 2024 that have materially affected, or are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577850</wp:posOffset>
            </wp:positionV>
            <wp:extent cx="2584450" cy="19177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71" w:name="page72"/>
    <w:bookmarkEnd w:id="71"/>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9A </w:t>
      </w:r>
      <w:r>
        <w:rPr>
          <w:rFonts w:ascii="Arial" w:cs="Arial" w:eastAsia="Arial" w:hAnsi="Arial"/>
          <w:sz w:val="14"/>
          <w:szCs w:val="14"/>
          <w:color w:val="6D7890"/>
        </w:rPr>
        <w:t>Controls and Procedures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Report Of Independent Registered Public Accounting Firm</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To the stockholders and Board of Directors</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of The Boston Beer Company, Inc.</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6D7890"/>
        </w:rPr>
        <w:t>Opinion on Internal Control over Financial Reporting</w:t>
      </w:r>
    </w:p>
    <w:p>
      <w:pPr>
        <w:spacing w:after="0" w:line="114" w:lineRule="exact"/>
        <w:rPr>
          <w:sz w:val="20"/>
          <w:szCs w:val="20"/>
          <w:color w:val="auto"/>
        </w:rPr>
      </w:pPr>
    </w:p>
    <w:p>
      <w:pPr>
        <w:jc w:val="both"/>
        <w:ind w:left="400"/>
        <w:spacing w:after="0" w:line="254" w:lineRule="auto"/>
        <w:rPr>
          <w:sz w:val="20"/>
          <w:szCs w:val="20"/>
          <w:color w:val="auto"/>
        </w:rPr>
      </w:pPr>
      <w:r>
        <w:rPr>
          <w:rFonts w:ascii="Arial" w:cs="Arial" w:eastAsia="Arial" w:hAnsi="Arial"/>
          <w:sz w:val="18"/>
          <w:szCs w:val="18"/>
          <w:color w:val="3A4967"/>
        </w:rPr>
        <w:t>We have audited the internal control over financial reporting of The Boston Beer Company, Inc. and subsidiaries (the “Company”) as of December 28,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28, 2024, based on criteria established in Internal Control — Integrated Framework (2013) issued by COSO.</w:t>
      </w:r>
    </w:p>
    <w:p>
      <w:pPr>
        <w:spacing w:after="0" w:line="98"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3A4967"/>
        </w:rPr>
        <w:t>We have also audited, in accordance with the standards of the Public Company Accounting Oversight Board (United States) (PCAOB), the consolidated financial statements as of and for the year ended December 28, 2024, of the Company and our report dated February 25, 2025, expressed an unqualified opinion on those financial statements.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6D7890"/>
        </w:rPr>
        <w:t>Basis for Opinion</w:t>
      </w:r>
    </w:p>
    <w:p>
      <w:pPr>
        <w:spacing w:after="0" w:line="114"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3A4967"/>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jc w:val="both"/>
        <w:ind w:left="400"/>
        <w:spacing w:after="0" w:line="253" w:lineRule="auto"/>
        <w:rPr>
          <w:sz w:val="20"/>
          <w:szCs w:val="20"/>
          <w:color w:val="auto"/>
        </w:rPr>
      </w:pPr>
      <w:r>
        <w:rPr>
          <w:rFonts w:ascii="Arial" w:cs="Arial" w:eastAsia="Arial" w:hAnsi="Arial"/>
          <w:sz w:val="18"/>
          <w:szCs w:val="18"/>
          <w:color w:val="3A4967"/>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6D7890"/>
        </w:rPr>
        <w:t>Definition and Limitations of Internal Control over Financial Reporting</w:t>
      </w:r>
    </w:p>
    <w:p>
      <w:pPr>
        <w:spacing w:after="0" w:line="114" w:lineRule="exact"/>
        <w:rPr>
          <w:sz w:val="20"/>
          <w:szCs w:val="20"/>
          <w:color w:val="auto"/>
        </w:rPr>
      </w:pPr>
    </w:p>
    <w:p>
      <w:pPr>
        <w:jc w:val="both"/>
        <w:ind w:left="400"/>
        <w:spacing w:after="0" w:line="283" w:lineRule="auto"/>
        <w:rPr>
          <w:sz w:val="20"/>
          <w:szCs w:val="20"/>
          <w:color w:val="auto"/>
        </w:rPr>
      </w:pPr>
      <w:r>
        <w:rPr>
          <w:rFonts w:ascii="Arial" w:cs="Arial" w:eastAsia="Arial" w:hAnsi="Arial"/>
          <w:sz w:val="16"/>
          <w:szCs w:val="16"/>
          <w:color w:val="3A4967"/>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jc w:val="both"/>
        <w:ind w:left="400" w:hanging="9"/>
        <w:spacing w:after="0" w:line="253" w:lineRule="auto"/>
        <w:tabs>
          <w:tab w:leader="none" w:pos="633" w:val="left"/>
        </w:tabs>
        <w:numPr>
          <w:ilvl w:val="0"/>
          <w:numId w:val="21"/>
        </w:numPr>
        <w:rPr>
          <w:rFonts w:ascii="Arial" w:cs="Arial" w:eastAsia="Arial" w:hAnsi="Arial"/>
          <w:sz w:val="18"/>
          <w:szCs w:val="18"/>
          <w:color w:val="3A4967"/>
        </w:rPr>
      </w:pPr>
      <w:r>
        <w:rPr>
          <w:rFonts w:ascii="Arial" w:cs="Arial" w:eastAsia="Arial" w:hAnsi="Arial"/>
          <w:sz w:val="18"/>
          <w:szCs w:val="18"/>
          <w:color w:val="3A4967"/>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3A4967"/>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/s/ Deloitte &amp; Touche LLP</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Boston, Massachusetts</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1238885</wp:posOffset>
            </wp:positionV>
            <wp:extent cx="2584450" cy="19177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62</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72" w:name="page73"/>
    <w:bookmarkEnd w:id="72"/>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3A4967"/>
        </w:rPr>
        <w:t xml:space="preserve">Item 9C </w:t>
      </w:r>
      <w:r>
        <w:rPr>
          <w:rFonts w:ascii="Arial" w:cs="Arial" w:eastAsia="Arial" w:hAnsi="Arial"/>
          <w:sz w:val="14"/>
          <w:szCs w:val="14"/>
          <w:color w:val="6D7890"/>
        </w:rPr>
        <w:t>Disclosure Regarding Foreign Jurisdictions that Prevent Inspections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35"/>
          <w:szCs w:val="35"/>
          <w:b w:val="1"/>
          <w:bCs w:val="1"/>
          <w:color w:val="3A4967"/>
        </w:rPr>
        <w:t xml:space="preserve">Item 9B. </w:t>
      </w:r>
      <w:r>
        <w:rPr>
          <w:rFonts w:ascii="Arial" w:cs="Arial" w:eastAsia="Arial" w:hAnsi="Arial"/>
          <w:sz w:val="35"/>
          <w:szCs w:val="35"/>
          <w:b w:val="1"/>
          <w:bCs w:val="1"/>
          <w:color w:val="6D7890"/>
        </w:rPr>
        <w:t>Other Information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Insider Trading Agreements</w:t>
      </w:r>
    </w:p>
    <w:p>
      <w:pPr>
        <w:spacing w:after="0" w:line="164" w:lineRule="exact"/>
        <w:rPr>
          <w:sz w:val="20"/>
          <w:szCs w:val="20"/>
          <w:color w:val="auto"/>
        </w:rPr>
      </w:pPr>
    </w:p>
    <w:p>
      <w:pPr>
        <w:ind w:right="380"/>
        <w:spacing w:after="0" w:line="297" w:lineRule="auto"/>
        <w:rPr>
          <w:sz w:val="20"/>
          <w:szCs w:val="20"/>
          <w:color w:val="auto"/>
        </w:rPr>
      </w:pPr>
      <w:r>
        <w:rPr>
          <w:rFonts w:ascii="Arial" w:cs="Arial" w:eastAsia="Arial" w:hAnsi="Arial"/>
          <w:sz w:val="17"/>
          <w:szCs w:val="17"/>
          <w:color w:val="3A4967"/>
        </w:rPr>
        <w:t>No trading plans were adopted or terminated during the thirteen weeks ended December 28, 2024 by an executive that is intended to satisfy the affirmative defense conditions of Securities Exchange Act Rule 10b5-1(c) or a non-Rule 10b501(c) trading agreement.</w:t>
      </w:r>
    </w:p>
    <w:p>
      <w:pPr>
        <w:spacing w:after="0" w:line="200" w:lineRule="exact"/>
        <w:rPr>
          <w:sz w:val="20"/>
          <w:szCs w:val="20"/>
          <w:color w:val="auto"/>
        </w:rPr>
      </w:pPr>
    </w:p>
    <w:p>
      <w:pPr>
        <w:spacing w:after="0" w:line="241" w:lineRule="exact"/>
        <w:rPr>
          <w:sz w:val="20"/>
          <w:szCs w:val="20"/>
          <w:color w:val="auto"/>
        </w:rPr>
      </w:pPr>
    </w:p>
    <w:p>
      <w:pPr>
        <w:ind w:left="1700" w:right="480" w:hanging="1700"/>
        <w:spacing w:after="0" w:line="269" w:lineRule="auto"/>
        <w:rPr>
          <w:sz w:val="20"/>
          <w:szCs w:val="20"/>
          <w:color w:val="auto"/>
        </w:rPr>
      </w:pPr>
      <w:r>
        <w:rPr>
          <w:rFonts w:ascii="Arial" w:cs="Arial" w:eastAsia="Arial" w:hAnsi="Arial"/>
          <w:sz w:val="35"/>
          <w:szCs w:val="35"/>
          <w:b w:val="1"/>
          <w:bCs w:val="1"/>
          <w:color w:val="3A4967"/>
        </w:rPr>
        <w:t xml:space="preserve">Item 9C. </w:t>
      </w:r>
      <w:r>
        <w:rPr>
          <w:rFonts w:ascii="Arial" w:cs="Arial" w:eastAsia="Arial" w:hAnsi="Arial"/>
          <w:sz w:val="35"/>
          <w:szCs w:val="35"/>
          <w:b w:val="1"/>
          <w:bCs w:val="1"/>
          <w:color w:val="6D7890"/>
        </w:rPr>
        <w:t>Disclosure Regarding Foreign Jurisdictions that</w:t>
      </w:r>
      <w:r>
        <w:rPr>
          <w:rFonts w:ascii="Arial" w:cs="Arial" w:eastAsia="Arial" w:hAnsi="Arial"/>
          <w:sz w:val="35"/>
          <w:szCs w:val="35"/>
          <w:b w:val="1"/>
          <w:bCs w:val="1"/>
          <w:color w:val="3A4967"/>
        </w:rPr>
        <w:t xml:space="preserve"> </w:t>
      </w:r>
      <w:r>
        <w:rPr>
          <w:rFonts w:ascii="Arial" w:cs="Arial" w:eastAsia="Arial" w:hAnsi="Arial"/>
          <w:sz w:val="35"/>
          <w:szCs w:val="35"/>
          <w:b w:val="1"/>
          <w:bCs w:val="1"/>
          <w:color w:val="6D7890"/>
        </w:rPr>
        <w:t>Prevent Inspections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3A4967"/>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6061075</wp:posOffset>
            </wp:positionV>
            <wp:extent cx="2584450" cy="19177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73" w:name="page74"/>
    <w:bookmarkEnd w:id="7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400"/>
        <w:spacing w:after="0"/>
        <w:rPr>
          <w:sz w:val="20"/>
          <w:szCs w:val="20"/>
          <w:color w:val="auto"/>
        </w:rPr>
      </w:pPr>
      <w:r>
        <w:rPr>
          <w:rFonts w:ascii="Arial" w:cs="Arial" w:eastAsia="Arial" w:hAnsi="Arial"/>
          <w:sz w:val="52"/>
          <w:szCs w:val="52"/>
          <w:b w:val="1"/>
          <w:bCs w:val="1"/>
          <w:color w:val="3A4967"/>
        </w:rPr>
        <w:t>PART III</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0"/>
        <w:spacing w:after="0"/>
        <w:rPr>
          <w:sz w:val="20"/>
          <w:szCs w:val="20"/>
          <w:color w:val="auto"/>
        </w:rPr>
      </w:pPr>
      <w:r>
        <w:rPr>
          <w:rFonts w:ascii="Arial" w:cs="Arial" w:eastAsia="Arial" w:hAnsi="Arial"/>
          <w:sz w:val="35"/>
          <w:szCs w:val="35"/>
          <w:b w:val="1"/>
          <w:bCs w:val="1"/>
          <w:color w:val="3A4967"/>
        </w:rPr>
        <w:t xml:space="preserve">Item 10. </w:t>
      </w:r>
      <w:r>
        <w:rPr>
          <w:rFonts w:ascii="Arial" w:cs="Arial" w:eastAsia="Arial" w:hAnsi="Arial"/>
          <w:sz w:val="35"/>
          <w:szCs w:val="35"/>
          <w:b w:val="1"/>
          <w:bCs w:val="1"/>
          <w:color w:val="6D7890"/>
        </w:rPr>
        <w:t>Directors, Executive Officers and Corporate</w:t>
      </w:r>
    </w:p>
    <w:p>
      <w:pPr>
        <w:spacing w:after="0" w:line="28" w:lineRule="exact"/>
        <w:rPr>
          <w:sz w:val="20"/>
          <w:szCs w:val="20"/>
          <w:color w:val="auto"/>
        </w:rPr>
      </w:pPr>
    </w:p>
    <w:p>
      <w:pPr>
        <w:ind w:left="2100"/>
        <w:spacing w:after="0"/>
        <w:rPr>
          <w:sz w:val="20"/>
          <w:szCs w:val="20"/>
          <w:color w:val="auto"/>
        </w:rPr>
      </w:pPr>
      <w:r>
        <w:rPr>
          <w:rFonts w:ascii="Arial" w:cs="Arial" w:eastAsia="Arial" w:hAnsi="Arial"/>
          <w:sz w:val="35"/>
          <w:szCs w:val="35"/>
          <w:b w:val="1"/>
          <w:bCs w:val="1"/>
          <w:color w:val="6D7890"/>
        </w:rPr>
        <w:t>Governance</w:t>
      </w:r>
    </w:p>
    <w:p>
      <w:pPr>
        <w:spacing w:after="0" w:line="252" w:lineRule="exact"/>
        <w:rPr>
          <w:sz w:val="20"/>
          <w:szCs w:val="20"/>
          <w:color w:val="auto"/>
        </w:rPr>
      </w:pPr>
    </w:p>
    <w:p>
      <w:pPr>
        <w:jc w:val="both"/>
        <w:ind w:left="400"/>
        <w:spacing w:after="0" w:line="252" w:lineRule="auto"/>
        <w:rPr>
          <w:sz w:val="20"/>
          <w:szCs w:val="20"/>
          <w:color w:val="auto"/>
        </w:rPr>
      </w:pPr>
      <w:r>
        <w:rPr>
          <w:rFonts w:ascii="Arial" w:cs="Arial" w:eastAsia="Arial" w:hAnsi="Arial"/>
          <w:sz w:val="18"/>
          <w:szCs w:val="18"/>
          <w:color w:val="3A4967"/>
        </w:rPr>
        <w:t>In December 2002, the Board of Directors of the Company adopted a (i) Code of Business Conduct and Ethics that applies to its Chief Executive Officer and its Chief Financial Officer, and (ii) Corporate Governance Guidelines. The Code of Business Conduct and Ethics was amended effective August 1, 2007 to provide for a third-party whistleblower hotline. These, as well as the charters of each of the Board Committees, are posted on the Company’s investor relations website, www.bostonbeer.com, and are available in print to any shareholder who requests them. Such requests should be directed to the Investor Relations Department, The Boston Beer Company, Inc., One Design Center Place, Suite 850, Boston, MA 02210. The Company intends to disclose any amendment to, or waiver from, a provision of its code of ethics that applies to the Company’s Chief Executive Officer or Chief Financial Officer and that relates to any element of the Code of Ethics definition enumerated in Item 406 of Regulation S-K by posting such information on the Company’s website.</w:t>
      </w:r>
    </w:p>
    <w:p>
      <w:pPr>
        <w:spacing w:after="0" w:line="101" w:lineRule="exact"/>
        <w:rPr>
          <w:sz w:val="20"/>
          <w:szCs w:val="20"/>
          <w:color w:val="auto"/>
        </w:rPr>
      </w:pPr>
    </w:p>
    <w:p>
      <w:pPr>
        <w:jc w:val="both"/>
        <w:ind w:left="400"/>
        <w:spacing w:after="0" w:line="267" w:lineRule="auto"/>
        <w:rPr>
          <w:sz w:val="20"/>
          <w:szCs w:val="20"/>
          <w:color w:val="auto"/>
        </w:rPr>
      </w:pPr>
      <w:r>
        <w:rPr>
          <w:rFonts w:ascii="Arial" w:cs="Arial" w:eastAsia="Arial" w:hAnsi="Arial"/>
          <w:sz w:val="18"/>
          <w:szCs w:val="18"/>
          <w:color w:val="3A4967"/>
        </w:rPr>
        <w:t>The information required by Item 10 is hereby incorporated by reference from the registrant’s definitive Proxy Statement for the 2025 Annual Meeting to be held on May 14, 2025.</w:t>
      </w:r>
    </w:p>
    <w:p>
      <w:pPr>
        <w:spacing w:after="0" w:line="200" w:lineRule="exact"/>
        <w:rPr>
          <w:sz w:val="20"/>
          <w:szCs w:val="20"/>
          <w:color w:val="auto"/>
        </w:rPr>
      </w:pPr>
    </w:p>
    <w:p>
      <w:pPr>
        <w:spacing w:after="0" w:line="264" w:lineRule="exact"/>
        <w:rPr>
          <w:sz w:val="20"/>
          <w:szCs w:val="20"/>
          <w:color w:val="auto"/>
        </w:rPr>
      </w:pPr>
    </w:p>
    <w:p>
      <w:pPr>
        <w:ind w:left="400"/>
        <w:spacing w:after="0"/>
        <w:rPr>
          <w:sz w:val="20"/>
          <w:szCs w:val="20"/>
          <w:color w:val="auto"/>
        </w:rPr>
      </w:pPr>
      <w:r>
        <w:rPr>
          <w:rFonts w:ascii="Arial" w:cs="Arial" w:eastAsia="Arial" w:hAnsi="Arial"/>
          <w:sz w:val="35"/>
          <w:szCs w:val="35"/>
          <w:b w:val="1"/>
          <w:bCs w:val="1"/>
          <w:color w:val="3A4967"/>
        </w:rPr>
        <w:t xml:space="preserve">Item 11. </w:t>
      </w:r>
      <w:r>
        <w:rPr>
          <w:rFonts w:ascii="Arial" w:cs="Arial" w:eastAsia="Arial" w:hAnsi="Arial"/>
          <w:sz w:val="35"/>
          <w:szCs w:val="35"/>
          <w:b w:val="1"/>
          <w:bCs w:val="1"/>
          <w:color w:val="6D7890"/>
        </w:rPr>
        <w:t>Executive Compensation</w:t>
      </w:r>
    </w:p>
    <w:p>
      <w:pPr>
        <w:spacing w:after="0" w:line="262" w:lineRule="exact"/>
        <w:rPr>
          <w:sz w:val="20"/>
          <w:szCs w:val="20"/>
          <w:color w:val="auto"/>
        </w:rPr>
      </w:pPr>
    </w:p>
    <w:p>
      <w:pPr>
        <w:jc w:val="both"/>
        <w:ind w:left="400"/>
        <w:spacing w:after="0" w:line="267" w:lineRule="auto"/>
        <w:rPr>
          <w:sz w:val="20"/>
          <w:szCs w:val="20"/>
          <w:color w:val="auto"/>
        </w:rPr>
      </w:pPr>
      <w:r>
        <w:rPr>
          <w:rFonts w:ascii="Arial" w:cs="Arial" w:eastAsia="Arial" w:hAnsi="Arial"/>
          <w:sz w:val="18"/>
          <w:szCs w:val="18"/>
          <w:color w:val="3A4967"/>
        </w:rPr>
        <w:t>The Information required by Item 11 is hereby incorporated by reference from the registrant’s definitive Proxy Statement for the 2025 Annual Meeting to be held on May 14, 2025.</w:t>
      </w:r>
    </w:p>
    <w:p>
      <w:pPr>
        <w:spacing w:after="0" w:line="200" w:lineRule="exact"/>
        <w:rPr>
          <w:sz w:val="20"/>
          <w:szCs w:val="20"/>
          <w:color w:val="auto"/>
        </w:rPr>
      </w:pPr>
    </w:p>
    <w:p>
      <w:pPr>
        <w:spacing w:after="0" w:line="264" w:lineRule="exact"/>
        <w:rPr>
          <w:sz w:val="20"/>
          <w:szCs w:val="20"/>
          <w:color w:val="auto"/>
        </w:rPr>
      </w:pPr>
    </w:p>
    <w:p>
      <w:pPr>
        <w:ind w:left="400"/>
        <w:spacing w:after="0"/>
        <w:rPr>
          <w:sz w:val="20"/>
          <w:szCs w:val="20"/>
          <w:color w:val="auto"/>
        </w:rPr>
      </w:pPr>
      <w:r>
        <w:rPr>
          <w:rFonts w:ascii="Arial" w:cs="Arial" w:eastAsia="Arial" w:hAnsi="Arial"/>
          <w:sz w:val="35"/>
          <w:szCs w:val="35"/>
          <w:b w:val="1"/>
          <w:bCs w:val="1"/>
          <w:color w:val="3A4967"/>
        </w:rPr>
        <w:t xml:space="preserve">Item 12. </w:t>
      </w:r>
      <w:r>
        <w:rPr>
          <w:rFonts w:ascii="Arial" w:cs="Arial" w:eastAsia="Arial" w:hAnsi="Arial"/>
          <w:sz w:val="35"/>
          <w:szCs w:val="35"/>
          <w:b w:val="1"/>
          <w:bCs w:val="1"/>
          <w:color w:val="6D7890"/>
        </w:rPr>
        <w:t>Security Ownership of Certain Beneficial</w:t>
      </w:r>
    </w:p>
    <w:p>
      <w:pPr>
        <w:spacing w:after="0" w:line="28" w:lineRule="exact"/>
        <w:rPr>
          <w:sz w:val="20"/>
          <w:szCs w:val="20"/>
          <w:color w:val="auto"/>
        </w:rPr>
      </w:pPr>
    </w:p>
    <w:p>
      <w:pPr>
        <w:ind w:left="2100" w:right="1780"/>
        <w:spacing w:after="0" w:line="263" w:lineRule="auto"/>
        <w:rPr>
          <w:sz w:val="20"/>
          <w:szCs w:val="20"/>
          <w:color w:val="auto"/>
        </w:rPr>
      </w:pPr>
      <w:r>
        <w:rPr>
          <w:rFonts w:ascii="Arial" w:cs="Arial" w:eastAsia="Arial" w:hAnsi="Arial"/>
          <w:sz w:val="35"/>
          <w:szCs w:val="35"/>
          <w:b w:val="1"/>
          <w:bCs w:val="1"/>
          <w:color w:val="6D7890"/>
        </w:rPr>
        <w:t>Owners and Management and Related Stockholder Matters</w:t>
      </w:r>
    </w:p>
    <w:p>
      <w:pPr>
        <w:spacing w:after="0" w:line="200" w:lineRule="exact"/>
        <w:rPr>
          <w:sz w:val="20"/>
          <w:szCs w:val="20"/>
          <w:color w:val="auto"/>
        </w:rPr>
      </w:pPr>
    </w:p>
    <w:p>
      <w:pPr>
        <w:spacing w:after="0" w:line="238"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Security Ownership</w:t>
      </w:r>
    </w:p>
    <w:p>
      <w:pPr>
        <w:spacing w:after="0" w:line="164" w:lineRule="exact"/>
        <w:rPr>
          <w:sz w:val="20"/>
          <w:szCs w:val="20"/>
          <w:color w:val="auto"/>
        </w:rPr>
      </w:pPr>
    </w:p>
    <w:p>
      <w:pPr>
        <w:jc w:val="both"/>
        <w:ind w:left="400"/>
        <w:spacing w:after="0" w:line="297" w:lineRule="auto"/>
        <w:rPr>
          <w:sz w:val="20"/>
          <w:szCs w:val="20"/>
          <w:color w:val="auto"/>
        </w:rPr>
      </w:pPr>
      <w:r>
        <w:rPr>
          <w:rFonts w:ascii="Arial" w:cs="Arial" w:eastAsia="Arial" w:hAnsi="Arial"/>
          <w:sz w:val="17"/>
          <w:szCs w:val="17"/>
          <w:color w:val="3A4967"/>
        </w:rPr>
        <w:t>The information required by Item 12 with respect to security ownership of certain beneficial owners and management is hereby incorporated by reference from the registrant’s definitive Proxy Statement for the 2025 Annual Meeting to be held on May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2188210</wp:posOffset>
            </wp:positionV>
            <wp:extent cx="2584450" cy="19177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80"/>
          </w:cols>
          <w:pgMar w:left="460" w:top="1440"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64</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1440" w:right="841" w:bottom="0" w:gutter="0" w:footer="0" w:header="0"/>
          <w:type w:val="continuous"/>
        </w:sectPr>
      </w:pPr>
    </w:p>
    <w:bookmarkStart w:id="74" w:name="page75"/>
    <w:bookmarkEnd w:id="74"/>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3A4967"/>
        </w:rPr>
        <w:t xml:space="preserve">Item 14 </w:t>
      </w:r>
      <w:r>
        <w:rPr>
          <w:rFonts w:ascii="Arial" w:cs="Arial" w:eastAsia="Arial" w:hAnsi="Arial"/>
          <w:sz w:val="14"/>
          <w:szCs w:val="14"/>
          <w:color w:val="6D7890"/>
        </w:rPr>
        <w:t>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6"/>
          <w:szCs w:val="26"/>
          <w:b w:val="1"/>
          <w:bCs w:val="1"/>
          <w:color w:val="3A4967"/>
        </w:rPr>
        <w:t>Related Stockholder Matters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3A4967"/>
        </w:rPr>
        <w:t>EQUITY COMPENSATION PLAN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3A4967"/>
        </w:rPr>
        <w:t>As of December 28,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820" w:type="dxa"/>
            <w:vAlign w:val="bottom"/>
          </w:tcPr>
          <w:p>
            <w:pPr>
              <w:jc w:val="right"/>
              <w:ind w:right="18"/>
              <w:spacing w:after="0"/>
              <w:rPr>
                <w:sz w:val="20"/>
                <w:szCs w:val="20"/>
                <w:color w:val="auto"/>
              </w:rPr>
            </w:pPr>
            <w:r>
              <w:rPr>
                <w:rFonts w:ascii="Arial" w:cs="Arial" w:eastAsia="Arial" w:hAnsi="Arial"/>
                <w:sz w:val="16"/>
                <w:szCs w:val="16"/>
                <w:b w:val="1"/>
                <w:bCs w:val="1"/>
                <w:color w:val="3A4967"/>
              </w:rPr>
              <w:t>Number of Securities</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3A4967"/>
              </w:rPr>
              <w:t>Number of Securities</w:t>
            </w:r>
          </w:p>
        </w:tc>
      </w:tr>
      <w:tr>
        <w:trPr>
          <w:trHeight w:val="192"/>
        </w:trPr>
        <w:tc>
          <w:tcPr>
            <w:tcW w:w="4740" w:type="dxa"/>
            <w:vAlign w:val="bottom"/>
          </w:tcPr>
          <w:p>
            <w:pPr>
              <w:spacing w:after="0"/>
              <w:rPr>
                <w:sz w:val="16"/>
                <w:szCs w:val="16"/>
                <w:color w:val="auto"/>
              </w:rPr>
            </w:pPr>
          </w:p>
        </w:tc>
        <w:tc>
          <w:tcPr>
            <w:tcW w:w="1820" w:type="dxa"/>
            <w:vAlign w:val="bottom"/>
          </w:tcPr>
          <w:p>
            <w:pPr>
              <w:jc w:val="right"/>
              <w:ind w:right="18"/>
              <w:spacing w:after="0"/>
              <w:rPr>
                <w:sz w:val="20"/>
                <w:szCs w:val="20"/>
                <w:color w:val="auto"/>
              </w:rPr>
            </w:pPr>
            <w:r>
              <w:rPr>
                <w:rFonts w:ascii="Arial" w:cs="Arial" w:eastAsia="Arial" w:hAnsi="Arial"/>
                <w:sz w:val="16"/>
                <w:szCs w:val="16"/>
                <w:b w:val="1"/>
                <w:bCs w:val="1"/>
                <w:color w:val="3A4967"/>
              </w:rPr>
              <w:t>to be Issued</w:t>
            </w:r>
          </w:p>
        </w:tc>
        <w:tc>
          <w:tcPr>
            <w:tcW w:w="1820" w:type="dxa"/>
            <w:vAlign w:val="bottom"/>
            <w:gridSpan w:val="2"/>
          </w:tcPr>
          <w:p>
            <w:pPr>
              <w:jc w:val="right"/>
              <w:ind w:right="15"/>
              <w:spacing w:after="0"/>
              <w:rPr>
                <w:sz w:val="20"/>
                <w:szCs w:val="20"/>
                <w:color w:val="auto"/>
              </w:rPr>
            </w:pPr>
            <w:r>
              <w:rPr>
                <w:rFonts w:ascii="Arial" w:cs="Arial" w:eastAsia="Arial" w:hAnsi="Arial"/>
                <w:sz w:val="16"/>
                <w:szCs w:val="16"/>
                <w:b w:val="1"/>
                <w:bCs w:val="1"/>
                <w:color w:val="3A4967"/>
              </w:rPr>
              <w:t>Weighted-Average</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3A4967"/>
              </w:rPr>
              <w:t>Remaining Available</w:t>
            </w:r>
          </w:p>
        </w:tc>
      </w:tr>
      <w:tr>
        <w:trPr>
          <w:trHeight w:val="192"/>
        </w:trPr>
        <w:tc>
          <w:tcPr>
            <w:tcW w:w="4740" w:type="dxa"/>
            <w:vAlign w:val="bottom"/>
          </w:tcPr>
          <w:p>
            <w:pPr>
              <w:spacing w:after="0"/>
              <w:rPr>
                <w:sz w:val="16"/>
                <w:szCs w:val="16"/>
                <w:color w:val="auto"/>
              </w:rPr>
            </w:pPr>
          </w:p>
        </w:tc>
        <w:tc>
          <w:tcPr>
            <w:tcW w:w="1820" w:type="dxa"/>
            <w:vAlign w:val="bottom"/>
          </w:tcPr>
          <w:p>
            <w:pPr>
              <w:jc w:val="right"/>
              <w:ind w:right="18"/>
              <w:spacing w:after="0"/>
              <w:rPr>
                <w:sz w:val="20"/>
                <w:szCs w:val="20"/>
                <w:color w:val="auto"/>
              </w:rPr>
            </w:pPr>
            <w:r>
              <w:rPr>
                <w:rFonts w:ascii="Arial" w:cs="Arial" w:eastAsia="Arial" w:hAnsi="Arial"/>
                <w:sz w:val="16"/>
                <w:szCs w:val="16"/>
                <w:b w:val="1"/>
                <w:bCs w:val="1"/>
                <w:color w:val="3A4967"/>
              </w:rPr>
              <w:t>Upon Exercise of</w:t>
            </w:r>
          </w:p>
        </w:tc>
        <w:tc>
          <w:tcPr>
            <w:tcW w:w="1820" w:type="dxa"/>
            <w:vAlign w:val="bottom"/>
            <w:gridSpan w:val="2"/>
          </w:tcPr>
          <w:p>
            <w:pPr>
              <w:jc w:val="right"/>
              <w:ind w:right="15"/>
              <w:spacing w:after="0"/>
              <w:rPr>
                <w:sz w:val="20"/>
                <w:szCs w:val="20"/>
                <w:color w:val="auto"/>
              </w:rPr>
            </w:pPr>
            <w:r>
              <w:rPr>
                <w:rFonts w:ascii="Arial" w:cs="Arial" w:eastAsia="Arial" w:hAnsi="Arial"/>
                <w:sz w:val="16"/>
                <w:szCs w:val="16"/>
                <w:b w:val="1"/>
                <w:bCs w:val="1"/>
                <w:color w:val="3A4967"/>
              </w:rPr>
              <w:t>Exercise Price of</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3A4967"/>
              </w:rPr>
              <w:t>for Future Issuance</w:t>
            </w:r>
          </w:p>
        </w:tc>
      </w:tr>
      <w:tr>
        <w:trPr>
          <w:trHeight w:val="192"/>
        </w:trPr>
        <w:tc>
          <w:tcPr>
            <w:tcW w:w="4740" w:type="dxa"/>
            <w:vAlign w:val="bottom"/>
          </w:tcPr>
          <w:p>
            <w:pPr>
              <w:spacing w:after="0"/>
              <w:rPr>
                <w:sz w:val="16"/>
                <w:szCs w:val="16"/>
                <w:color w:val="auto"/>
              </w:rPr>
            </w:pPr>
          </w:p>
        </w:tc>
        <w:tc>
          <w:tcPr>
            <w:tcW w:w="1820" w:type="dxa"/>
            <w:vAlign w:val="bottom"/>
          </w:tcPr>
          <w:p>
            <w:pPr>
              <w:jc w:val="right"/>
              <w:ind w:right="18"/>
              <w:spacing w:after="0"/>
              <w:rPr>
                <w:sz w:val="20"/>
                <w:szCs w:val="20"/>
                <w:color w:val="auto"/>
              </w:rPr>
            </w:pPr>
            <w:r>
              <w:rPr>
                <w:rFonts w:ascii="Arial" w:cs="Arial" w:eastAsia="Arial" w:hAnsi="Arial"/>
                <w:sz w:val="16"/>
                <w:szCs w:val="16"/>
                <w:b w:val="1"/>
                <w:bCs w:val="1"/>
                <w:color w:val="3A4967"/>
              </w:rPr>
              <w:t>Outstanding Options,</w:t>
            </w:r>
          </w:p>
        </w:tc>
        <w:tc>
          <w:tcPr>
            <w:tcW w:w="1820" w:type="dxa"/>
            <w:vAlign w:val="bottom"/>
            <w:gridSpan w:val="2"/>
          </w:tcPr>
          <w:p>
            <w:pPr>
              <w:jc w:val="right"/>
              <w:ind w:right="15"/>
              <w:spacing w:after="0"/>
              <w:rPr>
                <w:sz w:val="20"/>
                <w:szCs w:val="20"/>
                <w:color w:val="auto"/>
              </w:rPr>
            </w:pPr>
            <w:r>
              <w:rPr>
                <w:rFonts w:ascii="Arial" w:cs="Arial" w:eastAsia="Arial" w:hAnsi="Arial"/>
                <w:sz w:val="16"/>
                <w:szCs w:val="16"/>
                <w:b w:val="1"/>
                <w:bCs w:val="1"/>
                <w:color w:val="3A4967"/>
              </w:rPr>
              <w:t>Outstanding Options,</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3A4967"/>
              </w:rPr>
              <w:t>Under Equity</w:t>
            </w:r>
          </w:p>
        </w:tc>
      </w:tr>
      <w:tr>
        <w:trPr>
          <w:trHeight w:val="198"/>
        </w:trPr>
        <w:tc>
          <w:tcPr>
            <w:tcW w:w="4740" w:type="dxa"/>
            <w:vAlign w:val="bottom"/>
          </w:tcPr>
          <w:p>
            <w:pPr>
              <w:ind w:left="80"/>
              <w:spacing w:after="0"/>
              <w:rPr>
                <w:sz w:val="20"/>
                <w:szCs w:val="20"/>
                <w:color w:val="auto"/>
              </w:rPr>
            </w:pPr>
            <w:r>
              <w:rPr>
                <w:rFonts w:ascii="Arial" w:cs="Arial" w:eastAsia="Arial" w:hAnsi="Arial"/>
                <w:sz w:val="16"/>
                <w:szCs w:val="16"/>
                <w:b w:val="1"/>
                <w:bCs w:val="1"/>
                <w:color w:val="3A4967"/>
              </w:rPr>
              <w:t>Plan Category</w:t>
            </w:r>
          </w:p>
        </w:tc>
        <w:tc>
          <w:tcPr>
            <w:tcW w:w="1820" w:type="dxa"/>
            <w:vAlign w:val="bottom"/>
          </w:tcPr>
          <w:p>
            <w:pPr>
              <w:jc w:val="right"/>
              <w:ind w:right="18"/>
              <w:spacing w:after="0"/>
              <w:rPr>
                <w:sz w:val="20"/>
                <w:szCs w:val="20"/>
                <w:color w:val="auto"/>
              </w:rPr>
            </w:pPr>
            <w:r>
              <w:rPr>
                <w:rFonts w:ascii="Arial" w:cs="Arial" w:eastAsia="Arial" w:hAnsi="Arial"/>
                <w:sz w:val="16"/>
                <w:szCs w:val="16"/>
                <w:b w:val="1"/>
                <w:bCs w:val="1"/>
                <w:color w:val="3A4967"/>
              </w:rPr>
              <w:t>Warrants and Rights</w:t>
            </w:r>
          </w:p>
        </w:tc>
        <w:tc>
          <w:tcPr>
            <w:tcW w:w="1820" w:type="dxa"/>
            <w:vAlign w:val="bottom"/>
            <w:gridSpan w:val="2"/>
          </w:tcPr>
          <w:p>
            <w:pPr>
              <w:jc w:val="right"/>
              <w:ind w:right="15"/>
              <w:spacing w:after="0"/>
              <w:rPr>
                <w:sz w:val="20"/>
                <w:szCs w:val="20"/>
                <w:color w:val="auto"/>
              </w:rPr>
            </w:pPr>
            <w:r>
              <w:rPr>
                <w:rFonts w:ascii="Arial" w:cs="Arial" w:eastAsia="Arial" w:hAnsi="Arial"/>
                <w:sz w:val="16"/>
                <w:szCs w:val="16"/>
                <w:b w:val="1"/>
                <w:bCs w:val="1"/>
                <w:color w:val="3A4967"/>
              </w:rPr>
              <w:t>Warrants and Rights</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3A4967"/>
              </w:rPr>
              <w:t>Compensation Plans</w:t>
            </w:r>
          </w:p>
        </w:tc>
      </w:tr>
      <w:tr>
        <w:trPr>
          <w:trHeight w:val="36"/>
        </w:trPr>
        <w:tc>
          <w:tcPr>
            <w:tcW w:w="4740" w:type="dxa"/>
            <w:vAlign w:val="bottom"/>
            <w:tcBorders>
              <w:bottom w:val="single" w:sz="8" w:color="3A4967"/>
            </w:tcBorders>
          </w:tcPr>
          <w:p>
            <w:pPr>
              <w:spacing w:after="0"/>
              <w:rPr>
                <w:sz w:val="3"/>
                <w:szCs w:val="3"/>
                <w:color w:val="auto"/>
              </w:rPr>
            </w:pPr>
          </w:p>
        </w:tc>
        <w:tc>
          <w:tcPr>
            <w:tcW w:w="18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1780" w:type="dxa"/>
            <w:vAlign w:val="bottom"/>
            <w:tcBorders>
              <w:bottom w:val="single" w:sz="8" w:color="3A4967"/>
            </w:tcBorders>
          </w:tcPr>
          <w:p>
            <w:pPr>
              <w:spacing w:after="0"/>
              <w:rPr>
                <w:sz w:val="3"/>
                <w:szCs w:val="3"/>
                <w:color w:val="auto"/>
              </w:rPr>
            </w:pPr>
          </w:p>
        </w:tc>
      </w:tr>
      <w:tr>
        <w:trPr>
          <w:trHeight w:val="227"/>
        </w:trPr>
        <w:tc>
          <w:tcPr>
            <w:tcW w:w="4740" w:type="dxa"/>
            <w:vAlign w:val="bottom"/>
          </w:tcPr>
          <w:p>
            <w:pPr>
              <w:ind w:left="80"/>
              <w:spacing w:after="0"/>
              <w:rPr>
                <w:sz w:val="20"/>
                <w:szCs w:val="20"/>
                <w:color w:val="auto"/>
              </w:rPr>
            </w:pPr>
            <w:r>
              <w:rPr>
                <w:rFonts w:ascii="Arial" w:cs="Arial" w:eastAsia="Arial" w:hAnsi="Arial"/>
                <w:sz w:val="17"/>
                <w:szCs w:val="17"/>
                <w:color w:val="3A4967"/>
              </w:rPr>
              <w:t>Equity Compensation Plans Approved by Security Holders</w:t>
            </w:r>
          </w:p>
        </w:tc>
        <w:tc>
          <w:tcPr>
            <w:tcW w:w="1820" w:type="dxa"/>
            <w:vAlign w:val="bottom"/>
          </w:tcPr>
          <w:p>
            <w:pPr>
              <w:jc w:val="right"/>
              <w:ind w:right="18"/>
              <w:spacing w:after="0"/>
              <w:rPr>
                <w:sz w:val="20"/>
                <w:szCs w:val="20"/>
                <w:color w:val="auto"/>
              </w:rPr>
            </w:pPr>
            <w:r>
              <w:rPr>
                <w:rFonts w:ascii="Arial" w:cs="Arial" w:eastAsia="Arial" w:hAnsi="Arial"/>
                <w:sz w:val="17"/>
                <w:szCs w:val="17"/>
                <w:color w:val="3A4967"/>
              </w:rPr>
              <w:t>209,794</w:t>
            </w:r>
          </w:p>
        </w:tc>
        <w:tc>
          <w:tcPr>
            <w:tcW w:w="840" w:type="dxa"/>
            <w:vAlign w:val="bottom"/>
          </w:tcPr>
          <w:p>
            <w:pPr>
              <w:jc w:val="right"/>
              <w:ind w:right="198"/>
              <w:spacing w:after="0"/>
              <w:rPr>
                <w:sz w:val="20"/>
                <w:szCs w:val="20"/>
                <w:color w:val="auto"/>
              </w:rPr>
            </w:pPr>
            <w:r>
              <w:rPr>
                <w:rFonts w:ascii="Arial" w:cs="Arial" w:eastAsia="Arial" w:hAnsi="Arial"/>
                <w:sz w:val="17"/>
                <w:szCs w:val="17"/>
                <w:color w:val="3A4967"/>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3A4967"/>
              </w:rPr>
              <w:t>358.48</w:t>
            </w:r>
          </w:p>
        </w:tc>
        <w:tc>
          <w:tcPr>
            <w:tcW w:w="1780" w:type="dxa"/>
            <w:vAlign w:val="bottom"/>
          </w:tcPr>
          <w:p>
            <w:pPr>
              <w:jc w:val="right"/>
              <w:spacing w:after="0"/>
              <w:rPr>
                <w:sz w:val="20"/>
                <w:szCs w:val="20"/>
                <w:color w:val="auto"/>
              </w:rPr>
            </w:pPr>
            <w:r>
              <w:rPr>
                <w:rFonts w:ascii="Arial" w:cs="Arial" w:eastAsia="Arial" w:hAnsi="Arial"/>
                <w:sz w:val="17"/>
                <w:szCs w:val="17"/>
                <w:color w:val="3A4967"/>
              </w:rPr>
              <w:t>—</w:t>
            </w:r>
          </w:p>
        </w:tc>
      </w:tr>
      <w:tr>
        <w:trPr>
          <w:trHeight w:val="281"/>
        </w:trPr>
        <w:tc>
          <w:tcPr>
            <w:tcW w:w="4740" w:type="dxa"/>
            <w:vAlign w:val="bottom"/>
          </w:tcPr>
          <w:p>
            <w:pPr>
              <w:ind w:left="80"/>
              <w:spacing w:after="0"/>
              <w:rPr>
                <w:sz w:val="20"/>
                <w:szCs w:val="20"/>
                <w:color w:val="auto"/>
              </w:rPr>
            </w:pPr>
            <w:r>
              <w:rPr>
                <w:rFonts w:ascii="Arial" w:cs="Arial" w:eastAsia="Arial" w:hAnsi="Arial"/>
                <w:sz w:val="17"/>
                <w:szCs w:val="17"/>
                <w:color w:val="3A4967"/>
                <w:w w:val="98"/>
              </w:rPr>
              <w:t>Equity Compensation Plans Not Approved by Security Holders</w:t>
            </w:r>
          </w:p>
        </w:tc>
        <w:tc>
          <w:tcPr>
            <w:tcW w:w="1820" w:type="dxa"/>
            <w:vAlign w:val="bottom"/>
          </w:tcPr>
          <w:p>
            <w:pPr>
              <w:jc w:val="right"/>
              <w:ind w:right="18"/>
              <w:spacing w:after="0"/>
              <w:rPr>
                <w:sz w:val="20"/>
                <w:szCs w:val="20"/>
                <w:color w:val="auto"/>
              </w:rPr>
            </w:pPr>
            <w:r>
              <w:rPr>
                <w:rFonts w:ascii="Arial" w:cs="Arial" w:eastAsia="Arial" w:hAnsi="Arial"/>
                <w:sz w:val="17"/>
                <w:szCs w:val="17"/>
                <w:color w:val="3A4967"/>
              </w:rPr>
              <w:t>N/A</w:t>
            </w:r>
          </w:p>
        </w:tc>
        <w:tc>
          <w:tcPr>
            <w:tcW w:w="84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3A4967"/>
              </w:rPr>
              <w:t>N/A</w:t>
            </w:r>
          </w:p>
        </w:tc>
        <w:tc>
          <w:tcPr>
            <w:tcW w:w="1780" w:type="dxa"/>
            <w:vAlign w:val="bottom"/>
          </w:tcPr>
          <w:p>
            <w:pPr>
              <w:jc w:val="right"/>
              <w:spacing w:after="0"/>
              <w:rPr>
                <w:sz w:val="20"/>
                <w:szCs w:val="20"/>
                <w:color w:val="auto"/>
              </w:rPr>
            </w:pPr>
            <w:r>
              <w:rPr>
                <w:rFonts w:ascii="Arial" w:cs="Arial" w:eastAsia="Arial" w:hAnsi="Arial"/>
                <w:sz w:val="17"/>
                <w:szCs w:val="17"/>
                <w:color w:val="3A4967"/>
              </w:rPr>
              <w:t>N/A</w:t>
            </w:r>
          </w:p>
        </w:tc>
      </w:tr>
      <w:tr>
        <w:trPr>
          <w:trHeight w:val="35"/>
        </w:trPr>
        <w:tc>
          <w:tcPr>
            <w:tcW w:w="4740" w:type="dxa"/>
            <w:vAlign w:val="bottom"/>
            <w:tcBorders>
              <w:bottom w:val="single" w:sz="8" w:color="3A4967"/>
            </w:tcBorders>
          </w:tcPr>
          <w:p>
            <w:pPr>
              <w:spacing w:after="0"/>
              <w:rPr>
                <w:sz w:val="3"/>
                <w:szCs w:val="3"/>
                <w:color w:val="auto"/>
              </w:rPr>
            </w:pPr>
          </w:p>
        </w:tc>
        <w:tc>
          <w:tcPr>
            <w:tcW w:w="1820" w:type="dxa"/>
            <w:vAlign w:val="bottom"/>
            <w:tcBorders>
              <w:bottom w:val="single" w:sz="8" w:color="3A4967"/>
            </w:tcBorders>
          </w:tcPr>
          <w:p>
            <w:pPr>
              <w:spacing w:after="0"/>
              <w:rPr>
                <w:sz w:val="3"/>
                <w:szCs w:val="3"/>
                <w:color w:val="auto"/>
              </w:rPr>
            </w:pPr>
          </w:p>
        </w:tc>
        <w:tc>
          <w:tcPr>
            <w:tcW w:w="840" w:type="dxa"/>
            <w:vAlign w:val="bottom"/>
            <w:tcBorders>
              <w:bottom w:val="single" w:sz="8" w:color="3A4967"/>
            </w:tcBorders>
          </w:tcPr>
          <w:p>
            <w:pPr>
              <w:spacing w:after="0"/>
              <w:rPr>
                <w:sz w:val="3"/>
                <w:szCs w:val="3"/>
                <w:color w:val="auto"/>
              </w:rPr>
            </w:pPr>
          </w:p>
        </w:tc>
        <w:tc>
          <w:tcPr>
            <w:tcW w:w="980" w:type="dxa"/>
            <w:vAlign w:val="bottom"/>
            <w:tcBorders>
              <w:bottom w:val="single" w:sz="8" w:color="3A4967"/>
            </w:tcBorders>
          </w:tcPr>
          <w:p>
            <w:pPr>
              <w:spacing w:after="0"/>
              <w:rPr>
                <w:sz w:val="3"/>
                <w:szCs w:val="3"/>
                <w:color w:val="auto"/>
              </w:rPr>
            </w:pPr>
          </w:p>
        </w:tc>
        <w:tc>
          <w:tcPr>
            <w:tcW w:w="1780" w:type="dxa"/>
            <w:vAlign w:val="bottom"/>
            <w:tcBorders>
              <w:bottom w:val="single" w:sz="8" w:color="3A4967"/>
            </w:tcBorders>
          </w:tcPr>
          <w:p>
            <w:pPr>
              <w:spacing w:after="0"/>
              <w:rPr>
                <w:sz w:val="3"/>
                <w:szCs w:val="3"/>
                <w:color w:val="auto"/>
              </w:rPr>
            </w:pPr>
          </w:p>
        </w:tc>
      </w:tr>
      <w:tr>
        <w:trPr>
          <w:trHeight w:val="266"/>
        </w:trPr>
        <w:tc>
          <w:tcPr>
            <w:tcW w:w="4740" w:type="dxa"/>
            <w:vAlign w:val="bottom"/>
            <w:tcBorders>
              <w:bottom w:val="single" w:sz="8" w:color="3A4967"/>
            </w:tcBorders>
          </w:tcPr>
          <w:p>
            <w:pPr>
              <w:ind w:left="80"/>
              <w:spacing w:after="0"/>
              <w:rPr>
                <w:sz w:val="20"/>
                <w:szCs w:val="20"/>
                <w:color w:val="auto"/>
              </w:rPr>
            </w:pPr>
            <w:r>
              <w:rPr>
                <w:rFonts w:ascii="Arial" w:cs="Arial" w:eastAsia="Arial" w:hAnsi="Arial"/>
                <w:sz w:val="17"/>
                <w:szCs w:val="17"/>
                <w:b w:val="1"/>
                <w:bCs w:val="1"/>
                <w:color w:val="3A4967"/>
              </w:rPr>
              <w:t>TOTAL</w:t>
            </w:r>
          </w:p>
        </w:tc>
        <w:tc>
          <w:tcPr>
            <w:tcW w:w="1820" w:type="dxa"/>
            <w:vAlign w:val="bottom"/>
            <w:tcBorders>
              <w:bottom w:val="single" w:sz="8" w:color="3A4967"/>
            </w:tcBorders>
          </w:tcPr>
          <w:p>
            <w:pPr>
              <w:jc w:val="right"/>
              <w:ind w:right="18"/>
              <w:spacing w:after="0"/>
              <w:rPr>
                <w:sz w:val="20"/>
                <w:szCs w:val="20"/>
                <w:color w:val="auto"/>
              </w:rPr>
            </w:pPr>
            <w:r>
              <w:rPr>
                <w:rFonts w:ascii="Arial" w:cs="Arial" w:eastAsia="Arial" w:hAnsi="Arial"/>
                <w:sz w:val="17"/>
                <w:szCs w:val="17"/>
                <w:b w:val="1"/>
                <w:bCs w:val="1"/>
                <w:color w:val="3A4967"/>
              </w:rPr>
              <w:t>209,794</w:t>
            </w:r>
          </w:p>
        </w:tc>
        <w:tc>
          <w:tcPr>
            <w:tcW w:w="840" w:type="dxa"/>
            <w:vAlign w:val="bottom"/>
            <w:tcBorders>
              <w:bottom w:val="single" w:sz="8" w:color="3A4967"/>
            </w:tcBorders>
          </w:tcPr>
          <w:p>
            <w:pPr>
              <w:jc w:val="right"/>
              <w:ind w:right="198"/>
              <w:spacing w:after="0"/>
              <w:rPr>
                <w:sz w:val="20"/>
                <w:szCs w:val="20"/>
                <w:color w:val="auto"/>
              </w:rPr>
            </w:pPr>
            <w:r>
              <w:rPr>
                <w:rFonts w:ascii="Arial" w:cs="Arial" w:eastAsia="Arial" w:hAnsi="Arial"/>
                <w:sz w:val="17"/>
                <w:szCs w:val="17"/>
                <w:b w:val="1"/>
                <w:bCs w:val="1"/>
                <w:color w:val="3A4967"/>
              </w:rPr>
              <w:t>$</w:t>
            </w:r>
          </w:p>
        </w:tc>
        <w:tc>
          <w:tcPr>
            <w:tcW w:w="980" w:type="dxa"/>
            <w:vAlign w:val="bottom"/>
            <w:tcBorders>
              <w:bottom w:val="single" w:sz="8" w:color="3A4967"/>
            </w:tcBorders>
          </w:tcPr>
          <w:p>
            <w:pPr>
              <w:jc w:val="right"/>
              <w:ind w:right="15"/>
              <w:spacing w:after="0"/>
              <w:rPr>
                <w:sz w:val="20"/>
                <w:szCs w:val="20"/>
                <w:color w:val="auto"/>
              </w:rPr>
            </w:pPr>
            <w:r>
              <w:rPr>
                <w:rFonts w:ascii="Arial" w:cs="Arial" w:eastAsia="Arial" w:hAnsi="Arial"/>
                <w:sz w:val="17"/>
                <w:szCs w:val="17"/>
                <w:b w:val="1"/>
                <w:bCs w:val="1"/>
                <w:color w:val="3A4967"/>
              </w:rPr>
              <w:t>358.48</w:t>
            </w:r>
          </w:p>
        </w:tc>
        <w:tc>
          <w:tcPr>
            <w:tcW w:w="1780" w:type="dxa"/>
            <w:vAlign w:val="bottom"/>
            <w:tcBorders>
              <w:bottom w:val="single" w:sz="8" w:color="3A4967"/>
            </w:tcBorders>
          </w:tcPr>
          <w:p>
            <w:pPr>
              <w:jc w:val="right"/>
              <w:spacing w:after="0"/>
              <w:rPr>
                <w:sz w:val="20"/>
                <w:szCs w:val="20"/>
                <w:color w:val="auto"/>
              </w:rPr>
            </w:pPr>
            <w:r>
              <w:rPr>
                <w:rFonts w:ascii="Arial" w:cs="Arial" w:eastAsia="Arial" w:hAnsi="Arial"/>
                <w:sz w:val="17"/>
                <w:szCs w:val="17"/>
                <w:b w:val="1"/>
                <w:bCs w:val="1"/>
                <w:color w:val="3A496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-555625</wp:posOffset>
            </wp:positionV>
            <wp:extent cx="6475730" cy="55118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475730" cy="55118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5"/>
          <w:szCs w:val="35"/>
          <w:b w:val="1"/>
          <w:bCs w:val="1"/>
          <w:color w:val="3A4967"/>
        </w:rPr>
        <w:t xml:space="preserve">Item 13. </w:t>
      </w:r>
      <w:r>
        <w:rPr>
          <w:rFonts w:ascii="Arial" w:cs="Arial" w:eastAsia="Arial" w:hAnsi="Arial"/>
          <w:sz w:val="35"/>
          <w:szCs w:val="35"/>
          <w:b w:val="1"/>
          <w:bCs w:val="1"/>
          <w:color w:val="6D7890"/>
        </w:rPr>
        <w:t>Certain Relationships and Related</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35"/>
          <w:szCs w:val="35"/>
          <w:b w:val="1"/>
          <w:bCs w:val="1"/>
          <w:color w:val="6D7890"/>
        </w:rPr>
        <w:t>Transactions, and Director Independence</w:t>
      </w:r>
    </w:p>
    <w:p>
      <w:pPr>
        <w:spacing w:after="0" w:line="252" w:lineRule="exact"/>
        <w:rPr>
          <w:sz w:val="20"/>
          <w:szCs w:val="20"/>
          <w:color w:val="auto"/>
        </w:rPr>
      </w:pPr>
    </w:p>
    <w:p>
      <w:pPr>
        <w:jc w:val="both"/>
        <w:ind w:right="380"/>
        <w:spacing w:after="0" w:line="267" w:lineRule="auto"/>
        <w:rPr>
          <w:sz w:val="20"/>
          <w:szCs w:val="20"/>
          <w:color w:val="auto"/>
        </w:rPr>
      </w:pPr>
      <w:r>
        <w:rPr>
          <w:rFonts w:ascii="Arial" w:cs="Arial" w:eastAsia="Arial" w:hAnsi="Arial"/>
          <w:sz w:val="18"/>
          <w:szCs w:val="18"/>
          <w:color w:val="3A4967"/>
        </w:rPr>
        <w:t>The information required by Item 13 is hereby incorporated by reference from the registrant’s definitive Proxy Statement for the 2025 Annual Meeting to be held on May 14,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35"/>
          <w:szCs w:val="35"/>
          <w:b w:val="1"/>
          <w:bCs w:val="1"/>
          <w:color w:val="3A4967"/>
        </w:rPr>
        <w:t xml:space="preserve">Item 14. </w:t>
      </w:r>
      <w:r>
        <w:rPr>
          <w:rFonts w:ascii="Arial" w:cs="Arial" w:eastAsia="Arial" w:hAnsi="Arial"/>
          <w:sz w:val="35"/>
          <w:szCs w:val="35"/>
          <w:b w:val="1"/>
          <w:bCs w:val="1"/>
          <w:color w:val="6D7890"/>
        </w:rPr>
        <w:t>Principal Accountant Fees and Services</w:t>
      </w:r>
    </w:p>
    <w:p>
      <w:pPr>
        <w:spacing w:after="0" w:line="262" w:lineRule="exact"/>
        <w:rPr>
          <w:sz w:val="20"/>
          <w:szCs w:val="20"/>
          <w:color w:val="auto"/>
        </w:rPr>
      </w:pPr>
    </w:p>
    <w:p>
      <w:pPr>
        <w:jc w:val="both"/>
        <w:ind w:right="380"/>
        <w:spacing w:after="0" w:line="267" w:lineRule="auto"/>
        <w:rPr>
          <w:sz w:val="20"/>
          <w:szCs w:val="20"/>
          <w:color w:val="auto"/>
        </w:rPr>
      </w:pPr>
      <w:r>
        <w:rPr>
          <w:rFonts w:ascii="Arial" w:cs="Arial" w:eastAsia="Arial" w:hAnsi="Arial"/>
          <w:sz w:val="18"/>
          <w:szCs w:val="18"/>
          <w:color w:val="3A4967"/>
        </w:rPr>
        <w:t>The information required by Item 14 is hereby incorporated by reference from the registrant’s definitive Proxy Statement for the 2025 Annual Meeting to be held on May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4063365</wp:posOffset>
            </wp:positionV>
            <wp:extent cx="2584450" cy="19177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75" w:name="page76"/>
    <w:bookmarkEnd w:id="75"/>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400"/>
        <w:spacing w:after="0"/>
        <w:rPr>
          <w:sz w:val="20"/>
          <w:szCs w:val="20"/>
          <w:color w:val="auto"/>
        </w:rPr>
      </w:pPr>
      <w:r>
        <w:rPr>
          <w:rFonts w:ascii="Arial" w:cs="Arial" w:eastAsia="Arial" w:hAnsi="Arial"/>
          <w:sz w:val="52"/>
          <w:szCs w:val="52"/>
          <w:b w:val="1"/>
          <w:bCs w:val="1"/>
          <w:color w:val="3A4967"/>
        </w:rPr>
        <w:t>PART IV</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0"/>
        <w:spacing w:after="0"/>
        <w:rPr>
          <w:sz w:val="20"/>
          <w:szCs w:val="20"/>
          <w:color w:val="auto"/>
        </w:rPr>
      </w:pPr>
      <w:r>
        <w:rPr>
          <w:rFonts w:ascii="Arial" w:cs="Arial" w:eastAsia="Arial" w:hAnsi="Arial"/>
          <w:sz w:val="35"/>
          <w:szCs w:val="35"/>
          <w:b w:val="1"/>
          <w:bCs w:val="1"/>
          <w:color w:val="3A4967"/>
        </w:rPr>
        <w:t xml:space="preserve">Item 15. </w:t>
      </w:r>
      <w:r>
        <w:rPr>
          <w:rFonts w:ascii="Arial" w:cs="Arial" w:eastAsia="Arial" w:hAnsi="Arial"/>
          <w:sz w:val="35"/>
          <w:szCs w:val="35"/>
          <w:b w:val="1"/>
          <w:bCs w:val="1"/>
          <w:color w:val="6D7890"/>
        </w:rPr>
        <w:t>Exhibits and Financial Statement Schedules</w:t>
      </w:r>
    </w:p>
    <w:p>
      <w:pPr>
        <w:spacing w:after="0" w:line="200" w:lineRule="exact"/>
        <w:rPr>
          <w:sz w:val="20"/>
          <w:szCs w:val="20"/>
          <w:color w:val="auto"/>
        </w:rPr>
      </w:pPr>
    </w:p>
    <w:p>
      <w:pPr>
        <w:spacing w:after="0" w:line="307"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(a) 1. Financial Statements.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The following financial statements are filed as a part of this report:</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600" w:type="dxa"/>
            <w:vAlign w:val="bottom"/>
          </w:tcPr>
          <w:p>
            <w:pPr>
              <w:jc w:val="center"/>
              <w:ind w:left="131"/>
              <w:spacing w:after="0"/>
              <w:rPr>
                <w:sz w:val="20"/>
                <w:szCs w:val="20"/>
                <w:color w:val="auto"/>
              </w:rPr>
            </w:pPr>
            <w:r>
              <w:rPr>
                <w:rFonts w:ascii="Arial" w:cs="Arial" w:eastAsia="Arial" w:hAnsi="Arial"/>
                <w:sz w:val="16"/>
                <w:szCs w:val="16"/>
                <w:color w:val="3A4967"/>
              </w:rPr>
              <w:t>Page</w:t>
            </w:r>
          </w:p>
        </w:tc>
        <w:tc>
          <w:tcPr>
            <w:tcW w:w="0" w:type="dxa"/>
            <w:vAlign w:val="bottom"/>
          </w:tcPr>
          <w:p>
            <w:pPr>
              <w:spacing w:after="0"/>
              <w:rPr>
                <w:sz w:val="1"/>
                <w:szCs w:val="1"/>
                <w:color w:val="auto"/>
              </w:rPr>
            </w:pPr>
          </w:p>
        </w:tc>
      </w:tr>
      <w:tr>
        <w:trPr>
          <w:trHeight w:val="281"/>
        </w:trPr>
        <w:tc>
          <w:tcPr>
            <w:tcW w:w="9360" w:type="dxa"/>
            <w:vAlign w:val="bottom"/>
          </w:tcPr>
          <w:p>
            <w:pPr>
              <w:spacing w:after="0"/>
              <w:rPr>
                <w:sz w:val="20"/>
                <w:szCs w:val="20"/>
                <w:color w:val="auto"/>
              </w:rPr>
            </w:pPr>
            <w:r>
              <w:rPr>
                <w:rFonts w:ascii="Arial" w:cs="Arial" w:eastAsia="Arial" w:hAnsi="Arial"/>
                <w:sz w:val="18"/>
                <w:szCs w:val="18"/>
                <w:color w:val="3A4967"/>
              </w:rPr>
              <w:t>Report of Independent Registered Public Accounting Firm (PCAOB ID No. 34)</w:t>
            </w:r>
          </w:p>
        </w:tc>
        <w:tc>
          <w:tcPr>
            <w:tcW w:w="600" w:type="dxa"/>
            <w:vAlign w:val="bottom"/>
          </w:tcPr>
          <w:p>
            <w:pPr>
              <w:jc w:val="center"/>
              <w:ind w:left="111"/>
              <w:spacing w:after="0"/>
              <w:rPr>
                <w:sz w:val="20"/>
                <w:szCs w:val="20"/>
                <w:color w:val="auto"/>
              </w:rPr>
            </w:pPr>
            <w:r>
              <w:rPr>
                <w:rFonts w:ascii="Arial" w:cs="Arial" w:eastAsia="Arial" w:hAnsi="Arial"/>
                <w:sz w:val="18"/>
                <w:szCs w:val="18"/>
                <w:color w:val="3A4967"/>
                <w:w w:val="99"/>
              </w:rPr>
              <w:t>33</w:t>
            </w:r>
          </w:p>
        </w:tc>
        <w:tc>
          <w:tcPr>
            <w:tcW w:w="0" w:type="dxa"/>
            <w:vAlign w:val="bottom"/>
          </w:tcPr>
          <w:p>
            <w:pPr>
              <w:spacing w:after="0"/>
              <w:rPr>
                <w:sz w:val="1"/>
                <w:szCs w:val="1"/>
                <w:color w:val="auto"/>
              </w:rPr>
            </w:pPr>
          </w:p>
        </w:tc>
      </w:tr>
      <w:tr>
        <w:trPr>
          <w:trHeight w:val="355"/>
        </w:trPr>
        <w:tc>
          <w:tcPr>
            <w:tcW w:w="9360" w:type="dxa"/>
            <w:vAlign w:val="bottom"/>
          </w:tcPr>
          <w:p>
            <w:pPr>
              <w:spacing w:after="0"/>
              <w:rPr>
                <w:sz w:val="20"/>
                <w:szCs w:val="20"/>
                <w:color w:val="auto"/>
              </w:rPr>
            </w:pPr>
            <w:r>
              <w:rPr>
                <w:rFonts w:ascii="Arial" w:cs="Arial" w:eastAsia="Arial" w:hAnsi="Arial"/>
                <w:sz w:val="18"/>
                <w:szCs w:val="18"/>
                <w:color w:val="3A4967"/>
              </w:rPr>
              <w:t>Consolidated Financial Statements: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360" w:type="dxa"/>
            <w:vAlign w:val="bottom"/>
          </w:tcPr>
          <w:p>
            <w:pPr>
              <w:ind w:left="140"/>
              <w:spacing w:after="0"/>
              <w:rPr>
                <w:sz w:val="20"/>
                <w:szCs w:val="20"/>
                <w:color w:val="auto"/>
              </w:rPr>
            </w:pPr>
            <w:r>
              <w:rPr>
                <w:rFonts w:ascii="Arial" w:cs="Arial" w:eastAsia="Arial" w:hAnsi="Arial"/>
                <w:sz w:val="17"/>
                <w:szCs w:val="17"/>
                <w:color w:val="3A4967"/>
              </w:rPr>
              <w:t>Consolidated Statements of Comprehensive Income for the years ended December 28, 2024, December 30, 2023,</w:t>
            </w:r>
          </w:p>
        </w:tc>
        <w:tc>
          <w:tcPr>
            <w:tcW w:w="600" w:type="dxa"/>
            <w:vAlign w:val="bottom"/>
            <w:vMerge w:val="restart"/>
          </w:tcPr>
          <w:p>
            <w:pPr>
              <w:jc w:val="center"/>
              <w:ind w:left="111"/>
              <w:spacing w:after="0"/>
              <w:rPr>
                <w:sz w:val="20"/>
                <w:szCs w:val="20"/>
                <w:color w:val="auto"/>
              </w:rPr>
            </w:pPr>
            <w:r>
              <w:rPr>
                <w:rFonts w:ascii="Arial" w:cs="Arial" w:eastAsia="Arial" w:hAnsi="Arial"/>
                <w:sz w:val="18"/>
                <w:szCs w:val="18"/>
                <w:color w:val="3A4967"/>
                <w:w w:val="99"/>
              </w:rPr>
              <w:t>35</w:t>
            </w:r>
          </w:p>
        </w:tc>
        <w:tc>
          <w:tcPr>
            <w:tcW w:w="0" w:type="dxa"/>
            <w:vAlign w:val="bottom"/>
          </w:tcPr>
          <w:p>
            <w:pPr>
              <w:spacing w:after="0"/>
              <w:rPr>
                <w:sz w:val="1"/>
                <w:szCs w:val="1"/>
                <w:color w:val="auto"/>
              </w:rPr>
            </w:pPr>
          </w:p>
        </w:tc>
      </w:tr>
      <w:tr>
        <w:trPr>
          <w:trHeight w:val="210"/>
        </w:trPr>
        <w:tc>
          <w:tcPr>
            <w:tcW w:w="9360" w:type="dxa"/>
            <w:vAlign w:val="bottom"/>
          </w:tcPr>
          <w:p>
            <w:pPr>
              <w:ind w:left="140"/>
              <w:spacing w:after="0"/>
              <w:rPr>
                <w:sz w:val="20"/>
                <w:szCs w:val="20"/>
                <w:color w:val="auto"/>
              </w:rPr>
            </w:pPr>
            <w:r>
              <w:rPr>
                <w:rFonts w:ascii="Arial" w:cs="Arial" w:eastAsia="Arial" w:hAnsi="Arial"/>
                <w:sz w:val="17"/>
                <w:szCs w:val="17"/>
                <w:color w:val="3A4967"/>
              </w:rPr>
              <w:t>and December 31, 2022</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9360" w:type="dxa"/>
            <w:vAlign w:val="bottom"/>
          </w:tcPr>
          <w:p>
            <w:pPr>
              <w:ind w:left="140"/>
              <w:spacing w:after="0"/>
              <w:rPr>
                <w:sz w:val="20"/>
                <w:szCs w:val="20"/>
                <w:color w:val="auto"/>
              </w:rPr>
            </w:pPr>
            <w:r>
              <w:rPr>
                <w:rFonts w:ascii="Arial" w:cs="Arial" w:eastAsia="Arial" w:hAnsi="Arial"/>
                <w:sz w:val="17"/>
                <w:szCs w:val="17"/>
                <w:color w:val="3A4967"/>
              </w:rPr>
              <w:t>Consolidated Balance Sheets as of December 28, 2024 and December 30, 2023</w:t>
            </w:r>
          </w:p>
        </w:tc>
        <w:tc>
          <w:tcPr>
            <w:tcW w:w="600" w:type="dxa"/>
            <w:vAlign w:val="bottom"/>
          </w:tcPr>
          <w:p>
            <w:pPr>
              <w:jc w:val="center"/>
              <w:ind w:left="111"/>
              <w:spacing w:after="0"/>
              <w:rPr>
                <w:sz w:val="20"/>
                <w:szCs w:val="20"/>
                <w:color w:val="auto"/>
              </w:rPr>
            </w:pPr>
            <w:r>
              <w:rPr>
                <w:rFonts w:ascii="Arial" w:cs="Arial" w:eastAsia="Arial" w:hAnsi="Arial"/>
                <w:sz w:val="18"/>
                <w:szCs w:val="18"/>
                <w:color w:val="3A4967"/>
                <w:w w:val="99"/>
              </w:rPr>
              <w:t>36</w:t>
            </w:r>
          </w:p>
        </w:tc>
        <w:tc>
          <w:tcPr>
            <w:tcW w:w="0" w:type="dxa"/>
            <w:vAlign w:val="bottom"/>
          </w:tcPr>
          <w:p>
            <w:pPr>
              <w:spacing w:after="0"/>
              <w:rPr>
                <w:sz w:val="1"/>
                <w:szCs w:val="1"/>
                <w:color w:val="auto"/>
              </w:rPr>
            </w:pPr>
          </w:p>
        </w:tc>
      </w:tr>
      <w:tr>
        <w:trPr>
          <w:trHeight w:val="342"/>
        </w:trPr>
        <w:tc>
          <w:tcPr>
            <w:tcW w:w="9360" w:type="dxa"/>
            <w:vAlign w:val="bottom"/>
          </w:tcPr>
          <w:p>
            <w:pPr>
              <w:ind w:left="140"/>
              <w:spacing w:after="0"/>
              <w:rPr>
                <w:sz w:val="20"/>
                <w:szCs w:val="20"/>
                <w:color w:val="auto"/>
              </w:rPr>
            </w:pPr>
            <w:r>
              <w:rPr>
                <w:rFonts w:ascii="Arial" w:cs="Arial" w:eastAsia="Arial" w:hAnsi="Arial"/>
                <w:sz w:val="17"/>
                <w:szCs w:val="17"/>
                <w:color w:val="3A4967"/>
              </w:rPr>
              <w:t>Consolidated Statements of Stockholders’ Equity for the years ended December 28, 2024, December 30, 2023, and</w:t>
            </w:r>
          </w:p>
        </w:tc>
        <w:tc>
          <w:tcPr>
            <w:tcW w:w="600" w:type="dxa"/>
            <w:vAlign w:val="bottom"/>
            <w:vMerge w:val="restart"/>
          </w:tcPr>
          <w:p>
            <w:pPr>
              <w:jc w:val="center"/>
              <w:ind w:left="111"/>
              <w:spacing w:after="0"/>
              <w:rPr>
                <w:sz w:val="20"/>
                <w:szCs w:val="20"/>
                <w:color w:val="auto"/>
              </w:rPr>
            </w:pPr>
            <w:r>
              <w:rPr>
                <w:rFonts w:ascii="Arial" w:cs="Arial" w:eastAsia="Arial" w:hAnsi="Arial"/>
                <w:sz w:val="18"/>
                <w:szCs w:val="18"/>
                <w:color w:val="3A4967"/>
                <w:w w:val="99"/>
              </w:rPr>
              <w:t>37</w:t>
            </w:r>
          </w:p>
        </w:tc>
        <w:tc>
          <w:tcPr>
            <w:tcW w:w="0" w:type="dxa"/>
            <w:vAlign w:val="bottom"/>
          </w:tcPr>
          <w:p>
            <w:pPr>
              <w:spacing w:after="0"/>
              <w:rPr>
                <w:sz w:val="1"/>
                <w:szCs w:val="1"/>
                <w:color w:val="auto"/>
              </w:rPr>
            </w:pPr>
          </w:p>
        </w:tc>
      </w:tr>
      <w:tr>
        <w:trPr>
          <w:trHeight w:val="210"/>
        </w:trPr>
        <w:tc>
          <w:tcPr>
            <w:tcW w:w="9360" w:type="dxa"/>
            <w:vAlign w:val="bottom"/>
          </w:tcPr>
          <w:p>
            <w:pPr>
              <w:ind w:left="140"/>
              <w:spacing w:after="0"/>
              <w:rPr>
                <w:sz w:val="20"/>
                <w:szCs w:val="20"/>
                <w:color w:val="auto"/>
              </w:rPr>
            </w:pPr>
            <w:r>
              <w:rPr>
                <w:rFonts w:ascii="Arial" w:cs="Arial" w:eastAsia="Arial" w:hAnsi="Arial"/>
                <w:sz w:val="17"/>
                <w:szCs w:val="17"/>
                <w:color w:val="3A4967"/>
              </w:rPr>
              <w:t>December 31, 2022</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9360" w:type="dxa"/>
            <w:vAlign w:val="bottom"/>
          </w:tcPr>
          <w:p>
            <w:pPr>
              <w:ind w:left="140"/>
              <w:spacing w:after="0"/>
              <w:rPr>
                <w:sz w:val="20"/>
                <w:szCs w:val="20"/>
                <w:color w:val="auto"/>
              </w:rPr>
            </w:pPr>
            <w:r>
              <w:rPr>
                <w:rFonts w:ascii="Arial" w:cs="Arial" w:eastAsia="Arial" w:hAnsi="Arial"/>
                <w:sz w:val="17"/>
                <w:szCs w:val="17"/>
                <w:color w:val="3A4967"/>
              </w:rPr>
              <w:t>Consolidated Statements of Cash Flows for the years ended December 28, 2024, December 30, 2023, and</w:t>
            </w:r>
          </w:p>
        </w:tc>
        <w:tc>
          <w:tcPr>
            <w:tcW w:w="600" w:type="dxa"/>
            <w:vAlign w:val="bottom"/>
            <w:vMerge w:val="restart"/>
          </w:tcPr>
          <w:p>
            <w:pPr>
              <w:jc w:val="center"/>
              <w:ind w:left="111"/>
              <w:spacing w:after="0"/>
              <w:rPr>
                <w:sz w:val="20"/>
                <w:szCs w:val="20"/>
                <w:color w:val="auto"/>
              </w:rPr>
            </w:pPr>
            <w:r>
              <w:rPr>
                <w:rFonts w:ascii="Arial" w:cs="Arial" w:eastAsia="Arial" w:hAnsi="Arial"/>
                <w:sz w:val="18"/>
                <w:szCs w:val="18"/>
                <w:color w:val="3A4967"/>
                <w:w w:val="99"/>
              </w:rPr>
              <w:t>38</w:t>
            </w:r>
          </w:p>
        </w:tc>
        <w:tc>
          <w:tcPr>
            <w:tcW w:w="0" w:type="dxa"/>
            <w:vAlign w:val="bottom"/>
          </w:tcPr>
          <w:p>
            <w:pPr>
              <w:spacing w:after="0"/>
              <w:rPr>
                <w:sz w:val="1"/>
                <w:szCs w:val="1"/>
                <w:color w:val="auto"/>
              </w:rPr>
            </w:pPr>
          </w:p>
        </w:tc>
      </w:tr>
      <w:tr>
        <w:trPr>
          <w:trHeight w:val="210"/>
        </w:trPr>
        <w:tc>
          <w:tcPr>
            <w:tcW w:w="9360" w:type="dxa"/>
            <w:vAlign w:val="bottom"/>
          </w:tcPr>
          <w:p>
            <w:pPr>
              <w:ind w:left="140"/>
              <w:spacing w:after="0"/>
              <w:rPr>
                <w:sz w:val="20"/>
                <w:szCs w:val="20"/>
                <w:color w:val="auto"/>
              </w:rPr>
            </w:pPr>
            <w:r>
              <w:rPr>
                <w:rFonts w:ascii="Arial" w:cs="Arial" w:eastAsia="Arial" w:hAnsi="Arial"/>
                <w:sz w:val="17"/>
                <w:szCs w:val="17"/>
                <w:color w:val="3A4967"/>
              </w:rPr>
              <w:t>December 31, 2022</w:t>
            </w: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9360" w:type="dxa"/>
            <w:vAlign w:val="bottom"/>
          </w:tcPr>
          <w:p>
            <w:pPr>
              <w:ind w:left="140"/>
              <w:spacing w:after="0"/>
              <w:rPr>
                <w:sz w:val="20"/>
                <w:szCs w:val="20"/>
                <w:color w:val="auto"/>
              </w:rPr>
            </w:pPr>
            <w:r>
              <w:rPr>
                <w:rFonts w:ascii="Arial" w:cs="Arial" w:eastAsia="Arial" w:hAnsi="Arial"/>
                <w:sz w:val="17"/>
                <w:szCs w:val="17"/>
                <w:color w:val="3A4967"/>
              </w:rPr>
              <w:t>Notes to the Consolidated Financial Statements</w:t>
            </w:r>
          </w:p>
        </w:tc>
        <w:tc>
          <w:tcPr>
            <w:tcW w:w="600" w:type="dxa"/>
            <w:vAlign w:val="bottom"/>
          </w:tcPr>
          <w:p>
            <w:pPr>
              <w:jc w:val="center"/>
              <w:ind w:left="111"/>
              <w:spacing w:after="0"/>
              <w:rPr>
                <w:sz w:val="20"/>
                <w:szCs w:val="20"/>
                <w:color w:val="auto"/>
              </w:rPr>
            </w:pPr>
            <w:r>
              <w:rPr>
                <w:rFonts w:ascii="Arial" w:cs="Arial" w:eastAsia="Arial" w:hAnsi="Arial"/>
                <w:sz w:val="18"/>
                <w:szCs w:val="18"/>
                <w:color w:val="3A4967"/>
                <w:w w:val="99"/>
              </w:rPr>
              <w:t>40</w:t>
            </w: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(a) 2. Financial Statement Schedules.</w:t>
      </w:r>
    </w:p>
    <w:p>
      <w:pPr>
        <w:spacing w:after="0" w:line="164"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3A4967"/>
        </w:rPr>
        <w:t>All schedules for which provision is made in the applicable accounting regulation of the Securities and Exchange Commission have been omitted because they are inapplicable or the required information is shown in the consolidated financial statements, or notes thereto, included herein.</w:t>
      </w:r>
    </w:p>
    <w:p>
      <w:pPr>
        <w:spacing w:after="0" w:line="337"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(b) Exhibits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The following is a list of exhibits filed as part of this Form 10-K:</w:t>
      </w:r>
    </w:p>
    <w:p>
      <w:pPr>
        <w:spacing w:after="0" w:line="187" w:lineRule="exact"/>
        <w:rPr>
          <w:sz w:val="20"/>
          <w:szCs w:val="20"/>
          <w:color w:val="auto"/>
        </w:rPr>
      </w:pPr>
    </w:p>
    <w:tbl>
      <w:tblPr>
        <w:tblLayout w:type="fixed"/>
        <w:tblInd w:w="400" w:type="dxa"/>
        <w:tblCellMar>
          <w:top w:w="0" w:type="dxa"/>
          <w:left w:w="0" w:type="dxa"/>
          <w:bottom w:w="0" w:type="dxa"/>
          <w:right w:w="0" w:type="dxa"/>
        </w:tblCellMar>
      </w:tblPr>
      <w:tr>
        <w:trPr>
          <w:trHeight w:val="199"/>
        </w:trPr>
        <w:tc>
          <w:tcPr>
            <w:tcW w:w="1020" w:type="dxa"/>
            <w:vAlign w:val="bottom"/>
            <w:tcBorders>
              <w:bottom w:val="single" w:sz="8" w:color="3A4967"/>
            </w:tcBorders>
          </w:tcPr>
          <w:p>
            <w:pPr>
              <w:ind w:left="40"/>
              <w:spacing w:after="0"/>
              <w:rPr>
                <w:sz w:val="20"/>
                <w:szCs w:val="20"/>
                <w:color w:val="auto"/>
              </w:rPr>
            </w:pPr>
            <w:r>
              <w:rPr>
                <w:rFonts w:ascii="Arial" w:cs="Arial" w:eastAsia="Arial" w:hAnsi="Arial"/>
                <w:sz w:val="16"/>
                <w:szCs w:val="16"/>
                <w:b w:val="1"/>
                <w:bCs w:val="1"/>
                <w:color w:val="3A4967"/>
              </w:rPr>
              <w:t>Exhibit No.</w:t>
            </w:r>
          </w:p>
        </w:tc>
        <w:tc>
          <w:tcPr>
            <w:tcW w:w="9160" w:type="dxa"/>
            <w:vAlign w:val="bottom"/>
            <w:tcBorders>
              <w:bottom w:val="single" w:sz="8" w:color="3A4967"/>
            </w:tcBorders>
          </w:tcPr>
          <w:p>
            <w:pPr>
              <w:ind w:left="160"/>
              <w:spacing w:after="0"/>
              <w:rPr>
                <w:sz w:val="20"/>
                <w:szCs w:val="20"/>
                <w:color w:val="auto"/>
              </w:rPr>
            </w:pPr>
            <w:r>
              <w:rPr>
                <w:rFonts w:ascii="Arial" w:cs="Arial" w:eastAsia="Arial" w:hAnsi="Arial"/>
                <w:sz w:val="16"/>
                <w:szCs w:val="16"/>
                <w:b w:val="1"/>
                <w:bCs w:val="1"/>
                <w:color w:val="3A4967"/>
              </w:rPr>
              <w:t>Title</w:t>
            </w:r>
          </w:p>
        </w:tc>
      </w:tr>
      <w:tr>
        <w:trPr>
          <w:trHeight w:val="218"/>
        </w:trPr>
        <w:tc>
          <w:tcPr>
            <w:tcW w:w="1020" w:type="dxa"/>
            <w:vAlign w:val="bottom"/>
          </w:tcPr>
          <w:p>
            <w:pPr>
              <w:ind w:left="40"/>
              <w:spacing w:after="0"/>
              <w:rPr>
                <w:sz w:val="20"/>
                <w:szCs w:val="20"/>
                <w:color w:val="auto"/>
              </w:rPr>
            </w:pPr>
            <w:r>
              <w:rPr>
                <w:rFonts w:ascii="Arial" w:cs="Arial" w:eastAsia="Arial" w:hAnsi="Arial"/>
                <w:sz w:val="17"/>
                <w:szCs w:val="17"/>
                <w:color w:val="3A4967"/>
              </w:rPr>
              <w:t>2.1</w:t>
            </w:r>
          </w:p>
        </w:tc>
        <w:tc>
          <w:tcPr>
            <w:tcW w:w="9160" w:type="dxa"/>
            <w:vAlign w:val="bottom"/>
          </w:tcPr>
          <w:p>
            <w:pPr>
              <w:ind w:left="160"/>
              <w:spacing w:after="0"/>
              <w:rPr>
                <w:sz w:val="20"/>
                <w:szCs w:val="20"/>
                <w:color w:val="auto"/>
              </w:rPr>
            </w:pPr>
            <w:r>
              <w:rPr>
                <w:rFonts w:ascii="Arial" w:cs="Arial" w:eastAsia="Arial" w:hAnsi="Arial"/>
                <w:sz w:val="17"/>
                <w:szCs w:val="17"/>
                <w:color w:val="3A4967"/>
                <w:w w:val="99"/>
              </w:rPr>
              <w:t>Agreement and Plan of Merger, dated May 8, 2019, with Dogfish Head Holding Company, Canoe Acquisition Corp., and</w:t>
            </w:r>
          </w:p>
        </w:tc>
      </w:tr>
      <w:tr>
        <w:trPr>
          <w:trHeight w:val="204"/>
        </w:trPr>
        <w:tc>
          <w:tcPr>
            <w:tcW w:w="1020" w:type="dxa"/>
            <w:vAlign w:val="bottom"/>
          </w:tcPr>
          <w:p>
            <w:pPr>
              <w:spacing w:after="0"/>
              <w:rPr>
                <w:sz w:val="17"/>
                <w:szCs w:val="17"/>
                <w:color w:val="auto"/>
              </w:rPr>
            </w:pPr>
          </w:p>
        </w:tc>
        <w:tc>
          <w:tcPr>
            <w:tcW w:w="9160" w:type="dxa"/>
            <w:vAlign w:val="bottom"/>
          </w:tcPr>
          <w:p>
            <w:pPr>
              <w:ind w:left="160"/>
              <w:spacing w:after="0"/>
              <w:rPr>
                <w:sz w:val="20"/>
                <w:szCs w:val="20"/>
                <w:color w:val="auto"/>
              </w:rPr>
            </w:pPr>
            <w:r>
              <w:rPr>
                <w:rFonts w:ascii="Arial" w:cs="Arial" w:eastAsia="Arial" w:hAnsi="Arial"/>
                <w:sz w:val="17"/>
                <w:szCs w:val="17"/>
                <w:color w:val="3A4967"/>
                <w:w w:val="96"/>
              </w:rPr>
              <w:t>solely with respect to the indemnification obligations set forth in the Merger Agreement, Samuel A. Calagione III and Mariah</w:t>
            </w:r>
          </w:p>
        </w:tc>
      </w:tr>
      <w:tr>
        <w:trPr>
          <w:trHeight w:val="208"/>
        </w:trPr>
        <w:tc>
          <w:tcPr>
            <w:tcW w:w="102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7"/>
                <w:szCs w:val="17"/>
                <w:color w:val="3A4967"/>
              </w:rPr>
              <w:t>D. Calagione (incorporated by reference to Exhibit 2.1 to the Company’s Form 8-K filed on May 9, 2019).</w:t>
            </w:r>
          </w:p>
        </w:tc>
      </w:tr>
      <w:tr>
        <w:trPr>
          <w:trHeight w:val="230"/>
        </w:trPr>
        <w:tc>
          <w:tcPr>
            <w:tcW w:w="1020" w:type="dxa"/>
            <w:vAlign w:val="bottom"/>
          </w:tcPr>
          <w:p>
            <w:pPr>
              <w:ind w:left="40"/>
              <w:spacing w:after="0"/>
              <w:rPr>
                <w:sz w:val="20"/>
                <w:szCs w:val="20"/>
                <w:color w:val="auto"/>
              </w:rPr>
            </w:pPr>
            <w:r>
              <w:rPr>
                <w:rFonts w:ascii="Arial" w:cs="Arial" w:eastAsia="Arial" w:hAnsi="Arial"/>
                <w:sz w:val="17"/>
                <w:szCs w:val="17"/>
                <w:color w:val="3A4967"/>
              </w:rPr>
              <w:t>2.2</w:t>
            </w:r>
          </w:p>
        </w:tc>
        <w:tc>
          <w:tcPr>
            <w:tcW w:w="9160" w:type="dxa"/>
            <w:vAlign w:val="bottom"/>
          </w:tcPr>
          <w:p>
            <w:pPr>
              <w:ind w:left="160"/>
              <w:spacing w:after="0"/>
              <w:rPr>
                <w:sz w:val="20"/>
                <w:szCs w:val="20"/>
                <w:color w:val="auto"/>
              </w:rPr>
            </w:pPr>
            <w:r>
              <w:rPr>
                <w:rFonts w:ascii="Arial" w:cs="Arial" w:eastAsia="Arial" w:hAnsi="Arial"/>
                <w:sz w:val="17"/>
                <w:szCs w:val="17"/>
                <w:color w:val="3A4967"/>
                <w:w w:val="98"/>
              </w:rPr>
              <w:t>Membership Unit Purchase Agreement, dated May 8, 2019, by and among The Boston Beer Company, Inc., Dogfish East</w:t>
            </w:r>
          </w:p>
        </w:tc>
      </w:tr>
      <w:tr>
        <w:trPr>
          <w:trHeight w:val="204"/>
        </w:trPr>
        <w:tc>
          <w:tcPr>
            <w:tcW w:w="1020" w:type="dxa"/>
            <w:vAlign w:val="bottom"/>
          </w:tcPr>
          <w:p>
            <w:pPr>
              <w:spacing w:after="0"/>
              <w:rPr>
                <w:sz w:val="17"/>
                <w:szCs w:val="17"/>
                <w:color w:val="auto"/>
              </w:rPr>
            </w:pPr>
          </w:p>
        </w:tc>
        <w:tc>
          <w:tcPr>
            <w:tcW w:w="9160" w:type="dxa"/>
            <w:vAlign w:val="bottom"/>
          </w:tcPr>
          <w:p>
            <w:pPr>
              <w:ind w:left="160"/>
              <w:spacing w:after="0"/>
              <w:rPr>
                <w:sz w:val="20"/>
                <w:szCs w:val="20"/>
                <w:color w:val="auto"/>
              </w:rPr>
            </w:pPr>
            <w:r>
              <w:rPr>
                <w:rFonts w:ascii="Arial" w:cs="Arial" w:eastAsia="Arial" w:hAnsi="Arial"/>
                <w:sz w:val="17"/>
                <w:szCs w:val="17"/>
                <w:color w:val="3A4967"/>
                <w:w w:val="99"/>
              </w:rPr>
              <w:t>of the Mississippi LP, and solely with respect to indemnification obligations set forth therein, Samuel A. Calagione III and</w:t>
            </w:r>
          </w:p>
        </w:tc>
      </w:tr>
      <w:tr>
        <w:trPr>
          <w:trHeight w:val="208"/>
        </w:trPr>
        <w:tc>
          <w:tcPr>
            <w:tcW w:w="102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7"/>
                <w:szCs w:val="17"/>
                <w:color w:val="3A4967"/>
              </w:rPr>
              <w:t>Mariah D. Calagione (incorporated by reference to Exhibit 2.2 to the Company’s Form 8-K filed on May 9, 2019).</w:t>
            </w:r>
          </w:p>
        </w:tc>
      </w:tr>
      <w:tr>
        <w:trPr>
          <w:trHeight w:val="230"/>
        </w:trPr>
        <w:tc>
          <w:tcPr>
            <w:tcW w:w="1020" w:type="dxa"/>
            <w:vAlign w:val="bottom"/>
          </w:tcPr>
          <w:p>
            <w:pPr>
              <w:ind w:left="40"/>
              <w:spacing w:after="0"/>
              <w:rPr>
                <w:sz w:val="20"/>
                <w:szCs w:val="20"/>
                <w:color w:val="auto"/>
              </w:rPr>
            </w:pPr>
            <w:r>
              <w:rPr>
                <w:rFonts w:ascii="Arial" w:cs="Arial" w:eastAsia="Arial" w:hAnsi="Arial"/>
                <w:sz w:val="17"/>
                <w:szCs w:val="17"/>
                <w:color w:val="3A4967"/>
              </w:rPr>
              <w:t>2.3</w:t>
            </w:r>
          </w:p>
        </w:tc>
        <w:tc>
          <w:tcPr>
            <w:tcW w:w="9160" w:type="dxa"/>
            <w:vAlign w:val="bottom"/>
          </w:tcPr>
          <w:p>
            <w:pPr>
              <w:ind w:left="160"/>
              <w:spacing w:after="0"/>
              <w:rPr>
                <w:sz w:val="20"/>
                <w:szCs w:val="20"/>
                <w:color w:val="auto"/>
              </w:rPr>
            </w:pPr>
            <w:r>
              <w:rPr>
                <w:rFonts w:ascii="Arial" w:cs="Arial" w:eastAsia="Arial" w:hAnsi="Arial"/>
                <w:sz w:val="17"/>
                <w:szCs w:val="17"/>
                <w:color w:val="3A4967"/>
              </w:rPr>
              <w:t>Membership Unit Purchase Agreement, dated as of May 8, 2019, by and among The Boston Beer Company, Inc. and</w:t>
            </w:r>
          </w:p>
        </w:tc>
      </w:tr>
      <w:tr>
        <w:trPr>
          <w:trHeight w:val="208"/>
        </w:trPr>
        <w:tc>
          <w:tcPr>
            <w:tcW w:w="102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7"/>
                <w:szCs w:val="17"/>
                <w:color w:val="3A4967"/>
              </w:rPr>
              <w:t>DFH Investors LLC (incorporated by reference to Exhibit 2.3 to the Company’s Form 8-K filed on May 9, 2019).</w:t>
            </w:r>
          </w:p>
        </w:tc>
      </w:tr>
      <w:tr>
        <w:trPr>
          <w:trHeight w:val="230"/>
        </w:trPr>
        <w:tc>
          <w:tcPr>
            <w:tcW w:w="1020" w:type="dxa"/>
            <w:vAlign w:val="bottom"/>
          </w:tcPr>
          <w:p>
            <w:pPr>
              <w:ind w:left="40"/>
              <w:spacing w:after="0"/>
              <w:rPr>
                <w:sz w:val="20"/>
                <w:szCs w:val="20"/>
                <w:color w:val="auto"/>
              </w:rPr>
            </w:pPr>
            <w:r>
              <w:rPr>
                <w:rFonts w:ascii="Arial" w:cs="Arial" w:eastAsia="Arial" w:hAnsi="Arial"/>
                <w:sz w:val="17"/>
                <w:szCs w:val="17"/>
                <w:color w:val="3A4967"/>
              </w:rPr>
              <w:t>3.1</w:t>
            </w:r>
          </w:p>
        </w:tc>
        <w:tc>
          <w:tcPr>
            <w:tcW w:w="9160" w:type="dxa"/>
            <w:vAlign w:val="bottom"/>
          </w:tcPr>
          <w:p>
            <w:pPr>
              <w:ind w:left="160"/>
              <w:spacing w:after="0"/>
              <w:rPr>
                <w:sz w:val="20"/>
                <w:szCs w:val="20"/>
                <w:color w:val="auto"/>
              </w:rPr>
            </w:pPr>
            <w:r>
              <w:rPr>
                <w:rFonts w:ascii="Arial" w:cs="Arial" w:eastAsia="Arial" w:hAnsi="Arial"/>
                <w:sz w:val="17"/>
                <w:szCs w:val="17"/>
                <w:color w:val="3A4967"/>
              </w:rPr>
              <w:t>Amended and Restated By-Laws of the Company, dated June 2, 1998 (incorporated by reference to Exhibit 3.5 to the</w:t>
            </w:r>
          </w:p>
        </w:tc>
      </w:tr>
      <w:tr>
        <w:trPr>
          <w:trHeight w:val="208"/>
        </w:trPr>
        <w:tc>
          <w:tcPr>
            <w:tcW w:w="102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7"/>
                <w:szCs w:val="17"/>
                <w:color w:val="3A4967"/>
              </w:rPr>
              <w:t>Company’s Form 10-Q filed on August 10, 1998).</w:t>
            </w:r>
          </w:p>
        </w:tc>
      </w:tr>
      <w:tr>
        <w:trPr>
          <w:trHeight w:val="230"/>
        </w:trPr>
        <w:tc>
          <w:tcPr>
            <w:tcW w:w="1020" w:type="dxa"/>
            <w:vAlign w:val="bottom"/>
          </w:tcPr>
          <w:p>
            <w:pPr>
              <w:ind w:left="40"/>
              <w:spacing w:after="0"/>
              <w:rPr>
                <w:sz w:val="20"/>
                <w:szCs w:val="20"/>
                <w:color w:val="auto"/>
              </w:rPr>
            </w:pPr>
            <w:r>
              <w:rPr>
                <w:rFonts w:ascii="Arial" w:cs="Arial" w:eastAsia="Arial" w:hAnsi="Arial"/>
                <w:sz w:val="17"/>
                <w:szCs w:val="17"/>
                <w:color w:val="3A4967"/>
              </w:rPr>
              <w:t>3.2</w:t>
            </w:r>
          </w:p>
        </w:tc>
        <w:tc>
          <w:tcPr>
            <w:tcW w:w="9160" w:type="dxa"/>
            <w:vAlign w:val="bottom"/>
          </w:tcPr>
          <w:p>
            <w:pPr>
              <w:ind w:left="160"/>
              <w:spacing w:after="0"/>
              <w:rPr>
                <w:sz w:val="20"/>
                <w:szCs w:val="20"/>
                <w:color w:val="auto"/>
              </w:rPr>
            </w:pPr>
            <w:r>
              <w:rPr>
                <w:rFonts w:ascii="Arial" w:cs="Arial" w:eastAsia="Arial" w:hAnsi="Arial"/>
                <w:sz w:val="17"/>
                <w:szCs w:val="17"/>
                <w:color w:val="3A4967"/>
                <w:w w:val="99"/>
              </w:rPr>
              <w:t>Restated Articles of Organization of the Company, dated November 17, 1995, as amended August 4, 1998 (incorporated</w:t>
            </w:r>
          </w:p>
        </w:tc>
      </w:tr>
      <w:tr>
        <w:trPr>
          <w:trHeight w:val="208"/>
        </w:trPr>
        <w:tc>
          <w:tcPr>
            <w:tcW w:w="102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7"/>
                <w:szCs w:val="17"/>
                <w:color w:val="3A4967"/>
              </w:rPr>
              <w:t>by reference to Exhibit 3.6 to the Company’s Form 10-Q filed on August 10, 1998).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829945</wp:posOffset>
            </wp:positionV>
            <wp:extent cx="2584450" cy="19177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584450" cy="19177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-1664335</wp:posOffset>
            </wp:positionV>
            <wp:extent cx="6489065" cy="168148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489065" cy="1681480"/>
                    </a:xfrm>
                    <a:prstGeom prst="rect">
                      <a:avLst/>
                    </a:prstGeom>
                    <a:noFill/>
                  </pic:spPr>
                </pic:pic>
              </a:graphicData>
            </a:graphic>
          </wp:anchor>
        </w:drawing>
      </w:r>
    </w:p>
    <w:p>
      <w:pPr>
        <w:sectPr>
          <w:pgSz w:w="11880" w:h="15481" w:orient="portrait"/>
          <w:cols w:equalWidth="0" w:num="1">
            <w:col w:w="10580"/>
          </w:cols>
          <w:pgMar w:left="460" w:top="1440"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66</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1440" w:right="841" w:bottom="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180" w:type="dxa"/>
            <w:vAlign w:val="bottom"/>
            <w:gridSpan w:val="2"/>
          </w:tcPr>
          <w:p>
            <w:pPr>
              <w:jc w:val="right"/>
              <w:spacing w:after="0"/>
              <w:rPr>
                <w:sz w:val="20"/>
                <w:szCs w:val="20"/>
                <w:color w:val="auto"/>
              </w:rPr>
            </w:pPr>
            <w:r>
              <w:rPr>
                <w:rFonts w:ascii="Arial" w:cs="Arial" w:eastAsia="Arial" w:hAnsi="Arial"/>
                <w:sz w:val="14"/>
                <w:szCs w:val="14"/>
                <w:b w:val="1"/>
                <w:bCs w:val="1"/>
                <w:color w:val="3A4967"/>
              </w:rPr>
              <w:t>PART IV</w:t>
            </w:r>
          </w:p>
        </w:tc>
      </w:tr>
      <w:tr>
        <w:trPr>
          <w:trHeight w:val="54"/>
        </w:trPr>
        <w:tc>
          <w:tcPr>
            <w:tcW w:w="20" w:type="dxa"/>
            <w:vAlign w:val="bottom"/>
          </w:tcPr>
          <w:p>
            <w:pPr>
              <w:spacing w:after="0"/>
              <w:rPr>
                <w:sz w:val="4"/>
                <w:szCs w:val="4"/>
                <w:color w:val="auto"/>
              </w:rPr>
            </w:pPr>
          </w:p>
        </w:tc>
        <w:tc>
          <w:tcPr>
            <w:tcW w:w="1000" w:type="dxa"/>
            <w:vAlign w:val="bottom"/>
            <w:tcBorders>
              <w:bottom w:val="single" w:sz="8" w:color="3A4967"/>
            </w:tcBorders>
          </w:tcPr>
          <w:p>
            <w:pPr>
              <w:spacing w:after="0"/>
              <w:rPr>
                <w:sz w:val="4"/>
                <w:szCs w:val="4"/>
                <w:color w:val="auto"/>
              </w:rPr>
            </w:pPr>
          </w:p>
        </w:tc>
        <w:tc>
          <w:tcPr>
            <w:tcW w:w="9160" w:type="dxa"/>
            <w:vAlign w:val="bottom"/>
            <w:tcBorders>
              <w:bottom w:val="single" w:sz="8" w:color="3A4967"/>
            </w:tcBorders>
          </w:tcPr>
          <w:p>
            <w:pPr>
              <w:spacing w:after="0"/>
              <w:rPr>
                <w:sz w:val="4"/>
                <w:szCs w:val="4"/>
                <w:color w:val="auto"/>
              </w:rPr>
            </w:pPr>
          </w:p>
        </w:tc>
        <w:tc>
          <w:tcPr>
            <w:tcW w:w="20" w:type="dxa"/>
            <w:vAlign w:val="bottom"/>
            <w:tcBorders>
              <w:bottom w:val="single" w:sz="8" w:color="3A4967"/>
            </w:tcBorders>
          </w:tcPr>
          <w:p>
            <w:pPr>
              <w:spacing w:after="0"/>
              <w:rPr>
                <w:sz w:val="4"/>
                <w:szCs w:val="4"/>
                <w:color w:val="auto"/>
              </w:rPr>
            </w:pPr>
          </w:p>
        </w:tc>
      </w:tr>
      <w:tr>
        <w:trPr>
          <w:trHeight w:val="191"/>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180" w:type="dxa"/>
            <w:vAlign w:val="bottom"/>
            <w:gridSpan w:val="2"/>
          </w:tcPr>
          <w:p>
            <w:pPr>
              <w:jc w:val="right"/>
              <w:ind w:right="20"/>
              <w:spacing w:after="0"/>
              <w:rPr>
                <w:sz w:val="20"/>
                <w:szCs w:val="20"/>
                <w:color w:val="auto"/>
              </w:rPr>
            </w:pPr>
            <w:r>
              <w:rPr>
                <w:rFonts w:ascii="Arial" w:cs="Arial" w:eastAsia="Arial" w:hAnsi="Arial"/>
                <w:sz w:val="14"/>
                <w:szCs w:val="14"/>
                <w:color w:val="3A4967"/>
              </w:rPr>
              <w:t xml:space="preserve">Item 15 </w:t>
            </w:r>
            <w:r>
              <w:rPr>
                <w:rFonts w:ascii="Arial" w:cs="Arial" w:eastAsia="Arial" w:hAnsi="Arial"/>
                <w:sz w:val="14"/>
                <w:szCs w:val="14"/>
                <w:color w:val="6D7890"/>
              </w:rPr>
              <w:t>Exhibits and Financial Statement Schedules</w:t>
            </w:r>
          </w:p>
        </w:tc>
      </w:tr>
      <w:tr>
        <w:trPr>
          <w:trHeight w:val="903"/>
        </w:trPr>
        <w:tc>
          <w:tcPr>
            <w:tcW w:w="20" w:type="dxa"/>
            <w:vAlign w:val="bottom"/>
            <w:tcBorders>
              <w:bottom w:val="single" w:sz="8" w:color="3A4967"/>
            </w:tcBorders>
          </w:tcPr>
          <w:p>
            <w:pPr>
              <w:spacing w:after="0"/>
              <w:rPr>
                <w:sz w:val="24"/>
                <w:szCs w:val="24"/>
                <w:color w:val="auto"/>
              </w:rPr>
            </w:pPr>
          </w:p>
        </w:tc>
        <w:tc>
          <w:tcPr>
            <w:tcW w:w="1000" w:type="dxa"/>
            <w:vAlign w:val="bottom"/>
            <w:tcBorders>
              <w:bottom w:val="single" w:sz="8" w:color="3A4967"/>
            </w:tcBorders>
          </w:tcPr>
          <w:p>
            <w:pPr>
              <w:ind w:left="20"/>
              <w:spacing w:after="0"/>
              <w:rPr>
                <w:sz w:val="20"/>
                <w:szCs w:val="20"/>
                <w:color w:val="auto"/>
              </w:rPr>
            </w:pPr>
            <w:r>
              <w:rPr>
                <w:rFonts w:ascii="Arial" w:cs="Arial" w:eastAsia="Arial" w:hAnsi="Arial"/>
                <w:sz w:val="16"/>
                <w:szCs w:val="16"/>
                <w:b w:val="1"/>
                <w:bCs w:val="1"/>
                <w:color w:val="3A4967"/>
              </w:rPr>
              <w:t>Exhibit No.</w:t>
            </w:r>
          </w:p>
        </w:tc>
        <w:tc>
          <w:tcPr>
            <w:tcW w:w="9160" w:type="dxa"/>
            <w:vAlign w:val="bottom"/>
            <w:tcBorders>
              <w:bottom w:val="single" w:sz="8" w:color="3A4967"/>
            </w:tcBorders>
          </w:tcPr>
          <w:p>
            <w:pPr>
              <w:ind w:left="160"/>
              <w:spacing w:after="0"/>
              <w:rPr>
                <w:sz w:val="20"/>
                <w:szCs w:val="20"/>
                <w:color w:val="auto"/>
              </w:rPr>
            </w:pPr>
            <w:r>
              <w:rPr>
                <w:rFonts w:ascii="Arial" w:cs="Arial" w:eastAsia="Arial" w:hAnsi="Arial"/>
                <w:sz w:val="16"/>
                <w:szCs w:val="16"/>
                <w:b w:val="1"/>
                <w:bCs w:val="1"/>
                <w:color w:val="3A4967"/>
              </w:rPr>
              <w:t>Title</w:t>
            </w: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4.1</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Form of Class A Common Stock Certificate (incorporated by reference to Exhibit 4.1 to the Company’s Registration</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Statement No. 33-96164). (P)</w:t>
            </w: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4.2</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Description of the Registrant’s Securities Registered Pursuant to Section 12 of the Securities Exchange Act of 1934</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(incorporated by reference to Exhibit 4.1 to the Company’s Form 10-K filed on February 19, 2020)</w:t>
            </w:r>
          </w:p>
        </w:tc>
      </w:tr>
      <w:tr>
        <w:trPr>
          <w:trHeight w:val="222"/>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10.1</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Stockholder Rights Agreement, dated as of December 1995, among The Boston Beer Company, Inc. and the initial</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Stockholders (incorporated by reference to the Company’s Form 10-K, filed on April 1, 1996). (P)</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+10.2</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8"/>
              </w:rPr>
              <w:t>Production Agreement between Samuel Adams Brewery Company, Ltd. and Brown-Forman Distillery Company, a division</w:t>
            </w:r>
          </w:p>
        </w:tc>
      </w:tr>
      <w:tr>
        <w:trPr>
          <w:trHeight w:val="204"/>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of Brown-Forman Corporation, effective as of April 11, 2005 (incorporated by reference to the Company’s 10-Q filed on</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May 5, 2005).</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+10.3</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8"/>
              </w:rPr>
              <w:t>Brewing Services Agreement between CBC Latrobe Acquisition, LLC and Boston Beer Corporation dated March 28, 2007</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(incorporated by reference to the Company’s Quarterly Report on Form 10-Q filed on May 10, 2007).</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+10.4</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8"/>
              </w:rPr>
              <w:t>Office Lease Agreement between Boston Design Center LLC and Boston Beer Corporation dated March 24, 2006 (“Office</w:t>
            </w:r>
          </w:p>
        </w:tc>
      </w:tr>
      <w:tr>
        <w:trPr>
          <w:trHeight w:val="204"/>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8"/>
              </w:rPr>
              <w:t>Lease Agreement”), as amended on September 29, 2006, October 31, 2007, March 25, 2008, August 27, 2012, February</w:t>
            </w:r>
          </w:p>
        </w:tc>
      </w:tr>
      <w:tr>
        <w:trPr>
          <w:trHeight w:val="204"/>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8"/>
              </w:rPr>
              <w:t>22, 2013, and June 3, 2015 (incorporated by reference to the Company’s Quarterly Report on Form 10-Q filed on May 11,</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2006 and Annual Report on Form 10-K filed on February 18, 2016).</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+10.5</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Seventh Amendment to Lease Agreement dated June 1, 2019. Certain information in this exhibit is confidential and has</w:t>
            </w:r>
          </w:p>
        </w:tc>
      </w:tr>
      <w:tr>
        <w:trPr>
          <w:trHeight w:val="204"/>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been excluded pursuant to applicable rules because it (i) is not material and (ii) would likely cause competitive harm if</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9"/>
              </w:rPr>
              <w:t>publicly disclosed (incorporated by reference to the Company’s Annual Report on Form 10-K filed on February 17, 2021).</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**10.6</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9"/>
              </w:rPr>
              <w:t>The Boston Beer Company, Inc. Equity Plan for Non-Employee Directors, adopted on February 9, 2023 (incorporated by</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reference to Exhibit 10.1 to the Company’s Current Report on Form 8-K filed on February 10, 2023.</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**10.7</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7"/>
              </w:rPr>
              <w:t>The Boston Beer Company, Inc. Employee Equity Incentive Plan, as amended on February 23, 1996, December 20, 1997,</w:t>
            </w:r>
          </w:p>
        </w:tc>
      </w:tr>
      <w:tr>
        <w:trPr>
          <w:trHeight w:val="204"/>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December 19, 2005, December 19, 2006, December 21, 2007, October 30, 2009, October 8, 2013, October 8, 2014,</w:t>
            </w:r>
          </w:p>
        </w:tc>
      </w:tr>
      <w:tr>
        <w:trPr>
          <w:trHeight w:val="204"/>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and December 9, 2015, December 20, 2017, and December 20, 2018 (incorporated by reference to the Company’s</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Current Report on Form 8-K filed on December 21, 2018).</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**10.8</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7"/>
              </w:rPr>
              <w:t>Offer Letter to David A. Burwick, Chief Executive Officer and President, dated January 23, 2018 (incorporated by reference</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to the Company’s Current Report on Form 8-K filed on February 16, 2018).</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**10.9</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Employment Agreement of Samuel A. Calagione III, dated July 3, 2019 (incorporated by reference to Exhibit 10.3 to the</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Company’s 10-Q filed on July 25, 2019)</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10.11</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8"/>
              </w:rPr>
              <w:t>Registration Rights Agreement with the Former Dogfish Head Stockholders, dated July 3, 2019 (incorporated by reference</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to Exhibit 10.1 to the Company’s 10-Q filed on July 25, 2019).</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**10.12</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8"/>
              </w:rPr>
              <w:t>Indemnification Agreement with the Dogfish Head Founders, dated July 3, 2019 (incorporated by reference to Exhibit 10.2</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to the Company’s 10-Q filed on July 25, 2019).</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10.13</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7"/>
              </w:rPr>
              <w:t>Third Amended and Restated Credit Agreement by and among The Boston Beer Company, Inc., Boston Beer Corporation,</w:t>
            </w:r>
          </w:p>
        </w:tc>
      </w:tr>
      <w:tr>
        <w:trPr>
          <w:trHeight w:val="204"/>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American Craft Brewery LLC, and Bank of America, N.A., dated December 16, 2022 (incorporated by reference to the</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Company’s Current Report on Form 8-K filed on December 22, 2022).</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10.14</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7"/>
              </w:rPr>
              <w:t>Offer Letter to Lesya Lysyj, Chief Marketing Officer, dated March 21, 2019 (incorporated by reference to Exhibit 10.5 to the</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Company’s 10-Q filed on July 25, 2019).</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10.15</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8"/>
              </w:rPr>
              <w:t>Offer Letter to Carolyn O’Boyle, Chief People Officer, dated February 7, 2020 (incorporated by reference to Exhibit 10.6 to</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the Company’s 10-Q filed on July 27, 2020).</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10.16</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9"/>
              </w:rPr>
              <w:t>Offer Letter to Diego Reynoso, Chief Financial Officer, dated July 21, 2023 (incorporated by reference to exhibit 10.1 to a</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Current Report on Form 8-K filed by the Company on July 24, 2023)</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10.17</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7"/>
              </w:rPr>
              <w:t>Offer Letter to Michael Spillane, Chief Executive Officer dated February 23, 2024 (incorporated by reference to Exhibit 10.1</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of the Company’s Current Report on Form 8-K filed on February 24, 2024.)</w:t>
            </w:r>
          </w:p>
        </w:tc>
      </w:tr>
      <w:tr>
        <w:trPr>
          <w:trHeight w:val="223"/>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*10.18</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Offer Letter to Michael Crowley, Chief Sales Officer, dated August 15, 2023</w:t>
            </w:r>
          </w:p>
        </w:tc>
      </w:tr>
      <w:tr>
        <w:trPr>
          <w:trHeight w:val="28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*19.1</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9"/>
              </w:rPr>
              <w:t>Insider Trading Policy of The Boston Beer Company, Inc., adopted on March 1, 2015 and amended on February 9, 2023.</w:t>
            </w:r>
          </w:p>
        </w:tc>
      </w:tr>
      <w:tr>
        <w:trPr>
          <w:trHeight w:val="28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*21.1</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List of subsidiaries of The Boston Beer Company, Inc. effective as of December 28, 2024.</w:t>
            </w:r>
          </w:p>
        </w:tc>
      </w:tr>
      <w:tr>
        <w:trPr>
          <w:trHeight w:val="28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*23.1</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Consent of Deloitte &amp; Touche LLP, an Independent Registered Public Accounting Firm.</w:t>
            </w:r>
          </w:p>
        </w:tc>
      </w:tr>
      <w:tr>
        <w:trPr>
          <w:trHeight w:val="279"/>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*31.1</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8"/>
              </w:rPr>
              <w:t>Certification of the President and Chief Executive Officer pursuant to Rule 13a-14(a) under the Securities Exchange Act of</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1934, as adopted pursuant to Section 302 of the Sarbanes-Oxley Act of 2002.</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*31.2</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Certification of the Chief Financial Officer pursuant to Rule 13a-14(a) under the Securities Exchange Act of 1934, as</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adopted pursuant to Section 302 of the Sarbanes-Oxley Act of 2002.</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*32.1</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Certification of the President and Chief Executive Officer pursuant to 18 U.S.C. Section 1350, as adopted pursuant to</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Section 906 of the Sarbanes-Oxley Act of 2002.</w:t>
            </w:r>
          </w:p>
        </w:tc>
      </w:tr>
      <w:tr>
        <w:trPr>
          <w:trHeight w:val="21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3A4967"/>
              </w:rPr>
              <w:t>*32.2</w:t>
            </w: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w w:val="99"/>
              </w:rPr>
              <w:t>Certification of the Chief Financial Officer pursuant to 18 U.S.C. Section 1350, as adopted pursuant to Section 906 of the</w:t>
            </w: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Arial" w:cs="Arial" w:eastAsia="Arial" w:hAnsi="Arial"/>
                <w:sz w:val="17"/>
                <w:szCs w:val="17"/>
                <w:color w:val="3A4967"/>
              </w:rPr>
              <w:t>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-7338695</wp:posOffset>
            </wp:positionV>
            <wp:extent cx="6478905" cy="805307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478905" cy="8053070"/>
                    </a:xfrm>
                    <a:prstGeom prst="rect">
                      <a:avLst/>
                    </a:prstGeom>
                    <a:noFill/>
                  </pic:spPr>
                </pic:pic>
              </a:graphicData>
            </a:graphic>
          </wp:anchor>
        </w:drawing>
      </w:r>
    </w:p>
    <w:p>
      <w:pPr>
        <w:sectPr>
          <w:pgSz w:w="11880" w:h="15481" w:orient="portrait"/>
          <w:cols w:equalWidth="0" w:num="1">
            <w:col w:w="10580"/>
          </w:cols>
          <w:pgMar w:left="84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160"/>
        <w:spacing w:after="0"/>
        <w:tabs>
          <w:tab w:leader="none" w:pos="1038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1939925" cy="4763"/>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-97155</wp:posOffset>
            </wp:positionV>
            <wp:extent cx="1939925" cy="4763"/>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205740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205740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840" w:top="579" w:right="461" w:bottom="0" w:gutter="0" w:footer="0" w:header="0"/>
          <w:type w:val="continuous"/>
        </w:sectPr>
      </w:pPr>
    </w:p>
    <w:bookmarkStart w:id="77" w:name="page78"/>
    <w:bookmarkEnd w:id="77"/>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3A4967"/>
        </w:rPr>
        <w:t xml:space="preserve">Item 15 </w:t>
      </w:r>
      <w:r>
        <w:rPr>
          <w:rFonts w:ascii="Arial" w:cs="Arial" w:eastAsia="Arial" w:hAnsi="Arial"/>
          <w:sz w:val="14"/>
          <w:szCs w:val="14"/>
          <w:color w:val="6D7890"/>
        </w:rPr>
        <w:t>Exhibits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00" w:type="dxa"/>
        <w:tblCellMar>
          <w:top w:w="0" w:type="dxa"/>
          <w:left w:w="0" w:type="dxa"/>
          <w:bottom w:w="0" w:type="dxa"/>
          <w:right w:w="0" w:type="dxa"/>
        </w:tblCellMar>
      </w:tblPr>
      <w:tr>
        <w:trPr>
          <w:trHeight w:val="199"/>
        </w:trPr>
        <w:tc>
          <w:tcPr>
            <w:tcW w:w="1020" w:type="dxa"/>
            <w:vAlign w:val="bottom"/>
            <w:tcBorders>
              <w:bottom w:val="single" w:sz="8" w:color="3A4967"/>
            </w:tcBorders>
          </w:tcPr>
          <w:p>
            <w:pPr>
              <w:ind w:left="40"/>
              <w:spacing w:after="0"/>
              <w:rPr>
                <w:sz w:val="20"/>
                <w:szCs w:val="20"/>
                <w:color w:val="auto"/>
              </w:rPr>
            </w:pPr>
            <w:r>
              <w:rPr>
                <w:rFonts w:ascii="Arial" w:cs="Arial" w:eastAsia="Arial" w:hAnsi="Arial"/>
                <w:sz w:val="16"/>
                <w:szCs w:val="16"/>
                <w:b w:val="1"/>
                <w:bCs w:val="1"/>
                <w:color w:val="3A4967"/>
              </w:rPr>
              <w:t>Exhibit No.</w:t>
            </w:r>
          </w:p>
        </w:tc>
        <w:tc>
          <w:tcPr>
            <w:tcW w:w="9160" w:type="dxa"/>
            <w:vAlign w:val="bottom"/>
            <w:tcBorders>
              <w:bottom w:val="single" w:sz="8" w:color="3A4967"/>
            </w:tcBorders>
          </w:tcPr>
          <w:p>
            <w:pPr>
              <w:ind w:left="160"/>
              <w:spacing w:after="0"/>
              <w:rPr>
                <w:sz w:val="20"/>
                <w:szCs w:val="20"/>
                <w:color w:val="auto"/>
              </w:rPr>
            </w:pPr>
            <w:r>
              <w:rPr>
                <w:rFonts w:ascii="Arial" w:cs="Arial" w:eastAsia="Arial" w:hAnsi="Arial"/>
                <w:sz w:val="16"/>
                <w:szCs w:val="16"/>
                <w:b w:val="1"/>
                <w:bCs w:val="1"/>
                <w:color w:val="3A4967"/>
              </w:rPr>
              <w:t>Title</w:t>
            </w:r>
          </w:p>
        </w:tc>
      </w:tr>
      <w:tr>
        <w:trPr>
          <w:trHeight w:val="214"/>
        </w:trPr>
        <w:tc>
          <w:tcPr>
            <w:tcW w:w="1020" w:type="dxa"/>
            <w:vAlign w:val="bottom"/>
          </w:tcPr>
          <w:p>
            <w:pPr>
              <w:ind w:left="40"/>
              <w:spacing w:after="0"/>
              <w:rPr>
                <w:sz w:val="20"/>
                <w:szCs w:val="20"/>
                <w:color w:val="auto"/>
              </w:rPr>
            </w:pPr>
            <w:r>
              <w:rPr>
                <w:rFonts w:ascii="Arial" w:cs="Arial" w:eastAsia="Arial" w:hAnsi="Arial"/>
                <w:sz w:val="17"/>
                <w:szCs w:val="17"/>
                <w:color w:val="3A4967"/>
              </w:rPr>
              <w:t>*97.1</w:t>
            </w:r>
          </w:p>
        </w:tc>
        <w:tc>
          <w:tcPr>
            <w:tcW w:w="9160" w:type="dxa"/>
            <w:vAlign w:val="bottom"/>
          </w:tcPr>
          <w:p>
            <w:pPr>
              <w:ind w:left="160"/>
              <w:spacing w:after="0"/>
              <w:rPr>
                <w:sz w:val="20"/>
                <w:szCs w:val="20"/>
                <w:color w:val="auto"/>
              </w:rPr>
            </w:pPr>
            <w:r>
              <w:rPr>
                <w:rFonts w:ascii="Arial" w:cs="Arial" w:eastAsia="Arial" w:hAnsi="Arial"/>
                <w:sz w:val="17"/>
                <w:szCs w:val="17"/>
                <w:color w:val="3A4967"/>
              </w:rPr>
              <w:t>The Boston Beer Company, Inc. Clawback Policy amended effective as of October 2, 2023.</w:t>
            </w:r>
          </w:p>
        </w:tc>
      </w:tr>
      <w:tr>
        <w:trPr>
          <w:trHeight w:val="283"/>
        </w:trPr>
        <w:tc>
          <w:tcPr>
            <w:tcW w:w="1020" w:type="dxa"/>
            <w:vAlign w:val="bottom"/>
          </w:tcPr>
          <w:p>
            <w:pPr>
              <w:ind w:left="40"/>
              <w:spacing w:after="0"/>
              <w:rPr>
                <w:sz w:val="20"/>
                <w:szCs w:val="20"/>
                <w:color w:val="auto"/>
              </w:rPr>
            </w:pPr>
            <w:r>
              <w:rPr>
                <w:rFonts w:ascii="Arial" w:cs="Arial" w:eastAsia="Arial" w:hAnsi="Arial"/>
                <w:sz w:val="17"/>
                <w:szCs w:val="17"/>
                <w:color w:val="3A4967"/>
              </w:rPr>
              <w:t>*101.INS</w:t>
            </w:r>
          </w:p>
        </w:tc>
        <w:tc>
          <w:tcPr>
            <w:tcW w:w="9160" w:type="dxa"/>
            <w:vAlign w:val="bottom"/>
          </w:tcPr>
          <w:p>
            <w:pPr>
              <w:ind w:left="160"/>
              <w:spacing w:after="0"/>
              <w:rPr>
                <w:sz w:val="20"/>
                <w:szCs w:val="20"/>
                <w:color w:val="auto"/>
              </w:rPr>
            </w:pPr>
            <w:r>
              <w:rPr>
                <w:rFonts w:ascii="Arial" w:cs="Arial" w:eastAsia="Arial" w:hAnsi="Arial"/>
                <w:sz w:val="17"/>
                <w:szCs w:val="17"/>
                <w:color w:val="3A4967"/>
              </w:rPr>
              <w:t>XBRL Instance Document</w:t>
            </w:r>
          </w:p>
        </w:tc>
      </w:tr>
      <w:tr>
        <w:trPr>
          <w:trHeight w:val="283"/>
        </w:trPr>
        <w:tc>
          <w:tcPr>
            <w:tcW w:w="1020" w:type="dxa"/>
            <w:vAlign w:val="bottom"/>
          </w:tcPr>
          <w:p>
            <w:pPr>
              <w:ind w:left="40"/>
              <w:spacing w:after="0"/>
              <w:rPr>
                <w:sz w:val="20"/>
                <w:szCs w:val="20"/>
                <w:color w:val="auto"/>
              </w:rPr>
            </w:pPr>
            <w:r>
              <w:rPr>
                <w:rFonts w:ascii="Arial" w:cs="Arial" w:eastAsia="Arial" w:hAnsi="Arial"/>
                <w:sz w:val="17"/>
                <w:szCs w:val="17"/>
                <w:color w:val="3A4967"/>
              </w:rPr>
              <w:t>*101.SCH</w:t>
            </w:r>
          </w:p>
        </w:tc>
        <w:tc>
          <w:tcPr>
            <w:tcW w:w="9160" w:type="dxa"/>
            <w:vAlign w:val="bottom"/>
          </w:tcPr>
          <w:p>
            <w:pPr>
              <w:ind w:left="160"/>
              <w:spacing w:after="0"/>
              <w:rPr>
                <w:sz w:val="20"/>
                <w:szCs w:val="20"/>
                <w:color w:val="auto"/>
              </w:rPr>
            </w:pPr>
            <w:r>
              <w:rPr>
                <w:rFonts w:ascii="Arial" w:cs="Arial" w:eastAsia="Arial" w:hAnsi="Arial"/>
                <w:sz w:val="17"/>
                <w:szCs w:val="17"/>
                <w:color w:val="3A4967"/>
              </w:rPr>
              <w:t>Inline XBRL Taxonomy Extension Schema Document</w:t>
            </w:r>
          </w:p>
        </w:tc>
      </w:tr>
      <w:tr>
        <w:trPr>
          <w:trHeight w:val="283"/>
        </w:trPr>
        <w:tc>
          <w:tcPr>
            <w:tcW w:w="1020" w:type="dxa"/>
            <w:vAlign w:val="bottom"/>
          </w:tcPr>
          <w:p>
            <w:pPr>
              <w:ind w:left="40"/>
              <w:spacing w:after="0"/>
              <w:rPr>
                <w:sz w:val="20"/>
                <w:szCs w:val="20"/>
                <w:color w:val="auto"/>
              </w:rPr>
            </w:pPr>
            <w:r>
              <w:rPr>
                <w:rFonts w:ascii="Arial" w:cs="Arial" w:eastAsia="Arial" w:hAnsi="Arial"/>
                <w:sz w:val="17"/>
                <w:szCs w:val="17"/>
                <w:color w:val="3A4967"/>
              </w:rPr>
              <w:t>*101.CAL</w:t>
            </w:r>
          </w:p>
        </w:tc>
        <w:tc>
          <w:tcPr>
            <w:tcW w:w="9160" w:type="dxa"/>
            <w:vAlign w:val="bottom"/>
          </w:tcPr>
          <w:p>
            <w:pPr>
              <w:ind w:left="160"/>
              <w:spacing w:after="0"/>
              <w:rPr>
                <w:sz w:val="20"/>
                <w:szCs w:val="20"/>
                <w:color w:val="auto"/>
              </w:rPr>
            </w:pPr>
            <w:r>
              <w:rPr>
                <w:rFonts w:ascii="Arial" w:cs="Arial" w:eastAsia="Arial" w:hAnsi="Arial"/>
                <w:sz w:val="17"/>
                <w:szCs w:val="17"/>
                <w:color w:val="3A4967"/>
              </w:rPr>
              <w:t>Inline XBRL Taxonomy Calculation Linkbase Document</w:t>
            </w:r>
          </w:p>
        </w:tc>
      </w:tr>
      <w:tr>
        <w:trPr>
          <w:trHeight w:val="283"/>
        </w:trPr>
        <w:tc>
          <w:tcPr>
            <w:tcW w:w="1020" w:type="dxa"/>
            <w:vAlign w:val="bottom"/>
          </w:tcPr>
          <w:p>
            <w:pPr>
              <w:ind w:left="40"/>
              <w:spacing w:after="0"/>
              <w:rPr>
                <w:sz w:val="20"/>
                <w:szCs w:val="20"/>
                <w:color w:val="auto"/>
              </w:rPr>
            </w:pPr>
            <w:r>
              <w:rPr>
                <w:rFonts w:ascii="Arial" w:cs="Arial" w:eastAsia="Arial" w:hAnsi="Arial"/>
                <w:sz w:val="17"/>
                <w:szCs w:val="17"/>
                <w:color w:val="3A4967"/>
              </w:rPr>
              <w:t>*101.LAB</w:t>
            </w:r>
          </w:p>
        </w:tc>
        <w:tc>
          <w:tcPr>
            <w:tcW w:w="9160" w:type="dxa"/>
            <w:vAlign w:val="bottom"/>
          </w:tcPr>
          <w:p>
            <w:pPr>
              <w:ind w:left="160"/>
              <w:spacing w:after="0"/>
              <w:rPr>
                <w:sz w:val="20"/>
                <w:szCs w:val="20"/>
                <w:color w:val="auto"/>
              </w:rPr>
            </w:pPr>
            <w:r>
              <w:rPr>
                <w:rFonts w:ascii="Arial" w:cs="Arial" w:eastAsia="Arial" w:hAnsi="Arial"/>
                <w:sz w:val="17"/>
                <w:szCs w:val="17"/>
                <w:color w:val="3A4967"/>
              </w:rPr>
              <w:t>Inline XBRL Label Linkbase Document</w:t>
            </w:r>
          </w:p>
        </w:tc>
      </w:tr>
      <w:tr>
        <w:trPr>
          <w:trHeight w:val="283"/>
        </w:trPr>
        <w:tc>
          <w:tcPr>
            <w:tcW w:w="1020" w:type="dxa"/>
            <w:vAlign w:val="bottom"/>
          </w:tcPr>
          <w:p>
            <w:pPr>
              <w:ind w:left="40"/>
              <w:spacing w:after="0"/>
              <w:rPr>
                <w:sz w:val="20"/>
                <w:szCs w:val="20"/>
                <w:color w:val="auto"/>
              </w:rPr>
            </w:pPr>
            <w:r>
              <w:rPr>
                <w:rFonts w:ascii="Arial" w:cs="Arial" w:eastAsia="Arial" w:hAnsi="Arial"/>
                <w:sz w:val="17"/>
                <w:szCs w:val="17"/>
                <w:color w:val="3A4967"/>
              </w:rPr>
              <w:t>*101.PRE</w:t>
            </w:r>
          </w:p>
        </w:tc>
        <w:tc>
          <w:tcPr>
            <w:tcW w:w="9160" w:type="dxa"/>
            <w:vAlign w:val="bottom"/>
          </w:tcPr>
          <w:p>
            <w:pPr>
              <w:ind w:left="160"/>
              <w:spacing w:after="0"/>
              <w:rPr>
                <w:sz w:val="20"/>
                <w:szCs w:val="20"/>
                <w:color w:val="auto"/>
              </w:rPr>
            </w:pPr>
            <w:r>
              <w:rPr>
                <w:rFonts w:ascii="Arial" w:cs="Arial" w:eastAsia="Arial" w:hAnsi="Arial"/>
                <w:sz w:val="17"/>
                <w:szCs w:val="17"/>
                <w:color w:val="3A4967"/>
              </w:rPr>
              <w:t>Inline XBRL Taxonomy Presentation Linkbase Document</w:t>
            </w:r>
          </w:p>
        </w:tc>
      </w:tr>
      <w:tr>
        <w:trPr>
          <w:trHeight w:val="283"/>
        </w:trPr>
        <w:tc>
          <w:tcPr>
            <w:tcW w:w="1020" w:type="dxa"/>
            <w:vAlign w:val="bottom"/>
          </w:tcPr>
          <w:p>
            <w:pPr>
              <w:ind w:left="40"/>
              <w:spacing w:after="0"/>
              <w:rPr>
                <w:sz w:val="20"/>
                <w:szCs w:val="20"/>
                <w:color w:val="auto"/>
              </w:rPr>
            </w:pPr>
            <w:r>
              <w:rPr>
                <w:rFonts w:ascii="Arial" w:cs="Arial" w:eastAsia="Arial" w:hAnsi="Arial"/>
                <w:sz w:val="17"/>
                <w:szCs w:val="17"/>
                <w:color w:val="3A4967"/>
              </w:rPr>
              <w:t>*101DEF</w:t>
            </w:r>
          </w:p>
        </w:tc>
        <w:tc>
          <w:tcPr>
            <w:tcW w:w="9160" w:type="dxa"/>
            <w:vAlign w:val="bottom"/>
          </w:tcPr>
          <w:p>
            <w:pPr>
              <w:ind w:left="160"/>
              <w:spacing w:after="0"/>
              <w:rPr>
                <w:sz w:val="20"/>
                <w:szCs w:val="20"/>
                <w:color w:val="auto"/>
              </w:rPr>
            </w:pPr>
            <w:r>
              <w:rPr>
                <w:rFonts w:ascii="Arial" w:cs="Arial" w:eastAsia="Arial" w:hAnsi="Arial"/>
                <w:sz w:val="17"/>
                <w:szCs w:val="17"/>
                <w:color w:val="3A4967"/>
              </w:rPr>
              <w:t>Inline XBRL Definition Linkbase Document</w:t>
            </w:r>
          </w:p>
        </w:tc>
      </w:tr>
      <w:tr>
        <w:trPr>
          <w:trHeight w:val="283"/>
        </w:trPr>
        <w:tc>
          <w:tcPr>
            <w:tcW w:w="1020" w:type="dxa"/>
            <w:vAlign w:val="bottom"/>
          </w:tcPr>
          <w:p>
            <w:pPr>
              <w:ind w:left="40"/>
              <w:spacing w:after="0"/>
              <w:rPr>
                <w:sz w:val="20"/>
                <w:szCs w:val="20"/>
                <w:color w:val="auto"/>
              </w:rPr>
            </w:pPr>
            <w:r>
              <w:rPr>
                <w:rFonts w:ascii="Arial" w:cs="Arial" w:eastAsia="Arial" w:hAnsi="Arial"/>
                <w:sz w:val="17"/>
                <w:szCs w:val="17"/>
                <w:color w:val="3A4967"/>
              </w:rPr>
              <w:t>104</w:t>
            </w:r>
          </w:p>
        </w:tc>
        <w:tc>
          <w:tcPr>
            <w:tcW w:w="9160" w:type="dxa"/>
            <w:vAlign w:val="bottom"/>
          </w:tcPr>
          <w:p>
            <w:pPr>
              <w:ind w:left="160"/>
              <w:spacing w:after="0"/>
              <w:rPr>
                <w:sz w:val="20"/>
                <w:szCs w:val="20"/>
                <w:color w:val="auto"/>
              </w:rPr>
            </w:pPr>
            <w:r>
              <w:rPr>
                <w:rFonts w:ascii="Arial" w:cs="Arial" w:eastAsia="Arial" w:hAnsi="Arial"/>
                <w:sz w:val="17"/>
                <w:szCs w:val="17"/>
                <w:color w:val="3A4967"/>
              </w:rPr>
              <w:t>Cover Page Interactive Data File (formatted as inline XBRL and included in Exhibit 101).</w:t>
            </w:r>
          </w:p>
        </w:tc>
      </w:tr>
      <w:tr>
        <w:trPr>
          <w:trHeight w:val="62"/>
        </w:trPr>
        <w:tc>
          <w:tcPr>
            <w:tcW w:w="1020" w:type="dxa"/>
            <w:vAlign w:val="bottom"/>
            <w:tcBorders>
              <w:bottom w:val="single" w:sz="8" w:color="3A4967"/>
            </w:tcBorders>
          </w:tcPr>
          <w:p>
            <w:pPr>
              <w:spacing w:after="0"/>
              <w:rPr>
                <w:sz w:val="5"/>
                <w:szCs w:val="5"/>
                <w:color w:val="auto"/>
              </w:rPr>
            </w:pPr>
          </w:p>
        </w:tc>
        <w:tc>
          <w:tcPr>
            <w:tcW w:w="9160" w:type="dxa"/>
            <w:vAlign w:val="bottom"/>
            <w:tcBorders>
              <w:bottom w:val="single" w:sz="8" w:color="3A4967"/>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-1279525</wp:posOffset>
            </wp:positionV>
            <wp:extent cx="6478905" cy="127508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478905" cy="1275080"/>
                    </a:xfrm>
                    <a:prstGeom prst="rect">
                      <a:avLst/>
                    </a:prstGeom>
                    <a:noFill/>
                  </pic:spPr>
                </pic:pic>
              </a:graphicData>
            </a:graphic>
          </wp:anchor>
        </w:drawing>
      </w:r>
    </w:p>
    <w:p>
      <w:pPr>
        <w:spacing w:after="0" w:line="87" w:lineRule="exact"/>
        <w:rPr>
          <w:sz w:val="20"/>
          <w:szCs w:val="20"/>
          <w:color w:val="auto"/>
        </w:rPr>
      </w:pPr>
    </w:p>
    <w:p>
      <w:pPr>
        <w:ind w:left="480" w:hanging="89"/>
        <w:spacing w:after="0"/>
        <w:tabs>
          <w:tab w:leader="none" w:pos="480" w:val="left"/>
        </w:tabs>
        <w:numPr>
          <w:ilvl w:val="0"/>
          <w:numId w:val="22"/>
        </w:numPr>
        <w:rPr>
          <w:rFonts w:ascii="Arial" w:cs="Arial" w:eastAsia="Arial" w:hAnsi="Arial"/>
          <w:sz w:val="15"/>
          <w:szCs w:val="15"/>
          <w:color w:val="3A4967"/>
        </w:rPr>
      </w:pPr>
      <w:r>
        <w:rPr>
          <w:rFonts w:ascii="Arial" w:cs="Arial" w:eastAsia="Arial" w:hAnsi="Arial"/>
          <w:sz w:val="15"/>
          <w:szCs w:val="15"/>
          <w:color w:val="3A4967"/>
        </w:rPr>
        <w:t>Filed with this report.</w:t>
      </w:r>
    </w:p>
    <w:p>
      <w:pPr>
        <w:spacing w:after="0" w:line="44" w:lineRule="exact"/>
        <w:rPr>
          <w:rFonts w:ascii="Arial" w:cs="Arial" w:eastAsia="Arial" w:hAnsi="Arial"/>
          <w:sz w:val="15"/>
          <w:szCs w:val="15"/>
          <w:color w:val="3A4967"/>
        </w:rPr>
      </w:pPr>
    </w:p>
    <w:p>
      <w:pPr>
        <w:ind w:left="680" w:hanging="286"/>
        <w:spacing w:after="0"/>
        <w:tabs>
          <w:tab w:leader="none" w:pos="680" w:val="left"/>
        </w:tabs>
        <w:numPr>
          <w:ilvl w:val="1"/>
          <w:numId w:val="22"/>
        </w:numPr>
        <w:rPr>
          <w:rFonts w:ascii="Arial" w:cs="Arial" w:eastAsia="Arial" w:hAnsi="Arial"/>
          <w:sz w:val="12"/>
          <w:szCs w:val="12"/>
          <w:color w:val="3A4967"/>
        </w:rPr>
      </w:pPr>
      <w:r>
        <w:rPr>
          <w:rFonts w:ascii="Arial" w:cs="Arial" w:eastAsia="Arial" w:hAnsi="Arial"/>
          <w:sz w:val="12"/>
          <w:szCs w:val="12"/>
          <w:color w:val="3A4967"/>
        </w:rPr>
        <w:t>Portions of this Exhibit were omitted pursuant to an application for an order declaring confidential treatment filed with and approved by the Securities and Exchange Commission.</w:t>
      </w:r>
    </w:p>
    <w:p>
      <w:pPr>
        <w:spacing w:after="0" w:line="78" w:lineRule="exact"/>
        <w:rPr>
          <w:rFonts w:ascii="Arial" w:cs="Arial" w:eastAsia="Arial" w:hAnsi="Arial"/>
          <w:sz w:val="12"/>
          <w:szCs w:val="12"/>
          <w:color w:val="3A4967"/>
        </w:rPr>
      </w:pPr>
    </w:p>
    <w:p>
      <w:pPr>
        <w:ind w:left="680" w:hanging="286"/>
        <w:spacing w:after="0"/>
        <w:tabs>
          <w:tab w:leader="none" w:pos="680" w:val="left"/>
        </w:tabs>
        <w:numPr>
          <w:ilvl w:val="0"/>
          <w:numId w:val="23"/>
        </w:numPr>
        <w:rPr>
          <w:rFonts w:ascii="Arial" w:cs="Arial" w:eastAsia="Arial" w:hAnsi="Arial"/>
          <w:sz w:val="15"/>
          <w:szCs w:val="15"/>
          <w:color w:val="3A4967"/>
        </w:rPr>
      </w:pPr>
      <w:r>
        <w:rPr>
          <w:rFonts w:ascii="Arial" w:cs="Arial" w:eastAsia="Arial" w:hAnsi="Arial"/>
          <w:sz w:val="15"/>
          <w:szCs w:val="15"/>
          <w:color w:val="3A4967"/>
        </w:rPr>
        <w:t>Indicates management contract or compensatory plan or arrangement.</w:t>
      </w: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35"/>
          <w:szCs w:val="35"/>
          <w:b w:val="1"/>
          <w:bCs w:val="1"/>
          <w:color w:val="3A4967"/>
        </w:rPr>
        <w:t xml:space="preserve">Item 16. </w:t>
      </w:r>
      <w:r>
        <w:rPr>
          <w:rFonts w:ascii="Arial" w:cs="Arial" w:eastAsia="Arial" w:hAnsi="Arial"/>
          <w:sz w:val="35"/>
          <w:szCs w:val="35"/>
          <w:b w:val="1"/>
          <w:bCs w:val="1"/>
          <w:color w:val="6D7890"/>
        </w:rPr>
        <w:t>Form 10-K Summary</w:t>
      </w:r>
    </w:p>
    <w:p>
      <w:pPr>
        <w:spacing w:after="0" w:line="262"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5391785</wp:posOffset>
            </wp:positionV>
            <wp:extent cx="2584450" cy="19177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68</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78" w:name="page79"/>
    <w:bookmarkEnd w:id="78"/>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400"/>
        <w:spacing w:after="0"/>
        <w:rPr>
          <w:sz w:val="20"/>
          <w:szCs w:val="20"/>
          <w:color w:val="auto"/>
        </w:rPr>
      </w:pPr>
      <w:r>
        <w:rPr>
          <w:rFonts w:ascii="Arial" w:cs="Arial" w:eastAsia="Arial" w:hAnsi="Arial"/>
          <w:sz w:val="14"/>
          <w:szCs w:val="14"/>
          <w:color w:val="6D7890"/>
        </w:rPr>
        <w:t>Signatures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35"/>
          <w:szCs w:val="35"/>
          <w:b w:val="1"/>
          <w:bCs w:val="1"/>
          <w:color w:val="3A4967"/>
        </w:rPr>
        <w:t>Signatures</w:t>
      </w:r>
    </w:p>
    <w:p>
      <w:pPr>
        <w:spacing w:after="0" w:line="262"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3A4967"/>
        </w:rPr>
        <w:t>Pursuant to the requirements of Section 13 or 15(d) of the Securities and Exchange Act of 1934, the registrant has duly caused this report to be signed on its behalf by the undersigned, thereunto duly authorized, on this 25</w:t>
      </w:r>
      <w:r>
        <w:rPr>
          <w:rFonts w:ascii="Arial" w:cs="Arial" w:eastAsia="Arial" w:hAnsi="Arial"/>
          <w:sz w:val="10"/>
          <w:szCs w:val="10"/>
          <w:color w:val="3A4967"/>
        </w:rPr>
        <w:t>th</w:t>
      </w:r>
      <w:r>
        <w:rPr>
          <w:rFonts w:ascii="Arial" w:cs="Arial" w:eastAsia="Arial" w:hAnsi="Arial"/>
          <w:sz w:val="18"/>
          <w:szCs w:val="18"/>
          <w:color w:val="3A4967"/>
        </w:rPr>
        <w:t xml:space="preserve"> day of February 2025.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3A4967"/>
        </w:rPr>
        <w:t>THE BOSTON BEER COMPANY, INC.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3A4967"/>
        </w:rPr>
        <w:t>/s/ Michael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1853565" cy="127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853565" cy="1270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3A4967"/>
        </w:rPr>
        <w:t>Michael Spillane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3A4967"/>
        </w:rPr>
        <w:t>President and Chief Executive Officer (principal executive officer)</w:t>
      </w:r>
    </w:p>
    <w:p>
      <w:pPr>
        <w:spacing w:after="0" w:line="179"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3A4967"/>
        </w:rPr>
        <w:t>Pursuant to the requirements of the Securities and Exchange Act of 1934, the following persons on behalf of the registrant and in the capacities and on the dates indicated have signed this report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40" w:type="dxa"/>
            <w:vAlign w:val="bottom"/>
          </w:tcPr>
          <w:p>
            <w:pPr>
              <w:ind w:left="80"/>
              <w:spacing w:after="0"/>
              <w:rPr>
                <w:sz w:val="20"/>
                <w:szCs w:val="20"/>
                <w:color w:val="auto"/>
              </w:rPr>
            </w:pPr>
            <w:r>
              <w:rPr>
                <w:rFonts w:ascii="Arial" w:cs="Arial" w:eastAsia="Arial" w:hAnsi="Arial"/>
                <w:sz w:val="16"/>
                <w:szCs w:val="16"/>
                <w:b w:val="1"/>
                <w:bCs w:val="1"/>
                <w:color w:val="3A4967"/>
              </w:rPr>
              <w:t>Signature</w:t>
            </w:r>
          </w:p>
        </w:tc>
        <w:tc>
          <w:tcPr>
            <w:tcW w:w="5940" w:type="dxa"/>
            <w:vAlign w:val="bottom"/>
          </w:tcPr>
          <w:p>
            <w:pPr>
              <w:ind w:left="360"/>
              <w:spacing w:after="0"/>
              <w:rPr>
                <w:sz w:val="20"/>
                <w:szCs w:val="20"/>
                <w:color w:val="auto"/>
              </w:rPr>
            </w:pPr>
            <w:r>
              <w:rPr>
                <w:rFonts w:ascii="Arial" w:cs="Arial" w:eastAsia="Arial" w:hAnsi="Arial"/>
                <w:sz w:val="16"/>
                <w:szCs w:val="16"/>
                <w:b w:val="1"/>
                <w:bCs w:val="1"/>
                <w:color w:val="3A4967"/>
              </w:rPr>
              <w:t>Title</w:t>
            </w:r>
          </w:p>
        </w:tc>
        <w:tc>
          <w:tcPr>
            <w:tcW w:w="1880" w:type="dxa"/>
            <w:vAlign w:val="bottom"/>
          </w:tcPr>
          <w:p>
            <w:pPr>
              <w:ind w:left="260"/>
              <w:spacing w:after="0"/>
              <w:rPr>
                <w:sz w:val="20"/>
                <w:szCs w:val="20"/>
                <w:color w:val="auto"/>
              </w:rPr>
            </w:pPr>
            <w:r>
              <w:rPr>
                <w:rFonts w:ascii="Arial" w:cs="Arial" w:eastAsia="Arial" w:hAnsi="Arial"/>
                <w:sz w:val="16"/>
                <w:szCs w:val="16"/>
                <w:b w:val="1"/>
                <w:bCs w:val="1"/>
                <w:color w:val="3A4967"/>
              </w:rPr>
              <w:t>Date</w:t>
            </w:r>
          </w:p>
        </w:tc>
      </w:tr>
      <w:tr>
        <w:trPr>
          <w:trHeight w:val="36"/>
        </w:trPr>
        <w:tc>
          <w:tcPr>
            <w:tcW w:w="2340" w:type="dxa"/>
            <w:vAlign w:val="bottom"/>
            <w:tcBorders>
              <w:bottom w:val="single" w:sz="8" w:color="3A4967"/>
            </w:tcBorders>
          </w:tcPr>
          <w:p>
            <w:pPr>
              <w:spacing w:after="0"/>
              <w:rPr>
                <w:sz w:val="3"/>
                <w:szCs w:val="3"/>
                <w:color w:val="auto"/>
              </w:rPr>
            </w:pPr>
          </w:p>
        </w:tc>
        <w:tc>
          <w:tcPr>
            <w:tcW w:w="5940" w:type="dxa"/>
            <w:vAlign w:val="bottom"/>
            <w:tcBorders>
              <w:bottom w:val="single" w:sz="8" w:color="3A4967"/>
            </w:tcBorders>
          </w:tcPr>
          <w:p>
            <w:pPr>
              <w:spacing w:after="0"/>
              <w:rPr>
                <w:sz w:val="3"/>
                <w:szCs w:val="3"/>
                <w:color w:val="auto"/>
              </w:rPr>
            </w:pPr>
          </w:p>
        </w:tc>
        <w:tc>
          <w:tcPr>
            <w:tcW w:w="1880" w:type="dxa"/>
            <w:vAlign w:val="bottom"/>
            <w:tcBorders>
              <w:bottom w:val="single" w:sz="8" w:color="3A4967"/>
            </w:tcBorders>
          </w:tcPr>
          <w:p>
            <w:pPr>
              <w:spacing w:after="0"/>
              <w:rPr>
                <w:sz w:val="3"/>
                <w:szCs w:val="3"/>
                <w:color w:val="auto"/>
              </w:rPr>
            </w:pPr>
          </w:p>
        </w:tc>
      </w:tr>
      <w:tr>
        <w:trPr>
          <w:trHeight w:val="226"/>
        </w:trPr>
        <w:tc>
          <w:tcPr>
            <w:tcW w:w="2340" w:type="dxa"/>
            <w:vAlign w:val="bottom"/>
          </w:tcPr>
          <w:p>
            <w:pPr>
              <w:ind w:left="80"/>
              <w:spacing w:after="0"/>
              <w:rPr>
                <w:sz w:val="20"/>
                <w:szCs w:val="20"/>
                <w:color w:val="auto"/>
              </w:rPr>
            </w:pPr>
            <w:r>
              <w:rPr>
                <w:rFonts w:ascii="Arial" w:cs="Arial" w:eastAsia="Arial" w:hAnsi="Arial"/>
                <w:sz w:val="17"/>
                <w:szCs w:val="17"/>
                <w:color w:val="3A4967"/>
              </w:rPr>
              <w:t>/s/ Michael Spillane</w:t>
            </w:r>
          </w:p>
        </w:tc>
        <w:tc>
          <w:tcPr>
            <w:tcW w:w="5940" w:type="dxa"/>
            <w:vAlign w:val="bottom"/>
          </w:tcPr>
          <w:p>
            <w:pPr>
              <w:ind w:left="360"/>
              <w:spacing w:after="0"/>
              <w:rPr>
                <w:sz w:val="20"/>
                <w:szCs w:val="20"/>
                <w:color w:val="auto"/>
              </w:rPr>
            </w:pPr>
            <w:r>
              <w:rPr>
                <w:rFonts w:ascii="Arial" w:cs="Arial" w:eastAsia="Arial" w:hAnsi="Arial"/>
                <w:sz w:val="17"/>
                <w:szCs w:val="17"/>
                <w:color w:val="3A4967"/>
                <w:w w:val="99"/>
              </w:rPr>
              <w:t>President, Chief Executive Officer (principal executive officer) and Director</w:t>
            </w:r>
          </w:p>
        </w:tc>
        <w:tc>
          <w:tcPr>
            <w:tcW w:w="1880" w:type="dxa"/>
            <w:vAlign w:val="bottom"/>
          </w:tcPr>
          <w:p>
            <w:pPr>
              <w:ind w:left="260"/>
              <w:spacing w:after="0"/>
              <w:rPr>
                <w:sz w:val="20"/>
                <w:szCs w:val="20"/>
                <w:color w:val="auto"/>
              </w:rPr>
            </w:pPr>
            <w:r>
              <w:rPr>
                <w:rFonts w:ascii="Arial" w:cs="Arial" w:eastAsia="Arial" w:hAnsi="Arial"/>
                <w:sz w:val="17"/>
                <w:szCs w:val="17"/>
                <w:color w:val="3A4967"/>
              </w:rPr>
              <w:t>February 25, 2025</w:t>
            </w:r>
          </w:p>
        </w:tc>
      </w:tr>
      <w:tr>
        <w:trPr>
          <w:trHeight w:val="208"/>
        </w:trPr>
        <w:tc>
          <w:tcPr>
            <w:tcW w:w="2340" w:type="dxa"/>
            <w:vAlign w:val="bottom"/>
          </w:tcPr>
          <w:p>
            <w:pPr>
              <w:ind w:left="80"/>
              <w:spacing w:after="0"/>
              <w:rPr>
                <w:sz w:val="20"/>
                <w:szCs w:val="20"/>
                <w:color w:val="auto"/>
              </w:rPr>
            </w:pPr>
            <w:r>
              <w:rPr>
                <w:rFonts w:ascii="Arial" w:cs="Arial" w:eastAsia="Arial" w:hAnsi="Arial"/>
                <w:sz w:val="17"/>
                <w:szCs w:val="17"/>
                <w:color w:val="3A4967"/>
              </w:rPr>
              <w:t>Michael Spillane</w:t>
            </w:r>
          </w:p>
        </w:tc>
        <w:tc>
          <w:tcPr>
            <w:tcW w:w="5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78"/>
        </w:trPr>
        <w:tc>
          <w:tcPr>
            <w:tcW w:w="2340" w:type="dxa"/>
            <w:vAlign w:val="bottom"/>
          </w:tcPr>
          <w:p>
            <w:pPr>
              <w:ind w:left="80"/>
              <w:spacing w:after="0"/>
              <w:rPr>
                <w:sz w:val="20"/>
                <w:szCs w:val="20"/>
                <w:color w:val="auto"/>
              </w:rPr>
            </w:pPr>
            <w:r>
              <w:rPr>
                <w:rFonts w:ascii="Arial" w:cs="Arial" w:eastAsia="Arial" w:hAnsi="Arial"/>
                <w:sz w:val="17"/>
                <w:szCs w:val="17"/>
                <w:color w:val="3A4967"/>
              </w:rPr>
              <w:t>/s/ Diego Reynoso</w:t>
            </w:r>
          </w:p>
        </w:tc>
        <w:tc>
          <w:tcPr>
            <w:tcW w:w="5940" w:type="dxa"/>
            <w:vAlign w:val="bottom"/>
          </w:tcPr>
          <w:p>
            <w:pPr>
              <w:ind w:left="360"/>
              <w:spacing w:after="0"/>
              <w:rPr>
                <w:sz w:val="20"/>
                <w:szCs w:val="20"/>
                <w:color w:val="auto"/>
              </w:rPr>
            </w:pPr>
            <w:r>
              <w:rPr>
                <w:rFonts w:ascii="Arial" w:cs="Arial" w:eastAsia="Arial" w:hAnsi="Arial"/>
                <w:sz w:val="17"/>
                <w:szCs w:val="17"/>
                <w:color w:val="3A4967"/>
              </w:rPr>
              <w:t>Chief Financial Officer (principal financial officer)</w:t>
            </w:r>
          </w:p>
        </w:tc>
        <w:tc>
          <w:tcPr>
            <w:tcW w:w="1880" w:type="dxa"/>
            <w:vAlign w:val="bottom"/>
          </w:tcPr>
          <w:p>
            <w:pPr>
              <w:ind w:left="260"/>
              <w:spacing w:after="0"/>
              <w:rPr>
                <w:sz w:val="20"/>
                <w:szCs w:val="20"/>
                <w:color w:val="auto"/>
              </w:rPr>
            </w:pPr>
            <w:r>
              <w:rPr>
                <w:rFonts w:ascii="Arial" w:cs="Arial" w:eastAsia="Arial" w:hAnsi="Arial"/>
                <w:sz w:val="17"/>
                <w:szCs w:val="17"/>
                <w:color w:val="3A4967"/>
              </w:rPr>
              <w:t>February 25, 2025</w:t>
            </w:r>
          </w:p>
        </w:tc>
      </w:tr>
      <w:tr>
        <w:trPr>
          <w:trHeight w:val="208"/>
        </w:trPr>
        <w:tc>
          <w:tcPr>
            <w:tcW w:w="2340" w:type="dxa"/>
            <w:vAlign w:val="bottom"/>
          </w:tcPr>
          <w:p>
            <w:pPr>
              <w:ind w:left="80"/>
              <w:spacing w:after="0"/>
              <w:rPr>
                <w:sz w:val="20"/>
                <w:szCs w:val="20"/>
                <w:color w:val="auto"/>
              </w:rPr>
            </w:pPr>
            <w:r>
              <w:rPr>
                <w:rFonts w:ascii="Arial" w:cs="Arial" w:eastAsia="Arial" w:hAnsi="Arial"/>
                <w:sz w:val="17"/>
                <w:szCs w:val="17"/>
                <w:color w:val="3A4967"/>
              </w:rPr>
              <w:t>Diego Reynoso</w:t>
            </w:r>
          </w:p>
        </w:tc>
        <w:tc>
          <w:tcPr>
            <w:tcW w:w="5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78"/>
        </w:trPr>
        <w:tc>
          <w:tcPr>
            <w:tcW w:w="2340" w:type="dxa"/>
            <w:vAlign w:val="bottom"/>
          </w:tcPr>
          <w:p>
            <w:pPr>
              <w:ind w:left="80"/>
              <w:spacing w:after="0"/>
              <w:rPr>
                <w:sz w:val="20"/>
                <w:szCs w:val="20"/>
                <w:color w:val="auto"/>
              </w:rPr>
            </w:pPr>
            <w:r>
              <w:rPr>
                <w:rFonts w:ascii="Arial" w:cs="Arial" w:eastAsia="Arial" w:hAnsi="Arial"/>
                <w:sz w:val="17"/>
                <w:szCs w:val="17"/>
                <w:color w:val="3A4967"/>
              </w:rPr>
              <w:t>/s/ Matthew D. Murphy</w:t>
            </w:r>
          </w:p>
        </w:tc>
        <w:tc>
          <w:tcPr>
            <w:tcW w:w="5940" w:type="dxa"/>
            <w:vAlign w:val="bottom"/>
          </w:tcPr>
          <w:p>
            <w:pPr>
              <w:ind w:left="360"/>
              <w:spacing w:after="0"/>
              <w:rPr>
                <w:sz w:val="20"/>
                <w:szCs w:val="20"/>
                <w:color w:val="auto"/>
              </w:rPr>
            </w:pPr>
            <w:r>
              <w:rPr>
                <w:rFonts w:ascii="Arial" w:cs="Arial" w:eastAsia="Arial" w:hAnsi="Arial"/>
                <w:sz w:val="17"/>
                <w:szCs w:val="17"/>
                <w:color w:val="3A4967"/>
              </w:rPr>
              <w:t>VP Finance and Chief Accounting Officer (principal accounting officer)</w:t>
            </w:r>
          </w:p>
        </w:tc>
        <w:tc>
          <w:tcPr>
            <w:tcW w:w="1880" w:type="dxa"/>
            <w:vAlign w:val="bottom"/>
          </w:tcPr>
          <w:p>
            <w:pPr>
              <w:ind w:left="260"/>
              <w:spacing w:after="0"/>
              <w:rPr>
                <w:sz w:val="20"/>
                <w:szCs w:val="20"/>
                <w:color w:val="auto"/>
              </w:rPr>
            </w:pPr>
            <w:r>
              <w:rPr>
                <w:rFonts w:ascii="Arial" w:cs="Arial" w:eastAsia="Arial" w:hAnsi="Arial"/>
                <w:sz w:val="17"/>
                <w:szCs w:val="17"/>
                <w:color w:val="3A4967"/>
              </w:rPr>
              <w:t>February 25, 2025</w:t>
            </w:r>
          </w:p>
        </w:tc>
      </w:tr>
      <w:tr>
        <w:trPr>
          <w:trHeight w:val="208"/>
        </w:trPr>
        <w:tc>
          <w:tcPr>
            <w:tcW w:w="2340" w:type="dxa"/>
            <w:vAlign w:val="bottom"/>
          </w:tcPr>
          <w:p>
            <w:pPr>
              <w:ind w:left="80"/>
              <w:spacing w:after="0"/>
              <w:rPr>
                <w:sz w:val="20"/>
                <w:szCs w:val="20"/>
                <w:color w:val="auto"/>
              </w:rPr>
            </w:pPr>
            <w:r>
              <w:rPr>
                <w:rFonts w:ascii="Arial" w:cs="Arial" w:eastAsia="Arial" w:hAnsi="Arial"/>
                <w:sz w:val="17"/>
                <w:szCs w:val="17"/>
                <w:color w:val="3A4967"/>
              </w:rPr>
              <w:t>Matthew D. Murphy</w:t>
            </w:r>
          </w:p>
        </w:tc>
        <w:tc>
          <w:tcPr>
            <w:tcW w:w="5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78"/>
        </w:trPr>
        <w:tc>
          <w:tcPr>
            <w:tcW w:w="2340" w:type="dxa"/>
            <w:vAlign w:val="bottom"/>
          </w:tcPr>
          <w:p>
            <w:pPr>
              <w:ind w:left="80"/>
              <w:spacing w:after="0"/>
              <w:rPr>
                <w:sz w:val="20"/>
                <w:szCs w:val="20"/>
                <w:color w:val="auto"/>
              </w:rPr>
            </w:pPr>
            <w:r>
              <w:rPr>
                <w:rFonts w:ascii="Arial" w:cs="Arial" w:eastAsia="Arial" w:hAnsi="Arial"/>
                <w:sz w:val="17"/>
                <w:szCs w:val="17"/>
                <w:color w:val="3A4967"/>
              </w:rPr>
              <w:t>/s/ Samuel A. Calagione III</w:t>
            </w:r>
          </w:p>
        </w:tc>
        <w:tc>
          <w:tcPr>
            <w:tcW w:w="5940" w:type="dxa"/>
            <w:vAlign w:val="bottom"/>
          </w:tcPr>
          <w:p>
            <w:pPr>
              <w:ind w:left="360"/>
              <w:spacing w:after="0"/>
              <w:rPr>
                <w:sz w:val="20"/>
                <w:szCs w:val="20"/>
                <w:color w:val="auto"/>
              </w:rPr>
            </w:pPr>
            <w:r>
              <w:rPr>
                <w:rFonts w:ascii="Arial" w:cs="Arial" w:eastAsia="Arial" w:hAnsi="Arial"/>
                <w:sz w:val="17"/>
                <w:szCs w:val="17"/>
                <w:color w:val="3A4967"/>
              </w:rPr>
              <w:t>Brewer and Director</w:t>
            </w:r>
          </w:p>
        </w:tc>
        <w:tc>
          <w:tcPr>
            <w:tcW w:w="1880" w:type="dxa"/>
            <w:vAlign w:val="bottom"/>
          </w:tcPr>
          <w:p>
            <w:pPr>
              <w:ind w:left="260"/>
              <w:spacing w:after="0"/>
              <w:rPr>
                <w:sz w:val="20"/>
                <w:szCs w:val="20"/>
                <w:color w:val="auto"/>
              </w:rPr>
            </w:pPr>
            <w:r>
              <w:rPr>
                <w:rFonts w:ascii="Arial" w:cs="Arial" w:eastAsia="Arial" w:hAnsi="Arial"/>
                <w:sz w:val="17"/>
                <w:szCs w:val="17"/>
                <w:color w:val="3A4967"/>
              </w:rPr>
              <w:t>February 25, 2025</w:t>
            </w:r>
          </w:p>
        </w:tc>
      </w:tr>
      <w:tr>
        <w:trPr>
          <w:trHeight w:val="208"/>
        </w:trPr>
        <w:tc>
          <w:tcPr>
            <w:tcW w:w="2340" w:type="dxa"/>
            <w:vAlign w:val="bottom"/>
          </w:tcPr>
          <w:p>
            <w:pPr>
              <w:ind w:left="80"/>
              <w:spacing w:after="0"/>
              <w:rPr>
                <w:sz w:val="20"/>
                <w:szCs w:val="20"/>
                <w:color w:val="auto"/>
              </w:rPr>
            </w:pPr>
            <w:r>
              <w:rPr>
                <w:rFonts w:ascii="Arial" w:cs="Arial" w:eastAsia="Arial" w:hAnsi="Arial"/>
                <w:sz w:val="17"/>
                <w:szCs w:val="17"/>
                <w:color w:val="3A4967"/>
              </w:rPr>
              <w:t>Samuel A. Calagione III</w:t>
            </w:r>
          </w:p>
        </w:tc>
        <w:tc>
          <w:tcPr>
            <w:tcW w:w="5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78"/>
        </w:trPr>
        <w:tc>
          <w:tcPr>
            <w:tcW w:w="2340" w:type="dxa"/>
            <w:vAlign w:val="bottom"/>
          </w:tcPr>
          <w:p>
            <w:pPr>
              <w:ind w:left="80"/>
              <w:spacing w:after="0"/>
              <w:rPr>
                <w:sz w:val="20"/>
                <w:szCs w:val="20"/>
                <w:color w:val="auto"/>
              </w:rPr>
            </w:pPr>
            <w:r>
              <w:rPr>
                <w:rFonts w:ascii="Arial" w:cs="Arial" w:eastAsia="Arial" w:hAnsi="Arial"/>
                <w:sz w:val="17"/>
                <w:szCs w:val="17"/>
                <w:color w:val="3A4967"/>
              </w:rPr>
              <w:t>/s/ Cynthia A. Fisher</w:t>
            </w:r>
          </w:p>
        </w:tc>
        <w:tc>
          <w:tcPr>
            <w:tcW w:w="5940" w:type="dxa"/>
            <w:vAlign w:val="bottom"/>
          </w:tcPr>
          <w:p>
            <w:pPr>
              <w:ind w:left="360"/>
              <w:spacing w:after="0"/>
              <w:rPr>
                <w:sz w:val="20"/>
                <w:szCs w:val="20"/>
                <w:color w:val="auto"/>
              </w:rPr>
            </w:pPr>
            <w:r>
              <w:rPr>
                <w:rFonts w:ascii="Arial" w:cs="Arial" w:eastAsia="Arial" w:hAnsi="Arial"/>
                <w:sz w:val="17"/>
                <w:szCs w:val="17"/>
                <w:color w:val="3A4967"/>
              </w:rPr>
              <w:t>Director</w:t>
            </w:r>
          </w:p>
        </w:tc>
        <w:tc>
          <w:tcPr>
            <w:tcW w:w="1880" w:type="dxa"/>
            <w:vAlign w:val="bottom"/>
          </w:tcPr>
          <w:p>
            <w:pPr>
              <w:ind w:left="260"/>
              <w:spacing w:after="0"/>
              <w:rPr>
                <w:sz w:val="20"/>
                <w:szCs w:val="20"/>
                <w:color w:val="auto"/>
              </w:rPr>
            </w:pPr>
            <w:r>
              <w:rPr>
                <w:rFonts w:ascii="Arial" w:cs="Arial" w:eastAsia="Arial" w:hAnsi="Arial"/>
                <w:sz w:val="17"/>
                <w:szCs w:val="17"/>
                <w:color w:val="3A4967"/>
              </w:rPr>
              <w:t>February 25, 2025</w:t>
            </w:r>
          </w:p>
        </w:tc>
      </w:tr>
      <w:tr>
        <w:trPr>
          <w:trHeight w:val="208"/>
        </w:trPr>
        <w:tc>
          <w:tcPr>
            <w:tcW w:w="2340" w:type="dxa"/>
            <w:vAlign w:val="bottom"/>
          </w:tcPr>
          <w:p>
            <w:pPr>
              <w:ind w:left="80"/>
              <w:spacing w:after="0"/>
              <w:rPr>
                <w:sz w:val="20"/>
                <w:szCs w:val="20"/>
                <w:color w:val="auto"/>
              </w:rPr>
            </w:pPr>
            <w:r>
              <w:rPr>
                <w:rFonts w:ascii="Arial" w:cs="Arial" w:eastAsia="Arial" w:hAnsi="Arial"/>
                <w:sz w:val="17"/>
                <w:szCs w:val="17"/>
                <w:color w:val="3A4967"/>
              </w:rPr>
              <w:t>Cynthia A. Fisher</w:t>
            </w:r>
          </w:p>
        </w:tc>
        <w:tc>
          <w:tcPr>
            <w:tcW w:w="5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78"/>
        </w:trPr>
        <w:tc>
          <w:tcPr>
            <w:tcW w:w="2340" w:type="dxa"/>
            <w:vAlign w:val="bottom"/>
          </w:tcPr>
          <w:p>
            <w:pPr>
              <w:ind w:left="80"/>
              <w:spacing w:after="0"/>
              <w:rPr>
                <w:sz w:val="20"/>
                <w:szCs w:val="20"/>
                <w:color w:val="auto"/>
              </w:rPr>
            </w:pPr>
            <w:r>
              <w:rPr>
                <w:rFonts w:ascii="Arial" w:cs="Arial" w:eastAsia="Arial" w:hAnsi="Arial"/>
                <w:sz w:val="17"/>
                <w:szCs w:val="17"/>
                <w:color w:val="3A4967"/>
              </w:rPr>
              <w:t>/s/ Meghan V. Joyce</w:t>
            </w:r>
          </w:p>
        </w:tc>
        <w:tc>
          <w:tcPr>
            <w:tcW w:w="5940" w:type="dxa"/>
            <w:vAlign w:val="bottom"/>
          </w:tcPr>
          <w:p>
            <w:pPr>
              <w:ind w:left="360"/>
              <w:spacing w:after="0"/>
              <w:rPr>
                <w:sz w:val="20"/>
                <w:szCs w:val="20"/>
                <w:color w:val="auto"/>
              </w:rPr>
            </w:pPr>
            <w:r>
              <w:rPr>
                <w:rFonts w:ascii="Arial" w:cs="Arial" w:eastAsia="Arial" w:hAnsi="Arial"/>
                <w:sz w:val="17"/>
                <w:szCs w:val="17"/>
                <w:color w:val="3A4967"/>
              </w:rPr>
              <w:t>Director</w:t>
            </w:r>
          </w:p>
        </w:tc>
        <w:tc>
          <w:tcPr>
            <w:tcW w:w="1880" w:type="dxa"/>
            <w:vAlign w:val="bottom"/>
          </w:tcPr>
          <w:p>
            <w:pPr>
              <w:ind w:left="260"/>
              <w:spacing w:after="0"/>
              <w:rPr>
                <w:sz w:val="20"/>
                <w:szCs w:val="20"/>
                <w:color w:val="auto"/>
              </w:rPr>
            </w:pPr>
            <w:r>
              <w:rPr>
                <w:rFonts w:ascii="Arial" w:cs="Arial" w:eastAsia="Arial" w:hAnsi="Arial"/>
                <w:sz w:val="17"/>
                <w:szCs w:val="17"/>
                <w:color w:val="3A4967"/>
              </w:rPr>
              <w:t>February 25, 2025</w:t>
            </w:r>
          </w:p>
        </w:tc>
      </w:tr>
      <w:tr>
        <w:trPr>
          <w:trHeight w:val="208"/>
        </w:trPr>
        <w:tc>
          <w:tcPr>
            <w:tcW w:w="2340" w:type="dxa"/>
            <w:vAlign w:val="bottom"/>
          </w:tcPr>
          <w:p>
            <w:pPr>
              <w:ind w:left="80"/>
              <w:spacing w:after="0"/>
              <w:rPr>
                <w:sz w:val="20"/>
                <w:szCs w:val="20"/>
                <w:color w:val="auto"/>
              </w:rPr>
            </w:pPr>
            <w:r>
              <w:rPr>
                <w:rFonts w:ascii="Arial" w:cs="Arial" w:eastAsia="Arial" w:hAnsi="Arial"/>
                <w:sz w:val="17"/>
                <w:szCs w:val="17"/>
                <w:color w:val="3A4967"/>
              </w:rPr>
              <w:t>Meghan V. Joyce</w:t>
            </w:r>
          </w:p>
        </w:tc>
        <w:tc>
          <w:tcPr>
            <w:tcW w:w="5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78"/>
        </w:trPr>
        <w:tc>
          <w:tcPr>
            <w:tcW w:w="2340" w:type="dxa"/>
            <w:vAlign w:val="bottom"/>
          </w:tcPr>
          <w:p>
            <w:pPr>
              <w:ind w:left="80"/>
              <w:spacing w:after="0"/>
              <w:rPr>
                <w:sz w:val="20"/>
                <w:szCs w:val="20"/>
                <w:color w:val="auto"/>
              </w:rPr>
            </w:pPr>
            <w:r>
              <w:rPr>
                <w:rFonts w:ascii="Arial" w:cs="Arial" w:eastAsia="Arial" w:hAnsi="Arial"/>
                <w:sz w:val="17"/>
                <w:szCs w:val="17"/>
                <w:color w:val="3A4967"/>
              </w:rPr>
              <w:t>/s/ C. James Koch</w:t>
            </w:r>
          </w:p>
        </w:tc>
        <w:tc>
          <w:tcPr>
            <w:tcW w:w="5940" w:type="dxa"/>
            <w:vAlign w:val="bottom"/>
          </w:tcPr>
          <w:p>
            <w:pPr>
              <w:ind w:left="360"/>
              <w:spacing w:after="0"/>
              <w:rPr>
                <w:sz w:val="20"/>
                <w:szCs w:val="20"/>
                <w:color w:val="auto"/>
              </w:rPr>
            </w:pPr>
            <w:r>
              <w:rPr>
                <w:rFonts w:ascii="Arial" w:cs="Arial" w:eastAsia="Arial" w:hAnsi="Arial"/>
                <w:sz w:val="17"/>
                <w:szCs w:val="17"/>
                <w:color w:val="3A4967"/>
              </w:rPr>
              <w:t>Chairman and Director</w:t>
            </w:r>
          </w:p>
        </w:tc>
        <w:tc>
          <w:tcPr>
            <w:tcW w:w="1880" w:type="dxa"/>
            <w:vAlign w:val="bottom"/>
          </w:tcPr>
          <w:p>
            <w:pPr>
              <w:ind w:left="260"/>
              <w:spacing w:after="0"/>
              <w:rPr>
                <w:sz w:val="20"/>
                <w:szCs w:val="20"/>
                <w:color w:val="auto"/>
              </w:rPr>
            </w:pPr>
            <w:r>
              <w:rPr>
                <w:rFonts w:ascii="Arial" w:cs="Arial" w:eastAsia="Arial" w:hAnsi="Arial"/>
                <w:sz w:val="17"/>
                <w:szCs w:val="17"/>
                <w:color w:val="3A4967"/>
              </w:rPr>
              <w:t>February 25, 2025</w:t>
            </w:r>
          </w:p>
        </w:tc>
      </w:tr>
      <w:tr>
        <w:trPr>
          <w:trHeight w:val="208"/>
        </w:trPr>
        <w:tc>
          <w:tcPr>
            <w:tcW w:w="2340" w:type="dxa"/>
            <w:vAlign w:val="bottom"/>
          </w:tcPr>
          <w:p>
            <w:pPr>
              <w:ind w:left="80"/>
              <w:spacing w:after="0"/>
              <w:rPr>
                <w:sz w:val="20"/>
                <w:szCs w:val="20"/>
                <w:color w:val="auto"/>
              </w:rPr>
            </w:pPr>
            <w:r>
              <w:rPr>
                <w:rFonts w:ascii="Arial" w:cs="Arial" w:eastAsia="Arial" w:hAnsi="Arial"/>
                <w:sz w:val="17"/>
                <w:szCs w:val="17"/>
                <w:color w:val="3A4967"/>
              </w:rPr>
              <w:t>C. James Koch</w:t>
            </w:r>
          </w:p>
        </w:tc>
        <w:tc>
          <w:tcPr>
            <w:tcW w:w="5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78"/>
        </w:trPr>
        <w:tc>
          <w:tcPr>
            <w:tcW w:w="2340" w:type="dxa"/>
            <w:vAlign w:val="bottom"/>
          </w:tcPr>
          <w:p>
            <w:pPr>
              <w:ind w:left="80"/>
              <w:spacing w:after="0"/>
              <w:rPr>
                <w:sz w:val="20"/>
                <w:szCs w:val="20"/>
                <w:color w:val="auto"/>
              </w:rPr>
            </w:pPr>
            <w:r>
              <w:rPr>
                <w:rFonts w:ascii="Arial" w:cs="Arial" w:eastAsia="Arial" w:hAnsi="Arial"/>
                <w:sz w:val="17"/>
                <w:szCs w:val="17"/>
                <w:color w:val="3A4967"/>
              </w:rPr>
              <w:t>/s/ Julio N. Nemeth</w:t>
            </w:r>
          </w:p>
        </w:tc>
        <w:tc>
          <w:tcPr>
            <w:tcW w:w="5940" w:type="dxa"/>
            <w:vAlign w:val="bottom"/>
          </w:tcPr>
          <w:p>
            <w:pPr>
              <w:ind w:left="360"/>
              <w:spacing w:after="0"/>
              <w:rPr>
                <w:sz w:val="20"/>
                <w:szCs w:val="20"/>
                <w:color w:val="auto"/>
              </w:rPr>
            </w:pPr>
            <w:r>
              <w:rPr>
                <w:rFonts w:ascii="Arial" w:cs="Arial" w:eastAsia="Arial" w:hAnsi="Arial"/>
                <w:sz w:val="17"/>
                <w:szCs w:val="17"/>
                <w:color w:val="3A4967"/>
              </w:rPr>
              <w:t>Director</w:t>
            </w:r>
          </w:p>
        </w:tc>
        <w:tc>
          <w:tcPr>
            <w:tcW w:w="1880" w:type="dxa"/>
            <w:vAlign w:val="bottom"/>
          </w:tcPr>
          <w:p>
            <w:pPr>
              <w:ind w:left="260"/>
              <w:spacing w:after="0"/>
              <w:rPr>
                <w:sz w:val="20"/>
                <w:szCs w:val="20"/>
                <w:color w:val="auto"/>
              </w:rPr>
            </w:pPr>
            <w:r>
              <w:rPr>
                <w:rFonts w:ascii="Arial" w:cs="Arial" w:eastAsia="Arial" w:hAnsi="Arial"/>
                <w:sz w:val="17"/>
                <w:szCs w:val="17"/>
                <w:color w:val="3A4967"/>
              </w:rPr>
              <w:t>February 25, 2025</w:t>
            </w:r>
          </w:p>
        </w:tc>
      </w:tr>
      <w:tr>
        <w:trPr>
          <w:trHeight w:val="208"/>
        </w:trPr>
        <w:tc>
          <w:tcPr>
            <w:tcW w:w="2340" w:type="dxa"/>
            <w:vAlign w:val="bottom"/>
          </w:tcPr>
          <w:p>
            <w:pPr>
              <w:ind w:left="80"/>
              <w:spacing w:after="0"/>
              <w:rPr>
                <w:sz w:val="20"/>
                <w:szCs w:val="20"/>
                <w:color w:val="auto"/>
              </w:rPr>
            </w:pPr>
            <w:r>
              <w:rPr>
                <w:rFonts w:ascii="Arial" w:cs="Arial" w:eastAsia="Arial" w:hAnsi="Arial"/>
                <w:sz w:val="17"/>
                <w:szCs w:val="17"/>
                <w:color w:val="3A4967"/>
              </w:rPr>
              <w:t>Julio N. Nemeth</w:t>
            </w:r>
          </w:p>
        </w:tc>
        <w:tc>
          <w:tcPr>
            <w:tcW w:w="5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78"/>
        </w:trPr>
        <w:tc>
          <w:tcPr>
            <w:tcW w:w="2340" w:type="dxa"/>
            <w:vAlign w:val="bottom"/>
          </w:tcPr>
          <w:p>
            <w:pPr>
              <w:ind w:left="80"/>
              <w:spacing w:after="0"/>
              <w:rPr>
                <w:sz w:val="20"/>
                <w:szCs w:val="20"/>
                <w:color w:val="auto"/>
              </w:rPr>
            </w:pPr>
            <w:r>
              <w:rPr>
                <w:rFonts w:ascii="Arial" w:cs="Arial" w:eastAsia="Arial" w:hAnsi="Arial"/>
                <w:sz w:val="17"/>
                <w:szCs w:val="17"/>
                <w:color w:val="3A4967"/>
              </w:rPr>
              <w:t>/s/ Joseph H. Jordan</w:t>
            </w:r>
          </w:p>
        </w:tc>
        <w:tc>
          <w:tcPr>
            <w:tcW w:w="5940" w:type="dxa"/>
            <w:vAlign w:val="bottom"/>
          </w:tcPr>
          <w:p>
            <w:pPr>
              <w:ind w:left="360"/>
              <w:spacing w:after="0"/>
              <w:rPr>
                <w:sz w:val="20"/>
                <w:szCs w:val="20"/>
                <w:color w:val="auto"/>
              </w:rPr>
            </w:pPr>
            <w:r>
              <w:rPr>
                <w:rFonts w:ascii="Arial" w:cs="Arial" w:eastAsia="Arial" w:hAnsi="Arial"/>
                <w:sz w:val="17"/>
                <w:szCs w:val="17"/>
                <w:color w:val="3A4967"/>
              </w:rPr>
              <w:t>Director</w:t>
            </w:r>
          </w:p>
        </w:tc>
        <w:tc>
          <w:tcPr>
            <w:tcW w:w="1880" w:type="dxa"/>
            <w:vAlign w:val="bottom"/>
          </w:tcPr>
          <w:p>
            <w:pPr>
              <w:ind w:left="260"/>
              <w:spacing w:after="0"/>
              <w:rPr>
                <w:sz w:val="20"/>
                <w:szCs w:val="20"/>
                <w:color w:val="auto"/>
              </w:rPr>
            </w:pPr>
            <w:r>
              <w:rPr>
                <w:rFonts w:ascii="Arial" w:cs="Arial" w:eastAsia="Arial" w:hAnsi="Arial"/>
                <w:sz w:val="17"/>
                <w:szCs w:val="17"/>
                <w:color w:val="3A4967"/>
              </w:rPr>
              <w:t>February 25, 2025</w:t>
            </w:r>
          </w:p>
        </w:tc>
      </w:tr>
      <w:tr>
        <w:trPr>
          <w:trHeight w:val="208"/>
        </w:trPr>
        <w:tc>
          <w:tcPr>
            <w:tcW w:w="2340" w:type="dxa"/>
            <w:vAlign w:val="bottom"/>
          </w:tcPr>
          <w:p>
            <w:pPr>
              <w:ind w:left="80"/>
              <w:spacing w:after="0"/>
              <w:rPr>
                <w:sz w:val="20"/>
                <w:szCs w:val="20"/>
                <w:color w:val="auto"/>
              </w:rPr>
            </w:pPr>
            <w:r>
              <w:rPr>
                <w:rFonts w:ascii="Arial" w:cs="Arial" w:eastAsia="Arial" w:hAnsi="Arial"/>
                <w:sz w:val="17"/>
                <w:szCs w:val="17"/>
                <w:color w:val="3A4967"/>
              </w:rPr>
              <w:t>Joseph H. Jordan</w:t>
            </w:r>
          </w:p>
        </w:tc>
        <w:tc>
          <w:tcPr>
            <w:tcW w:w="5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78"/>
        </w:trPr>
        <w:tc>
          <w:tcPr>
            <w:tcW w:w="2340" w:type="dxa"/>
            <w:vAlign w:val="bottom"/>
          </w:tcPr>
          <w:p>
            <w:pPr>
              <w:ind w:left="80"/>
              <w:spacing w:after="0"/>
              <w:rPr>
                <w:sz w:val="20"/>
                <w:szCs w:val="20"/>
                <w:color w:val="auto"/>
              </w:rPr>
            </w:pPr>
            <w:r>
              <w:rPr>
                <w:rFonts w:ascii="Arial" w:cs="Arial" w:eastAsia="Arial" w:hAnsi="Arial"/>
                <w:sz w:val="17"/>
                <w:szCs w:val="17"/>
                <w:color w:val="3A4967"/>
              </w:rPr>
              <w:t>/s/ Christopher I. Stone</w:t>
            </w:r>
          </w:p>
        </w:tc>
        <w:tc>
          <w:tcPr>
            <w:tcW w:w="5940" w:type="dxa"/>
            <w:vAlign w:val="bottom"/>
          </w:tcPr>
          <w:p>
            <w:pPr>
              <w:ind w:left="360"/>
              <w:spacing w:after="0"/>
              <w:rPr>
                <w:sz w:val="20"/>
                <w:szCs w:val="20"/>
                <w:color w:val="auto"/>
              </w:rPr>
            </w:pPr>
            <w:r>
              <w:rPr>
                <w:rFonts w:ascii="Arial" w:cs="Arial" w:eastAsia="Arial" w:hAnsi="Arial"/>
                <w:sz w:val="17"/>
                <w:szCs w:val="17"/>
                <w:color w:val="3A4967"/>
              </w:rPr>
              <w:t>Director</w:t>
            </w:r>
          </w:p>
        </w:tc>
        <w:tc>
          <w:tcPr>
            <w:tcW w:w="1880" w:type="dxa"/>
            <w:vAlign w:val="bottom"/>
          </w:tcPr>
          <w:p>
            <w:pPr>
              <w:ind w:left="260"/>
              <w:spacing w:after="0"/>
              <w:rPr>
                <w:sz w:val="20"/>
                <w:szCs w:val="20"/>
                <w:color w:val="auto"/>
              </w:rPr>
            </w:pPr>
            <w:r>
              <w:rPr>
                <w:rFonts w:ascii="Arial" w:cs="Arial" w:eastAsia="Arial" w:hAnsi="Arial"/>
                <w:sz w:val="17"/>
                <w:szCs w:val="17"/>
                <w:color w:val="3A4967"/>
              </w:rPr>
              <w:t>February 25, 2025</w:t>
            </w:r>
          </w:p>
        </w:tc>
      </w:tr>
      <w:tr>
        <w:trPr>
          <w:trHeight w:val="208"/>
        </w:trPr>
        <w:tc>
          <w:tcPr>
            <w:tcW w:w="2340" w:type="dxa"/>
            <w:vAlign w:val="bottom"/>
          </w:tcPr>
          <w:p>
            <w:pPr>
              <w:ind w:left="80"/>
              <w:spacing w:after="0"/>
              <w:rPr>
                <w:sz w:val="20"/>
                <w:szCs w:val="20"/>
                <w:color w:val="auto"/>
              </w:rPr>
            </w:pPr>
            <w:r>
              <w:rPr>
                <w:rFonts w:ascii="Arial" w:cs="Arial" w:eastAsia="Arial" w:hAnsi="Arial"/>
                <w:sz w:val="17"/>
                <w:szCs w:val="17"/>
                <w:color w:val="3A4967"/>
              </w:rPr>
              <w:t>Christopher I. Stone</w:t>
            </w:r>
          </w:p>
        </w:tc>
        <w:tc>
          <w:tcPr>
            <w:tcW w:w="5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78"/>
        </w:trPr>
        <w:tc>
          <w:tcPr>
            <w:tcW w:w="2340" w:type="dxa"/>
            <w:vAlign w:val="bottom"/>
          </w:tcPr>
          <w:p>
            <w:pPr>
              <w:ind w:left="80"/>
              <w:spacing w:after="0"/>
              <w:rPr>
                <w:sz w:val="20"/>
                <w:szCs w:val="20"/>
                <w:color w:val="auto"/>
              </w:rPr>
            </w:pPr>
            <w:r>
              <w:rPr>
                <w:rFonts w:ascii="Arial" w:cs="Arial" w:eastAsia="Arial" w:hAnsi="Arial"/>
                <w:sz w:val="17"/>
                <w:szCs w:val="17"/>
                <w:color w:val="3A4967"/>
              </w:rPr>
              <w:t>/s/ Cynthia L. Swanson</w:t>
            </w:r>
          </w:p>
        </w:tc>
        <w:tc>
          <w:tcPr>
            <w:tcW w:w="5940" w:type="dxa"/>
            <w:vAlign w:val="bottom"/>
          </w:tcPr>
          <w:p>
            <w:pPr>
              <w:ind w:left="360"/>
              <w:spacing w:after="0"/>
              <w:rPr>
                <w:sz w:val="20"/>
                <w:szCs w:val="20"/>
                <w:color w:val="auto"/>
              </w:rPr>
            </w:pPr>
            <w:r>
              <w:rPr>
                <w:rFonts w:ascii="Arial" w:cs="Arial" w:eastAsia="Arial" w:hAnsi="Arial"/>
                <w:sz w:val="17"/>
                <w:szCs w:val="17"/>
                <w:color w:val="3A4967"/>
              </w:rPr>
              <w:t>Director</w:t>
            </w:r>
          </w:p>
        </w:tc>
        <w:tc>
          <w:tcPr>
            <w:tcW w:w="1880" w:type="dxa"/>
            <w:vAlign w:val="bottom"/>
          </w:tcPr>
          <w:p>
            <w:pPr>
              <w:ind w:left="260"/>
              <w:spacing w:after="0"/>
              <w:rPr>
                <w:sz w:val="20"/>
                <w:szCs w:val="20"/>
                <w:color w:val="auto"/>
              </w:rPr>
            </w:pPr>
            <w:r>
              <w:rPr>
                <w:rFonts w:ascii="Arial" w:cs="Arial" w:eastAsia="Arial" w:hAnsi="Arial"/>
                <w:sz w:val="17"/>
                <w:szCs w:val="17"/>
                <w:color w:val="3A4967"/>
              </w:rPr>
              <w:t>February 25, 2025</w:t>
            </w:r>
          </w:p>
        </w:tc>
      </w:tr>
      <w:tr>
        <w:trPr>
          <w:trHeight w:val="208"/>
        </w:trPr>
        <w:tc>
          <w:tcPr>
            <w:tcW w:w="2340" w:type="dxa"/>
            <w:vAlign w:val="bottom"/>
          </w:tcPr>
          <w:p>
            <w:pPr>
              <w:ind w:left="80"/>
              <w:spacing w:after="0"/>
              <w:rPr>
                <w:sz w:val="20"/>
                <w:szCs w:val="20"/>
                <w:color w:val="auto"/>
              </w:rPr>
            </w:pPr>
            <w:r>
              <w:rPr>
                <w:rFonts w:ascii="Arial" w:cs="Arial" w:eastAsia="Arial" w:hAnsi="Arial"/>
                <w:sz w:val="17"/>
                <w:szCs w:val="17"/>
                <w:color w:val="3A4967"/>
              </w:rPr>
              <w:t>Cynthia L. Swanson</w:t>
            </w:r>
          </w:p>
        </w:tc>
        <w:tc>
          <w:tcPr>
            <w:tcW w:w="5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78"/>
        </w:trPr>
        <w:tc>
          <w:tcPr>
            <w:tcW w:w="2340" w:type="dxa"/>
            <w:vAlign w:val="bottom"/>
          </w:tcPr>
          <w:p>
            <w:pPr>
              <w:ind w:left="80"/>
              <w:spacing w:after="0"/>
              <w:rPr>
                <w:sz w:val="20"/>
                <w:szCs w:val="20"/>
                <w:color w:val="auto"/>
              </w:rPr>
            </w:pPr>
            <w:r>
              <w:rPr>
                <w:rFonts w:ascii="Arial" w:cs="Arial" w:eastAsia="Arial" w:hAnsi="Arial"/>
                <w:sz w:val="17"/>
                <w:szCs w:val="17"/>
                <w:color w:val="3A4967"/>
              </w:rPr>
              <w:t>/s/ Jean-Michel Valette</w:t>
            </w:r>
          </w:p>
        </w:tc>
        <w:tc>
          <w:tcPr>
            <w:tcW w:w="5940" w:type="dxa"/>
            <w:vAlign w:val="bottom"/>
          </w:tcPr>
          <w:p>
            <w:pPr>
              <w:ind w:left="360"/>
              <w:spacing w:after="0"/>
              <w:rPr>
                <w:sz w:val="20"/>
                <w:szCs w:val="20"/>
                <w:color w:val="auto"/>
              </w:rPr>
            </w:pPr>
            <w:r>
              <w:rPr>
                <w:rFonts w:ascii="Arial" w:cs="Arial" w:eastAsia="Arial" w:hAnsi="Arial"/>
                <w:sz w:val="17"/>
                <w:szCs w:val="17"/>
                <w:color w:val="3A4967"/>
              </w:rPr>
              <w:t>Director</w:t>
            </w:r>
          </w:p>
        </w:tc>
        <w:tc>
          <w:tcPr>
            <w:tcW w:w="1880" w:type="dxa"/>
            <w:vAlign w:val="bottom"/>
          </w:tcPr>
          <w:p>
            <w:pPr>
              <w:ind w:left="260"/>
              <w:spacing w:after="0"/>
              <w:rPr>
                <w:sz w:val="20"/>
                <w:szCs w:val="20"/>
                <w:color w:val="auto"/>
              </w:rPr>
            </w:pPr>
            <w:r>
              <w:rPr>
                <w:rFonts w:ascii="Arial" w:cs="Arial" w:eastAsia="Arial" w:hAnsi="Arial"/>
                <w:sz w:val="17"/>
                <w:szCs w:val="17"/>
                <w:color w:val="3A4967"/>
              </w:rPr>
              <w:t>February 25, 2025</w:t>
            </w:r>
          </w:p>
        </w:tc>
      </w:tr>
      <w:tr>
        <w:trPr>
          <w:trHeight w:val="246"/>
        </w:trPr>
        <w:tc>
          <w:tcPr>
            <w:tcW w:w="2340" w:type="dxa"/>
            <w:vAlign w:val="bottom"/>
            <w:tcBorders>
              <w:bottom w:val="single" w:sz="8" w:color="3A4967"/>
            </w:tcBorders>
          </w:tcPr>
          <w:p>
            <w:pPr>
              <w:ind w:left="80"/>
              <w:spacing w:after="0"/>
              <w:rPr>
                <w:sz w:val="20"/>
                <w:szCs w:val="20"/>
                <w:color w:val="auto"/>
              </w:rPr>
            </w:pPr>
            <w:r>
              <w:rPr>
                <w:rFonts w:ascii="Arial" w:cs="Arial" w:eastAsia="Arial" w:hAnsi="Arial"/>
                <w:sz w:val="17"/>
                <w:szCs w:val="17"/>
                <w:color w:val="3A4967"/>
              </w:rPr>
              <w:t>Jean-Michel Valette</w:t>
            </w:r>
          </w:p>
        </w:tc>
        <w:tc>
          <w:tcPr>
            <w:tcW w:w="5940" w:type="dxa"/>
            <w:vAlign w:val="bottom"/>
            <w:tcBorders>
              <w:bottom w:val="single" w:sz="8" w:color="3A4967"/>
            </w:tcBorders>
          </w:tcPr>
          <w:p>
            <w:pPr>
              <w:spacing w:after="0"/>
              <w:rPr>
                <w:sz w:val="21"/>
                <w:szCs w:val="21"/>
                <w:color w:val="auto"/>
              </w:rPr>
            </w:pPr>
          </w:p>
        </w:tc>
        <w:tc>
          <w:tcPr>
            <w:tcW w:w="1880" w:type="dxa"/>
            <w:vAlign w:val="bottom"/>
            <w:tcBorders>
              <w:bottom w:val="single" w:sz="8" w:color="3A4967"/>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2459990</wp:posOffset>
            </wp:positionV>
            <wp:extent cx="2584450" cy="19177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584450" cy="19177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-3736340</wp:posOffset>
            </wp:positionV>
            <wp:extent cx="6509385" cy="374967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509385" cy="374967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79" w:name="page80"/>
    <w:bookmarkEnd w:id="79"/>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4"/>
          <w:szCs w:val="14"/>
          <w:color w:val="6D7890"/>
        </w:rPr>
        <w:t>Exhibit 21.1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spacing w:after="0"/>
        <w:tabs>
          <w:tab w:leader="none" w:pos="2360" w:val="left"/>
        </w:tabs>
        <w:rPr>
          <w:sz w:val="20"/>
          <w:szCs w:val="20"/>
          <w:color w:val="auto"/>
        </w:rPr>
      </w:pPr>
      <w:r>
        <w:rPr>
          <w:rFonts w:ascii="Arial" w:cs="Arial" w:eastAsia="Arial" w:hAnsi="Arial"/>
          <w:sz w:val="26"/>
          <w:szCs w:val="26"/>
          <w:b w:val="1"/>
          <w:bCs w:val="1"/>
          <w:color w:val="3A4967"/>
        </w:rPr>
        <w:t>EXHIBIT 21.1</w:t>
      </w:r>
      <w:r>
        <w:rPr>
          <w:rFonts w:ascii="Arial" w:cs="Arial" w:eastAsia="Arial" w:hAnsi="Arial"/>
          <w:sz w:val="26"/>
          <w:szCs w:val="26"/>
          <w:b w:val="1"/>
          <w:bCs w:val="1"/>
          <w:color w:val="6D7890"/>
        </w:rPr>
        <w:tab/>
        <w:t>List of Subsidiaries and Affiliates of The Boston Beer</w:t>
      </w:r>
    </w:p>
    <w:p>
      <w:pPr>
        <w:spacing w:after="0" w:line="21" w:lineRule="exact"/>
        <w:rPr>
          <w:sz w:val="20"/>
          <w:szCs w:val="20"/>
          <w:color w:val="auto"/>
        </w:rPr>
      </w:pPr>
    </w:p>
    <w:p>
      <w:pPr>
        <w:ind w:left="2380"/>
        <w:spacing w:after="0"/>
        <w:rPr>
          <w:sz w:val="20"/>
          <w:szCs w:val="20"/>
          <w:color w:val="auto"/>
        </w:rPr>
      </w:pPr>
      <w:r>
        <w:rPr>
          <w:rFonts w:ascii="Arial" w:cs="Arial" w:eastAsia="Arial" w:hAnsi="Arial"/>
          <w:sz w:val="26"/>
          <w:szCs w:val="26"/>
          <w:b w:val="1"/>
          <w:bCs w:val="1"/>
          <w:color w:val="6D7890"/>
        </w:rPr>
        <w:t>Company, Inc. as of December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121920</wp:posOffset>
            </wp:positionV>
            <wp:extent cx="6478905" cy="510921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478905" cy="5109210"/>
                    </a:xfrm>
                    <a:prstGeom prst="rect">
                      <a:avLst/>
                    </a:prstGeom>
                    <a:noFill/>
                  </pic:spPr>
                </pic:pic>
              </a:graphicData>
            </a:graphic>
          </wp:anchor>
        </w:drawing>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American Craft Brewery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Massachusetts limited liability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American Fermentation Company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Massachusetts limited liability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Angry Orchard Cider Company,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Delaware limited liability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BBCCC, Inc.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(an Ontario, Canada corporation)</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Boston Beer Corporation</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Massachusetts corporation)</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Boston Beer Corporation Canada, Inc.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Canadian business corporation)</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Boston Brewing Company, Inc.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Massachusetts corporation)</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Dogfish Head Craft Brewery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Delaware limited liability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Dogfish Head Land Holdings,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Delaware limited liability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Dogfish Head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Delaware limited liability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Dogfish Head Marketing,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Delaware limited liability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Dogfish Head MTSpace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Delaware limited liability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Hard Seltzer Beverage Company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Delaware limited liability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Lazy River Cider Co.,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Delaware limited liability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Marathon Brewing Company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 Massachusetts limited liability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Providence Street Associates, LLC</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(an Ohio limited liability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SABC Realty, Ltd.</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7"/>
          <w:szCs w:val="17"/>
          <w:color w:val="3A4967"/>
        </w:rPr>
        <w:t>(an Ohio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2768600</wp:posOffset>
            </wp:positionV>
            <wp:extent cx="2584450" cy="19177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70</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80" w:name="page81"/>
    <w:bookmarkEnd w:id="80"/>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380"/>
        <w:spacing w:after="0"/>
        <w:rPr>
          <w:sz w:val="20"/>
          <w:szCs w:val="20"/>
          <w:color w:val="auto"/>
        </w:rPr>
      </w:pPr>
      <w:r>
        <w:rPr>
          <w:rFonts w:ascii="Arial" w:cs="Arial" w:eastAsia="Arial" w:hAnsi="Arial"/>
          <w:sz w:val="14"/>
          <w:szCs w:val="14"/>
          <w:color w:val="6D7890"/>
        </w:rPr>
        <w:t>Exhibit 23.1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960" w:val="left"/>
        </w:tabs>
        <w:rPr>
          <w:sz w:val="20"/>
          <w:szCs w:val="20"/>
          <w:color w:val="auto"/>
        </w:rPr>
      </w:pPr>
      <w:r>
        <w:rPr>
          <w:rFonts w:ascii="Arial" w:cs="Arial" w:eastAsia="Arial" w:hAnsi="Arial"/>
          <w:sz w:val="26"/>
          <w:szCs w:val="26"/>
          <w:b w:val="1"/>
          <w:bCs w:val="1"/>
          <w:color w:val="3A4967"/>
        </w:rPr>
        <w:t>EXHIBIT 23.1</w:t>
      </w:r>
      <w:r>
        <w:rPr>
          <w:rFonts w:ascii="Arial" w:cs="Arial" w:eastAsia="Arial" w:hAnsi="Arial"/>
          <w:sz w:val="26"/>
          <w:szCs w:val="26"/>
          <w:b w:val="1"/>
          <w:bCs w:val="1"/>
          <w:color w:val="6D7890"/>
        </w:rPr>
        <w:tab/>
        <w:t>Consent of Independent Registered Public Accounting Firm</w:t>
      </w:r>
    </w:p>
    <w:p>
      <w:pPr>
        <w:spacing w:after="0" w:line="164" w:lineRule="exact"/>
        <w:rPr>
          <w:sz w:val="20"/>
          <w:szCs w:val="20"/>
          <w:color w:val="auto"/>
        </w:rPr>
      </w:pPr>
    </w:p>
    <w:p>
      <w:pPr>
        <w:jc w:val="both"/>
        <w:ind w:right="380"/>
        <w:spacing w:after="0" w:line="254" w:lineRule="auto"/>
        <w:rPr>
          <w:sz w:val="20"/>
          <w:szCs w:val="20"/>
          <w:color w:val="auto"/>
        </w:rPr>
      </w:pPr>
      <w:r>
        <w:rPr>
          <w:rFonts w:ascii="Arial" w:cs="Arial" w:eastAsia="Arial" w:hAnsi="Arial"/>
          <w:sz w:val="18"/>
          <w:szCs w:val="18"/>
          <w:color w:val="3A4967"/>
        </w:rPr>
        <w:t>We consent to the incorporation by reference in Registration Statement Nos. 333-209588, 333-163315, 333-163314, 333-148374, 333-140250, 333-121057, 333-85112, 333-85110, 333-68531, 333-12221, and 333-01798 each on Form S-8 of our reports dated February 25, 2025, relating to the financial statements of The Boston Beer Company, Inc., and the effectiveness of The Boston Beer Company, Inc.’s internal control over financial reporting, appearing in this Annual Report on Form 10-K of The Boston Beer Company, Inc. for the year ended December 28, 2024.</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3A4967"/>
        </w:rPr>
        <w:t>/s/ Deloitte &amp; Touche LLP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3A4967"/>
        </w:rPr>
        <w:t>Boston, Massachusetts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3A4967"/>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6792595</wp:posOffset>
            </wp:positionV>
            <wp:extent cx="2584450" cy="19177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81" w:name="page82"/>
    <w:bookmarkEnd w:id="81"/>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3"/>
          <w:szCs w:val="13"/>
          <w:color w:val="6D7890"/>
        </w:rPr>
        <w:t>Exhibit 31.1</w:t>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EXHIBIT 31.1</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I, Michael Spillane, certify that:</w:t>
      </w:r>
    </w:p>
    <w:p>
      <w:pPr>
        <w:spacing w:after="0" w:line="122" w:lineRule="exact"/>
        <w:rPr>
          <w:sz w:val="20"/>
          <w:szCs w:val="20"/>
          <w:color w:val="auto"/>
        </w:rPr>
      </w:pPr>
    </w:p>
    <w:p>
      <w:pPr>
        <w:ind w:left="780" w:right="20" w:hanging="389"/>
        <w:spacing w:after="0" w:line="267" w:lineRule="auto"/>
        <w:tabs>
          <w:tab w:leader="none" w:pos="780" w:val="left"/>
        </w:tabs>
        <w:numPr>
          <w:ilvl w:val="0"/>
          <w:numId w:val="24"/>
        </w:numPr>
        <w:rPr>
          <w:rFonts w:ascii="Arial" w:cs="Arial" w:eastAsia="Arial" w:hAnsi="Arial"/>
          <w:sz w:val="18"/>
          <w:szCs w:val="18"/>
          <w:color w:val="3A4967"/>
        </w:rPr>
      </w:pPr>
      <w:r>
        <w:rPr>
          <w:rFonts w:ascii="Arial" w:cs="Arial" w:eastAsia="Arial" w:hAnsi="Arial"/>
          <w:sz w:val="18"/>
          <w:szCs w:val="18"/>
          <w:color w:val="3A4967"/>
        </w:rPr>
        <w:t>I have reviewed this annual report on Form 10-K of The Boston Beer Company, Inc.;</w:t>
      </w:r>
    </w:p>
    <w:p>
      <w:pPr>
        <w:spacing w:after="0" w:line="56" w:lineRule="exact"/>
        <w:rPr>
          <w:rFonts w:ascii="Arial" w:cs="Arial" w:eastAsia="Arial" w:hAnsi="Arial"/>
          <w:sz w:val="18"/>
          <w:szCs w:val="18"/>
          <w:color w:val="3A4967"/>
        </w:rPr>
      </w:pPr>
    </w:p>
    <w:p>
      <w:pPr>
        <w:jc w:val="both"/>
        <w:ind w:left="780" w:hanging="389"/>
        <w:spacing w:after="0" w:line="294" w:lineRule="auto"/>
        <w:tabs>
          <w:tab w:leader="none" w:pos="780" w:val="left"/>
        </w:tabs>
        <w:numPr>
          <w:ilvl w:val="0"/>
          <w:numId w:val="24"/>
        </w:numPr>
        <w:rPr>
          <w:rFonts w:ascii="Arial" w:cs="Arial" w:eastAsia="Arial" w:hAnsi="Arial"/>
          <w:sz w:val="16"/>
          <w:szCs w:val="16"/>
          <w:color w:val="3A4967"/>
        </w:rPr>
      </w:pPr>
      <w:r>
        <w:rPr>
          <w:rFonts w:ascii="Arial" w:cs="Arial" w:eastAsia="Arial" w:hAnsi="Arial"/>
          <w:sz w:val="16"/>
          <w:szCs w:val="16"/>
          <w:color w:val="3A496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Arial" w:cs="Arial" w:eastAsia="Arial" w:hAnsi="Arial"/>
          <w:sz w:val="16"/>
          <w:szCs w:val="16"/>
          <w:color w:val="3A4967"/>
        </w:rPr>
      </w:pPr>
    </w:p>
    <w:p>
      <w:pPr>
        <w:jc w:val="both"/>
        <w:ind w:left="780" w:hanging="389"/>
        <w:spacing w:after="0" w:line="254" w:lineRule="auto"/>
        <w:tabs>
          <w:tab w:leader="none" w:pos="780" w:val="left"/>
        </w:tabs>
        <w:numPr>
          <w:ilvl w:val="0"/>
          <w:numId w:val="24"/>
        </w:numPr>
        <w:rPr>
          <w:rFonts w:ascii="Arial" w:cs="Arial" w:eastAsia="Arial" w:hAnsi="Arial"/>
          <w:sz w:val="18"/>
          <w:szCs w:val="18"/>
          <w:color w:val="3A4967"/>
        </w:rPr>
      </w:pPr>
      <w:r>
        <w:rPr>
          <w:rFonts w:ascii="Arial" w:cs="Arial" w:eastAsia="Arial" w:hAnsi="Arial"/>
          <w:sz w:val="18"/>
          <w:szCs w:val="18"/>
          <w:color w:val="3A496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8"/>
          <w:szCs w:val="18"/>
          <w:color w:val="3A4967"/>
        </w:rPr>
      </w:pPr>
    </w:p>
    <w:p>
      <w:pPr>
        <w:jc w:val="both"/>
        <w:ind w:left="780" w:hanging="389"/>
        <w:spacing w:after="0" w:line="253" w:lineRule="auto"/>
        <w:tabs>
          <w:tab w:leader="none" w:pos="780" w:val="left"/>
        </w:tabs>
        <w:numPr>
          <w:ilvl w:val="0"/>
          <w:numId w:val="24"/>
        </w:numPr>
        <w:rPr>
          <w:rFonts w:ascii="Arial" w:cs="Arial" w:eastAsia="Arial" w:hAnsi="Arial"/>
          <w:sz w:val="18"/>
          <w:szCs w:val="18"/>
          <w:color w:val="3A4967"/>
        </w:rPr>
      </w:pPr>
      <w:r>
        <w:rPr>
          <w:rFonts w:ascii="Arial" w:cs="Arial" w:eastAsia="Arial" w:hAnsi="Arial"/>
          <w:sz w:val="18"/>
          <w:szCs w:val="18"/>
          <w:color w:val="3A496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8"/>
          <w:szCs w:val="18"/>
          <w:color w:val="3A4967"/>
        </w:rPr>
      </w:pPr>
    </w:p>
    <w:p>
      <w:pPr>
        <w:jc w:val="both"/>
        <w:ind w:left="1120" w:hanging="332"/>
        <w:spacing w:after="0" w:line="270" w:lineRule="auto"/>
        <w:tabs>
          <w:tab w:leader="none" w:pos="1120" w:val="left"/>
        </w:tabs>
        <w:numPr>
          <w:ilvl w:val="1"/>
          <w:numId w:val="24"/>
        </w:numPr>
        <w:rPr>
          <w:rFonts w:ascii="Arial" w:cs="Arial" w:eastAsia="Arial" w:hAnsi="Arial"/>
          <w:sz w:val="17"/>
          <w:szCs w:val="17"/>
          <w:color w:val="3A4967"/>
        </w:rPr>
      </w:pPr>
      <w:r>
        <w:rPr>
          <w:rFonts w:ascii="Arial" w:cs="Arial" w:eastAsia="Arial" w:hAnsi="Arial"/>
          <w:sz w:val="17"/>
          <w:szCs w:val="17"/>
          <w:color w:val="3A496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3A4967"/>
        </w:rPr>
      </w:pPr>
    </w:p>
    <w:p>
      <w:pPr>
        <w:jc w:val="both"/>
        <w:ind w:left="1120" w:hanging="332"/>
        <w:spacing w:after="0" w:line="270" w:lineRule="auto"/>
        <w:tabs>
          <w:tab w:leader="none" w:pos="1120" w:val="left"/>
        </w:tabs>
        <w:numPr>
          <w:ilvl w:val="1"/>
          <w:numId w:val="24"/>
        </w:numPr>
        <w:rPr>
          <w:rFonts w:ascii="Arial" w:cs="Arial" w:eastAsia="Arial" w:hAnsi="Arial"/>
          <w:sz w:val="17"/>
          <w:szCs w:val="17"/>
          <w:color w:val="3A4967"/>
        </w:rPr>
      </w:pPr>
      <w:r>
        <w:rPr>
          <w:rFonts w:ascii="Arial" w:cs="Arial" w:eastAsia="Arial" w:hAnsi="Arial"/>
          <w:sz w:val="17"/>
          <w:szCs w:val="17"/>
          <w:color w:val="3A496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3145155</wp:posOffset>
            </wp:positionV>
            <wp:extent cx="2584450" cy="19177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729" w:hanging="333"/>
        <w:spacing w:after="0" w:line="294" w:lineRule="auto"/>
        <w:tabs>
          <w:tab w:leader="none" w:pos="729" w:val="left"/>
        </w:tabs>
        <w:numPr>
          <w:ilvl w:val="1"/>
          <w:numId w:val="25"/>
        </w:numPr>
        <w:rPr>
          <w:rFonts w:ascii="Arial" w:cs="Arial" w:eastAsia="Arial" w:hAnsi="Arial"/>
          <w:sz w:val="16"/>
          <w:szCs w:val="16"/>
          <w:color w:val="3A4967"/>
        </w:rPr>
      </w:pPr>
      <w:r>
        <w:rPr>
          <w:rFonts w:ascii="Arial" w:cs="Arial" w:eastAsia="Arial" w:hAnsi="Arial"/>
          <w:sz w:val="16"/>
          <w:szCs w:val="16"/>
          <w:color w:val="3A496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6"/>
          <w:szCs w:val="16"/>
          <w:color w:val="3A4967"/>
        </w:rPr>
      </w:pPr>
    </w:p>
    <w:p>
      <w:pPr>
        <w:jc w:val="both"/>
        <w:ind w:left="729" w:hanging="333"/>
        <w:spacing w:after="0" w:line="270" w:lineRule="auto"/>
        <w:tabs>
          <w:tab w:leader="none" w:pos="729" w:val="left"/>
        </w:tabs>
        <w:numPr>
          <w:ilvl w:val="1"/>
          <w:numId w:val="25"/>
        </w:numPr>
        <w:rPr>
          <w:rFonts w:ascii="Arial" w:cs="Arial" w:eastAsia="Arial" w:hAnsi="Arial"/>
          <w:sz w:val="17"/>
          <w:szCs w:val="17"/>
          <w:color w:val="3A4967"/>
        </w:rPr>
      </w:pPr>
      <w:r>
        <w:rPr>
          <w:rFonts w:ascii="Arial" w:cs="Arial" w:eastAsia="Arial" w:hAnsi="Arial"/>
          <w:sz w:val="17"/>
          <w:szCs w:val="17"/>
          <w:color w:val="3A496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3A4967"/>
        </w:rPr>
      </w:pPr>
    </w:p>
    <w:p>
      <w:pPr>
        <w:jc w:val="both"/>
        <w:ind w:left="389" w:hanging="389"/>
        <w:spacing w:after="0" w:line="273" w:lineRule="auto"/>
        <w:tabs>
          <w:tab w:leader="none" w:pos="389" w:val="left"/>
        </w:tabs>
        <w:numPr>
          <w:ilvl w:val="0"/>
          <w:numId w:val="26"/>
        </w:numPr>
        <w:rPr>
          <w:rFonts w:ascii="Arial" w:cs="Arial" w:eastAsia="Arial" w:hAnsi="Arial"/>
          <w:sz w:val="17"/>
          <w:szCs w:val="17"/>
          <w:color w:val="3A4967"/>
        </w:rPr>
      </w:pPr>
      <w:r>
        <w:rPr>
          <w:rFonts w:ascii="Arial" w:cs="Arial" w:eastAsia="Arial" w:hAnsi="Arial"/>
          <w:sz w:val="17"/>
          <w:szCs w:val="17"/>
          <w:color w:val="3A4967"/>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Arial" w:cs="Arial" w:eastAsia="Arial" w:hAnsi="Arial"/>
          <w:sz w:val="17"/>
          <w:szCs w:val="17"/>
          <w:color w:val="3A4967"/>
        </w:rPr>
      </w:pPr>
    </w:p>
    <w:p>
      <w:pPr>
        <w:jc w:val="both"/>
        <w:ind w:left="729" w:hanging="333"/>
        <w:spacing w:after="0" w:line="273" w:lineRule="auto"/>
        <w:tabs>
          <w:tab w:leader="none" w:pos="729" w:val="left"/>
        </w:tabs>
        <w:numPr>
          <w:ilvl w:val="1"/>
          <w:numId w:val="26"/>
        </w:numPr>
        <w:rPr>
          <w:rFonts w:ascii="Arial" w:cs="Arial" w:eastAsia="Arial" w:hAnsi="Arial"/>
          <w:sz w:val="17"/>
          <w:szCs w:val="17"/>
          <w:color w:val="3A4967"/>
        </w:rPr>
      </w:pPr>
      <w:r>
        <w:rPr>
          <w:rFonts w:ascii="Arial" w:cs="Arial" w:eastAsia="Arial" w:hAnsi="Arial"/>
          <w:sz w:val="17"/>
          <w:szCs w:val="17"/>
          <w:color w:val="3A496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3A4967"/>
        </w:rPr>
      </w:pPr>
    </w:p>
    <w:p>
      <w:pPr>
        <w:jc w:val="both"/>
        <w:ind w:left="729" w:hanging="333"/>
        <w:spacing w:after="0" w:line="256" w:lineRule="auto"/>
        <w:tabs>
          <w:tab w:leader="none" w:pos="729" w:val="left"/>
        </w:tabs>
        <w:numPr>
          <w:ilvl w:val="1"/>
          <w:numId w:val="26"/>
        </w:numPr>
        <w:rPr>
          <w:rFonts w:ascii="Arial" w:cs="Arial" w:eastAsia="Arial" w:hAnsi="Arial"/>
          <w:sz w:val="18"/>
          <w:szCs w:val="18"/>
          <w:color w:val="3A4967"/>
        </w:rPr>
      </w:pPr>
      <w:r>
        <w:rPr>
          <w:rFonts w:ascii="Arial" w:cs="Arial" w:eastAsia="Arial" w:hAnsi="Arial"/>
          <w:sz w:val="18"/>
          <w:szCs w:val="18"/>
          <w:color w:val="3A4967"/>
        </w:rPr>
        <w:t>Any fraud, whether or not material, that involves management or other employees who have a significant role in the registrant’s internal control over financial reporting.</w:t>
      </w:r>
    </w:p>
    <w:p>
      <w:pPr>
        <w:spacing w:after="0" w:line="66" w:lineRule="exact"/>
        <w:rPr>
          <w:sz w:val="20"/>
          <w:szCs w:val="20"/>
          <w:color w:val="auto"/>
        </w:rPr>
      </w:pPr>
    </w:p>
    <w:p>
      <w:pPr>
        <w:ind w:left="9"/>
        <w:spacing w:after="0"/>
        <w:rPr>
          <w:sz w:val="20"/>
          <w:szCs w:val="20"/>
          <w:color w:val="auto"/>
        </w:rPr>
      </w:pPr>
      <w:r>
        <w:rPr>
          <w:rFonts w:ascii="Arial" w:cs="Arial" w:eastAsia="Arial" w:hAnsi="Arial"/>
          <w:sz w:val="18"/>
          <w:szCs w:val="18"/>
          <w:color w:val="3A4967"/>
        </w:rPr>
        <w:t>Date: February 25, 2025</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3A4967"/>
        </w:rPr>
        <w:t>/s/ Michael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1863725" cy="127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863725" cy="12700"/>
                    </a:xfrm>
                    <a:prstGeom prst="rect">
                      <a:avLst/>
                    </a:prstGeom>
                    <a:noFill/>
                  </pic:spPr>
                </pic:pic>
              </a:graphicData>
            </a:graphic>
          </wp:anchor>
        </w:drawing>
      </w:r>
    </w:p>
    <w:p>
      <w:pPr>
        <w:spacing w:after="0" w:line="46" w:lineRule="exact"/>
        <w:rPr>
          <w:sz w:val="20"/>
          <w:szCs w:val="20"/>
          <w:color w:val="auto"/>
        </w:rPr>
      </w:pPr>
    </w:p>
    <w:p>
      <w:pPr>
        <w:ind w:left="9"/>
        <w:spacing w:after="0"/>
        <w:rPr>
          <w:sz w:val="20"/>
          <w:szCs w:val="20"/>
          <w:color w:val="auto"/>
        </w:rPr>
      </w:pPr>
      <w:r>
        <w:rPr>
          <w:rFonts w:ascii="Arial" w:cs="Arial" w:eastAsia="Arial" w:hAnsi="Arial"/>
          <w:sz w:val="18"/>
          <w:szCs w:val="18"/>
          <w:color w:val="3A4967"/>
        </w:rPr>
        <w:t>Michael Spillane</w:t>
      </w:r>
    </w:p>
    <w:p>
      <w:pPr>
        <w:spacing w:after="0" w:line="13" w:lineRule="exact"/>
        <w:rPr>
          <w:sz w:val="20"/>
          <w:szCs w:val="20"/>
          <w:color w:val="auto"/>
        </w:rPr>
      </w:pPr>
    </w:p>
    <w:p>
      <w:pPr>
        <w:ind w:left="9"/>
        <w:spacing w:after="0"/>
        <w:rPr>
          <w:sz w:val="20"/>
          <w:szCs w:val="20"/>
          <w:color w:val="auto"/>
        </w:rPr>
      </w:pPr>
      <w:r>
        <w:rPr>
          <w:rFonts w:ascii="Arial" w:cs="Arial" w:eastAsia="Arial" w:hAnsi="Arial"/>
          <w:sz w:val="18"/>
          <w:szCs w:val="18"/>
          <w:color w:val="3A4967"/>
        </w:rPr>
        <w:t>President and Chief Executive Officer</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3A4967"/>
        </w:rPr>
        <w:t>[Principal Executive Officer]</w:t>
      </w:r>
    </w:p>
    <w:p>
      <w:pPr>
        <w:spacing w:after="0" w:line="505" w:lineRule="exact"/>
        <w:rPr>
          <w:sz w:val="20"/>
          <w:szCs w:val="20"/>
          <w:color w:val="auto"/>
        </w:rPr>
      </w:pPr>
    </w:p>
    <w:p>
      <w:pPr>
        <w:sectPr>
          <w:pgSz w:w="11880" w:h="15481" w:orient="portrait"/>
          <w:cols w:equalWidth="0" w:num="2">
            <w:col w:w="5320" w:space="331"/>
            <w:col w:w="4929"/>
          </w:cols>
          <w:pgMar w:left="460" w:top="579" w:right="84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72</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82" w:name="page83"/>
    <w:bookmarkEnd w:id="82"/>
    <w:p>
      <w:pPr>
        <w:ind w:left="9649"/>
        <w:spacing w:after="0"/>
        <w:rPr>
          <w:sz w:val="20"/>
          <w:szCs w:val="20"/>
          <w:color w:val="auto"/>
        </w:rPr>
      </w:pPr>
      <w:r>
        <w:rPr>
          <w:rFonts w:ascii="Arial" w:cs="Arial" w:eastAsia="Arial" w:hAnsi="Arial"/>
          <w:sz w:val="13"/>
          <w:szCs w:val="13"/>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6463665" cy="4763"/>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ectPr>
          <w:pgSz w:w="11880" w:h="15481" w:orient="portrait"/>
          <w:cols w:equalWidth="0" w:num="1">
            <w:col w:w="10569"/>
          </w:cols>
          <w:pgMar w:left="851"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
        <w:spacing w:after="0"/>
        <w:rPr>
          <w:sz w:val="20"/>
          <w:szCs w:val="20"/>
          <w:color w:val="auto"/>
        </w:rPr>
      </w:pPr>
      <w:r>
        <w:rPr>
          <w:rFonts w:ascii="Arial" w:cs="Arial" w:eastAsia="Arial" w:hAnsi="Arial"/>
          <w:sz w:val="26"/>
          <w:szCs w:val="26"/>
          <w:b w:val="1"/>
          <w:bCs w:val="1"/>
          <w:color w:val="3A4967"/>
        </w:rPr>
        <w:t>EXHIBIT 31.2</w:t>
      </w:r>
    </w:p>
    <w:p>
      <w:pPr>
        <w:spacing w:after="0" w:line="164" w:lineRule="exact"/>
        <w:rPr>
          <w:sz w:val="20"/>
          <w:szCs w:val="20"/>
          <w:color w:val="auto"/>
        </w:rPr>
      </w:pPr>
    </w:p>
    <w:p>
      <w:pPr>
        <w:ind w:left="9"/>
        <w:spacing w:after="0"/>
        <w:rPr>
          <w:sz w:val="20"/>
          <w:szCs w:val="20"/>
          <w:color w:val="auto"/>
        </w:rPr>
      </w:pPr>
      <w:r>
        <w:rPr>
          <w:rFonts w:ascii="Arial" w:cs="Arial" w:eastAsia="Arial" w:hAnsi="Arial"/>
          <w:sz w:val="18"/>
          <w:szCs w:val="18"/>
          <w:color w:val="3A4967"/>
        </w:rPr>
        <w:t>I, Diego Reynoso, certify that:</w:t>
      </w:r>
    </w:p>
    <w:p>
      <w:pPr>
        <w:spacing w:after="0" w:line="122" w:lineRule="exact"/>
        <w:rPr>
          <w:sz w:val="20"/>
          <w:szCs w:val="20"/>
          <w:color w:val="auto"/>
        </w:rPr>
      </w:pPr>
    </w:p>
    <w:p>
      <w:pPr>
        <w:ind w:left="389" w:right="20" w:hanging="389"/>
        <w:spacing w:after="0" w:line="267" w:lineRule="auto"/>
        <w:tabs>
          <w:tab w:leader="none" w:pos="389" w:val="left"/>
        </w:tabs>
        <w:numPr>
          <w:ilvl w:val="0"/>
          <w:numId w:val="27"/>
        </w:numPr>
        <w:rPr>
          <w:rFonts w:ascii="Arial" w:cs="Arial" w:eastAsia="Arial" w:hAnsi="Arial"/>
          <w:sz w:val="18"/>
          <w:szCs w:val="18"/>
          <w:color w:val="3A4967"/>
        </w:rPr>
      </w:pPr>
      <w:r>
        <w:rPr>
          <w:rFonts w:ascii="Arial" w:cs="Arial" w:eastAsia="Arial" w:hAnsi="Arial"/>
          <w:sz w:val="18"/>
          <w:szCs w:val="18"/>
          <w:color w:val="3A4967"/>
        </w:rPr>
        <w:t>I have reviewed this annual report on Form 10-K of The Boston Beer Company, Inc.;</w:t>
      </w:r>
    </w:p>
    <w:p>
      <w:pPr>
        <w:spacing w:after="0" w:line="56" w:lineRule="exact"/>
        <w:rPr>
          <w:rFonts w:ascii="Arial" w:cs="Arial" w:eastAsia="Arial" w:hAnsi="Arial"/>
          <w:sz w:val="18"/>
          <w:szCs w:val="18"/>
          <w:color w:val="3A4967"/>
        </w:rPr>
      </w:pPr>
    </w:p>
    <w:p>
      <w:pPr>
        <w:jc w:val="both"/>
        <w:ind w:left="389" w:hanging="389"/>
        <w:spacing w:after="0" w:line="294" w:lineRule="auto"/>
        <w:tabs>
          <w:tab w:leader="none" w:pos="389" w:val="left"/>
        </w:tabs>
        <w:numPr>
          <w:ilvl w:val="0"/>
          <w:numId w:val="27"/>
        </w:numPr>
        <w:rPr>
          <w:rFonts w:ascii="Arial" w:cs="Arial" w:eastAsia="Arial" w:hAnsi="Arial"/>
          <w:sz w:val="16"/>
          <w:szCs w:val="16"/>
          <w:color w:val="3A4967"/>
        </w:rPr>
      </w:pPr>
      <w:r>
        <w:rPr>
          <w:rFonts w:ascii="Arial" w:cs="Arial" w:eastAsia="Arial" w:hAnsi="Arial"/>
          <w:sz w:val="16"/>
          <w:szCs w:val="16"/>
          <w:color w:val="3A496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Arial" w:cs="Arial" w:eastAsia="Arial" w:hAnsi="Arial"/>
          <w:sz w:val="16"/>
          <w:szCs w:val="16"/>
          <w:color w:val="3A4967"/>
        </w:rPr>
      </w:pPr>
    </w:p>
    <w:p>
      <w:pPr>
        <w:jc w:val="both"/>
        <w:ind w:left="389" w:hanging="389"/>
        <w:spacing w:after="0" w:line="254" w:lineRule="auto"/>
        <w:tabs>
          <w:tab w:leader="none" w:pos="389" w:val="left"/>
        </w:tabs>
        <w:numPr>
          <w:ilvl w:val="0"/>
          <w:numId w:val="27"/>
        </w:numPr>
        <w:rPr>
          <w:rFonts w:ascii="Arial" w:cs="Arial" w:eastAsia="Arial" w:hAnsi="Arial"/>
          <w:sz w:val="18"/>
          <w:szCs w:val="18"/>
          <w:color w:val="3A4967"/>
        </w:rPr>
      </w:pPr>
      <w:r>
        <w:rPr>
          <w:rFonts w:ascii="Arial" w:cs="Arial" w:eastAsia="Arial" w:hAnsi="Arial"/>
          <w:sz w:val="18"/>
          <w:szCs w:val="18"/>
          <w:color w:val="3A496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8"/>
          <w:szCs w:val="18"/>
          <w:color w:val="3A4967"/>
        </w:rPr>
      </w:pPr>
    </w:p>
    <w:p>
      <w:pPr>
        <w:jc w:val="both"/>
        <w:ind w:left="389" w:hanging="389"/>
        <w:spacing w:after="0" w:line="253" w:lineRule="auto"/>
        <w:tabs>
          <w:tab w:leader="none" w:pos="389" w:val="left"/>
        </w:tabs>
        <w:numPr>
          <w:ilvl w:val="0"/>
          <w:numId w:val="27"/>
        </w:numPr>
        <w:rPr>
          <w:rFonts w:ascii="Arial" w:cs="Arial" w:eastAsia="Arial" w:hAnsi="Arial"/>
          <w:sz w:val="18"/>
          <w:szCs w:val="18"/>
          <w:color w:val="3A4967"/>
        </w:rPr>
      </w:pPr>
      <w:r>
        <w:rPr>
          <w:rFonts w:ascii="Arial" w:cs="Arial" w:eastAsia="Arial" w:hAnsi="Arial"/>
          <w:sz w:val="18"/>
          <w:szCs w:val="18"/>
          <w:color w:val="3A496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Arial" w:cs="Arial" w:eastAsia="Arial" w:hAnsi="Arial"/>
          <w:sz w:val="18"/>
          <w:szCs w:val="18"/>
          <w:color w:val="3A4967"/>
        </w:rPr>
      </w:pPr>
    </w:p>
    <w:p>
      <w:pPr>
        <w:jc w:val="both"/>
        <w:ind w:left="729" w:hanging="332"/>
        <w:spacing w:after="0" w:line="270" w:lineRule="auto"/>
        <w:tabs>
          <w:tab w:leader="none" w:pos="729" w:val="left"/>
        </w:tabs>
        <w:numPr>
          <w:ilvl w:val="1"/>
          <w:numId w:val="27"/>
        </w:numPr>
        <w:rPr>
          <w:rFonts w:ascii="Arial" w:cs="Arial" w:eastAsia="Arial" w:hAnsi="Arial"/>
          <w:sz w:val="17"/>
          <w:szCs w:val="17"/>
          <w:color w:val="3A4967"/>
        </w:rPr>
      </w:pPr>
      <w:r>
        <w:rPr>
          <w:rFonts w:ascii="Arial" w:cs="Arial" w:eastAsia="Arial" w:hAnsi="Arial"/>
          <w:sz w:val="17"/>
          <w:szCs w:val="17"/>
          <w:color w:val="3A496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3A4967"/>
        </w:rPr>
      </w:pPr>
    </w:p>
    <w:p>
      <w:pPr>
        <w:jc w:val="both"/>
        <w:ind w:left="729" w:hanging="332"/>
        <w:spacing w:after="0" w:line="270" w:lineRule="auto"/>
        <w:tabs>
          <w:tab w:leader="none" w:pos="729" w:val="left"/>
        </w:tabs>
        <w:numPr>
          <w:ilvl w:val="1"/>
          <w:numId w:val="27"/>
        </w:numPr>
        <w:rPr>
          <w:rFonts w:ascii="Arial" w:cs="Arial" w:eastAsia="Arial" w:hAnsi="Arial"/>
          <w:sz w:val="17"/>
          <w:szCs w:val="17"/>
          <w:color w:val="3A4967"/>
        </w:rPr>
      </w:pPr>
      <w:r>
        <w:rPr>
          <w:rFonts w:ascii="Arial" w:cs="Arial" w:eastAsia="Arial" w:hAnsi="Arial"/>
          <w:sz w:val="17"/>
          <w:szCs w:val="17"/>
          <w:color w:val="3A496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3A4967"/>
        </w:rPr>
      </w:pPr>
    </w:p>
    <w:p>
      <w:pPr>
        <w:jc w:val="both"/>
        <w:ind w:left="729" w:hanging="332"/>
        <w:spacing w:after="0" w:line="331" w:lineRule="auto"/>
        <w:tabs>
          <w:tab w:leader="none" w:pos="729" w:val="left"/>
        </w:tabs>
        <w:numPr>
          <w:ilvl w:val="1"/>
          <w:numId w:val="27"/>
        </w:numPr>
        <w:rPr>
          <w:rFonts w:ascii="Arial" w:cs="Arial" w:eastAsia="Arial" w:hAnsi="Arial"/>
          <w:sz w:val="16"/>
          <w:szCs w:val="16"/>
          <w:color w:val="3A4967"/>
        </w:rPr>
      </w:pPr>
      <w:r>
        <w:rPr>
          <w:rFonts w:ascii="Arial" w:cs="Arial" w:eastAsia="Arial" w:hAnsi="Arial"/>
          <w:sz w:val="16"/>
          <w:szCs w:val="16"/>
          <w:color w:val="3A4967"/>
        </w:rPr>
        <w:t>Evaluated the effectiveness of the registrant’s disclosure controls and procedures and presented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2786380</wp:posOffset>
            </wp:positionV>
            <wp:extent cx="2584450" cy="19177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4209"/>
        <w:spacing w:after="0"/>
        <w:rPr>
          <w:sz w:val="20"/>
          <w:szCs w:val="20"/>
          <w:color w:val="auto"/>
        </w:rPr>
      </w:pPr>
      <w:r>
        <w:rPr>
          <w:rFonts w:ascii="Arial" w:cs="Arial" w:eastAsia="Arial" w:hAnsi="Arial"/>
          <w:sz w:val="13"/>
          <w:szCs w:val="13"/>
          <w:color w:val="6D7890"/>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729" w:right="380"/>
        <w:spacing w:after="0" w:line="306" w:lineRule="auto"/>
        <w:rPr>
          <w:sz w:val="20"/>
          <w:szCs w:val="20"/>
          <w:color w:val="auto"/>
        </w:rPr>
      </w:pPr>
      <w:r>
        <w:rPr>
          <w:rFonts w:ascii="Arial" w:cs="Arial" w:eastAsia="Arial" w:hAnsi="Arial"/>
          <w:sz w:val="16"/>
          <w:szCs w:val="16"/>
          <w:color w:val="3A4967"/>
        </w:rPr>
        <w:t>our conclusions about the effectiveness of the disclosure controls and procedures, as of the end of the period covered by this report based on such evaluation; and</w:t>
      </w:r>
    </w:p>
    <w:p>
      <w:pPr>
        <w:spacing w:after="0" w:line="29" w:lineRule="exact"/>
        <w:rPr>
          <w:sz w:val="20"/>
          <w:szCs w:val="20"/>
          <w:color w:val="auto"/>
        </w:rPr>
      </w:pPr>
    </w:p>
    <w:p>
      <w:pPr>
        <w:jc w:val="both"/>
        <w:ind w:left="729" w:right="380" w:hanging="333"/>
        <w:spacing w:after="0" w:line="270" w:lineRule="auto"/>
        <w:tabs>
          <w:tab w:leader="none" w:pos="729" w:val="left"/>
        </w:tabs>
        <w:numPr>
          <w:ilvl w:val="1"/>
          <w:numId w:val="28"/>
        </w:numPr>
        <w:rPr>
          <w:rFonts w:ascii="Arial" w:cs="Arial" w:eastAsia="Arial" w:hAnsi="Arial"/>
          <w:sz w:val="17"/>
          <w:szCs w:val="17"/>
          <w:color w:val="3A4967"/>
        </w:rPr>
      </w:pPr>
      <w:r>
        <w:rPr>
          <w:rFonts w:ascii="Arial" w:cs="Arial" w:eastAsia="Arial" w:hAnsi="Arial"/>
          <w:sz w:val="17"/>
          <w:szCs w:val="17"/>
          <w:color w:val="3A496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3A4967"/>
        </w:rPr>
      </w:pPr>
    </w:p>
    <w:p>
      <w:pPr>
        <w:jc w:val="both"/>
        <w:ind w:left="389" w:right="380" w:hanging="389"/>
        <w:spacing w:after="0" w:line="273" w:lineRule="auto"/>
        <w:tabs>
          <w:tab w:leader="none" w:pos="389" w:val="left"/>
        </w:tabs>
        <w:numPr>
          <w:ilvl w:val="0"/>
          <w:numId w:val="29"/>
        </w:numPr>
        <w:rPr>
          <w:rFonts w:ascii="Arial" w:cs="Arial" w:eastAsia="Arial" w:hAnsi="Arial"/>
          <w:sz w:val="17"/>
          <w:szCs w:val="17"/>
          <w:color w:val="3A4967"/>
        </w:rPr>
      </w:pPr>
      <w:r>
        <w:rPr>
          <w:rFonts w:ascii="Arial" w:cs="Arial" w:eastAsia="Arial" w:hAnsi="Arial"/>
          <w:sz w:val="17"/>
          <w:szCs w:val="17"/>
          <w:color w:val="3A4967"/>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Arial" w:cs="Arial" w:eastAsia="Arial" w:hAnsi="Arial"/>
          <w:sz w:val="17"/>
          <w:szCs w:val="17"/>
          <w:color w:val="3A4967"/>
        </w:rPr>
      </w:pPr>
    </w:p>
    <w:p>
      <w:pPr>
        <w:jc w:val="both"/>
        <w:ind w:left="729" w:right="380" w:hanging="333"/>
        <w:spacing w:after="0" w:line="273" w:lineRule="auto"/>
        <w:tabs>
          <w:tab w:leader="none" w:pos="729" w:val="left"/>
        </w:tabs>
        <w:numPr>
          <w:ilvl w:val="1"/>
          <w:numId w:val="29"/>
        </w:numPr>
        <w:rPr>
          <w:rFonts w:ascii="Arial" w:cs="Arial" w:eastAsia="Arial" w:hAnsi="Arial"/>
          <w:sz w:val="17"/>
          <w:szCs w:val="17"/>
          <w:color w:val="3A4967"/>
        </w:rPr>
      </w:pPr>
      <w:r>
        <w:rPr>
          <w:rFonts w:ascii="Arial" w:cs="Arial" w:eastAsia="Arial" w:hAnsi="Arial"/>
          <w:sz w:val="17"/>
          <w:szCs w:val="17"/>
          <w:color w:val="3A496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3A4967"/>
        </w:rPr>
      </w:pPr>
    </w:p>
    <w:p>
      <w:pPr>
        <w:jc w:val="both"/>
        <w:ind w:left="729" w:right="380" w:hanging="333"/>
        <w:spacing w:after="0" w:line="256" w:lineRule="auto"/>
        <w:tabs>
          <w:tab w:leader="none" w:pos="729" w:val="left"/>
        </w:tabs>
        <w:numPr>
          <w:ilvl w:val="1"/>
          <w:numId w:val="29"/>
        </w:numPr>
        <w:rPr>
          <w:rFonts w:ascii="Arial" w:cs="Arial" w:eastAsia="Arial" w:hAnsi="Arial"/>
          <w:sz w:val="18"/>
          <w:szCs w:val="18"/>
          <w:color w:val="3A4967"/>
        </w:rPr>
      </w:pPr>
      <w:r>
        <w:rPr>
          <w:rFonts w:ascii="Arial" w:cs="Arial" w:eastAsia="Arial" w:hAnsi="Arial"/>
          <w:sz w:val="18"/>
          <w:szCs w:val="18"/>
          <w:color w:val="3A4967"/>
        </w:rPr>
        <w:t>Any fraud, whether or not material, that involves management or other employees who have a significant role in the registrant’s internal control over financial reporting.</w:t>
      </w:r>
    </w:p>
    <w:p>
      <w:pPr>
        <w:spacing w:after="0" w:line="66" w:lineRule="exact"/>
        <w:rPr>
          <w:sz w:val="20"/>
          <w:szCs w:val="20"/>
          <w:color w:val="auto"/>
        </w:rPr>
      </w:pPr>
    </w:p>
    <w:p>
      <w:pPr>
        <w:ind w:left="9"/>
        <w:spacing w:after="0"/>
        <w:rPr>
          <w:sz w:val="20"/>
          <w:szCs w:val="20"/>
          <w:color w:val="auto"/>
        </w:rPr>
      </w:pPr>
      <w:r>
        <w:rPr>
          <w:rFonts w:ascii="Arial" w:cs="Arial" w:eastAsia="Arial" w:hAnsi="Arial"/>
          <w:sz w:val="18"/>
          <w:szCs w:val="18"/>
          <w:color w:val="3A4967"/>
        </w:rPr>
        <w:t>Date: February 25, 2025</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8"/>
          <w:szCs w:val="18"/>
          <w:color w:val="3A4967"/>
        </w:rPr>
        <w:t>/s/ Diego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1863725" cy="127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863725" cy="12700"/>
                    </a:xfrm>
                    <a:prstGeom prst="rect">
                      <a:avLst/>
                    </a:prstGeom>
                    <a:noFill/>
                  </pic:spPr>
                </pic:pic>
              </a:graphicData>
            </a:graphic>
          </wp:anchor>
        </w:drawing>
      </w:r>
    </w:p>
    <w:p>
      <w:pPr>
        <w:spacing w:after="0" w:line="46" w:lineRule="exact"/>
        <w:rPr>
          <w:sz w:val="20"/>
          <w:szCs w:val="20"/>
          <w:color w:val="auto"/>
        </w:rPr>
      </w:pPr>
    </w:p>
    <w:p>
      <w:pPr>
        <w:ind w:left="9"/>
        <w:spacing w:after="0"/>
        <w:rPr>
          <w:sz w:val="20"/>
          <w:szCs w:val="20"/>
          <w:color w:val="auto"/>
        </w:rPr>
      </w:pPr>
      <w:r>
        <w:rPr>
          <w:rFonts w:ascii="Arial" w:cs="Arial" w:eastAsia="Arial" w:hAnsi="Arial"/>
          <w:sz w:val="18"/>
          <w:szCs w:val="18"/>
          <w:color w:val="3A4967"/>
        </w:rPr>
        <w:t>Diego Reynoso</w:t>
      </w:r>
    </w:p>
    <w:p>
      <w:pPr>
        <w:spacing w:after="0" w:line="13" w:lineRule="exact"/>
        <w:rPr>
          <w:sz w:val="20"/>
          <w:szCs w:val="20"/>
          <w:color w:val="auto"/>
        </w:rPr>
      </w:pPr>
    </w:p>
    <w:p>
      <w:pPr>
        <w:ind w:left="9"/>
        <w:spacing w:after="0"/>
        <w:rPr>
          <w:sz w:val="20"/>
          <w:szCs w:val="20"/>
          <w:color w:val="auto"/>
        </w:rPr>
      </w:pPr>
      <w:r>
        <w:rPr>
          <w:rFonts w:ascii="Arial" w:cs="Arial" w:eastAsia="Arial" w:hAnsi="Arial"/>
          <w:sz w:val="18"/>
          <w:szCs w:val="18"/>
          <w:color w:val="3A4967"/>
        </w:rPr>
        <w:t>Chief Financial Officer</w:t>
      </w:r>
    </w:p>
    <w:p>
      <w:pPr>
        <w:spacing w:after="0" w:line="9" w:lineRule="exact"/>
        <w:rPr>
          <w:sz w:val="20"/>
          <w:szCs w:val="20"/>
          <w:color w:val="auto"/>
        </w:rPr>
      </w:pPr>
    </w:p>
    <w:p>
      <w:pPr>
        <w:ind w:left="9"/>
        <w:spacing w:after="0"/>
        <w:rPr>
          <w:sz w:val="20"/>
          <w:szCs w:val="20"/>
          <w:color w:val="auto"/>
        </w:rPr>
      </w:pPr>
      <w:r>
        <w:rPr>
          <w:rFonts w:ascii="Arial" w:cs="Arial" w:eastAsia="Arial" w:hAnsi="Arial"/>
          <w:sz w:val="18"/>
          <w:szCs w:val="18"/>
          <w:color w:val="3A4967"/>
        </w:rPr>
        <w:t>[Principal Financial Officer]</w:t>
      </w:r>
    </w:p>
    <w:p>
      <w:pPr>
        <w:spacing w:after="0" w:line="1502" w:lineRule="exact"/>
        <w:rPr>
          <w:sz w:val="20"/>
          <w:szCs w:val="20"/>
          <w:color w:val="auto"/>
        </w:rPr>
      </w:pPr>
    </w:p>
    <w:p>
      <w:pPr>
        <w:sectPr>
          <w:pgSz w:w="11880" w:h="15481" w:orient="portrait"/>
          <w:cols w:equalWidth="0" w:num="2">
            <w:col w:w="4929" w:space="331"/>
            <w:col w:w="5309"/>
          </w:cols>
          <w:pgMar w:left="851" w:top="579" w:right="4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149"/>
        <w:spacing w:after="0"/>
        <w:tabs>
          <w:tab w:leader="none" w:pos="10369"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939925" cy="4763"/>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-97155</wp:posOffset>
            </wp:positionV>
            <wp:extent cx="1939925" cy="4763"/>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-539750</wp:posOffset>
            </wp:positionH>
            <wp:positionV relativeFrom="paragraph">
              <wp:posOffset>205740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205740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9"/>
          </w:cols>
          <w:pgMar w:left="851" w:top="579" w:right="461" w:bottom="0" w:gutter="0" w:footer="0" w:header="0"/>
          <w:type w:val="continuous"/>
        </w:sectPr>
      </w:pPr>
    </w:p>
    <w:bookmarkStart w:id="83" w:name="page84"/>
    <w:bookmarkEnd w:id="83"/>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4"/>
          <w:szCs w:val="14"/>
          <w:color w:val="6D7890"/>
        </w:rPr>
        <w:t>Exhibit 32.1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spacing w:after="0"/>
        <w:tabs>
          <w:tab w:leader="none" w:pos="2360" w:val="left"/>
        </w:tabs>
        <w:rPr>
          <w:sz w:val="20"/>
          <w:szCs w:val="20"/>
          <w:color w:val="auto"/>
        </w:rPr>
      </w:pPr>
      <w:r>
        <w:rPr>
          <w:rFonts w:ascii="Arial" w:cs="Arial" w:eastAsia="Arial" w:hAnsi="Arial"/>
          <w:sz w:val="26"/>
          <w:szCs w:val="26"/>
          <w:b w:val="1"/>
          <w:bCs w:val="1"/>
          <w:color w:val="3A4967"/>
        </w:rPr>
        <w:t>EXHIBIT 32.1</w:t>
      </w:r>
      <w:r>
        <w:rPr>
          <w:rFonts w:ascii="Arial" w:cs="Arial" w:eastAsia="Arial" w:hAnsi="Arial"/>
          <w:sz w:val="26"/>
          <w:szCs w:val="26"/>
          <w:b w:val="1"/>
          <w:bCs w:val="1"/>
          <w:color w:val="6D7890"/>
        </w:rPr>
        <w:tab/>
        <w:t>The Boston Beer Company, Inc. Certification Pursuant To</w:t>
      </w:r>
    </w:p>
    <w:p>
      <w:pPr>
        <w:spacing w:after="0" w:line="21" w:lineRule="exact"/>
        <w:rPr>
          <w:sz w:val="20"/>
          <w:szCs w:val="20"/>
          <w:color w:val="auto"/>
        </w:rPr>
      </w:pPr>
    </w:p>
    <w:p>
      <w:pPr>
        <w:ind w:left="2380"/>
        <w:spacing w:after="0"/>
        <w:rPr>
          <w:sz w:val="20"/>
          <w:szCs w:val="20"/>
          <w:color w:val="auto"/>
        </w:rPr>
      </w:pPr>
      <w:r>
        <w:rPr>
          <w:rFonts w:ascii="Arial" w:cs="Arial" w:eastAsia="Arial" w:hAnsi="Arial"/>
          <w:sz w:val="26"/>
          <w:szCs w:val="26"/>
          <w:b w:val="1"/>
          <w:bCs w:val="1"/>
          <w:color w:val="6D7890"/>
        </w:rPr>
        <w:t>18 U.S.C. Section 1350, As Adopted Pursuant To Section 906</w:t>
      </w:r>
    </w:p>
    <w:p>
      <w:pPr>
        <w:spacing w:after="0" w:line="13" w:lineRule="exact"/>
        <w:rPr>
          <w:sz w:val="20"/>
          <w:szCs w:val="20"/>
          <w:color w:val="auto"/>
        </w:rPr>
      </w:pPr>
    </w:p>
    <w:p>
      <w:pPr>
        <w:ind w:left="2380"/>
        <w:spacing w:after="0"/>
        <w:rPr>
          <w:sz w:val="20"/>
          <w:szCs w:val="20"/>
          <w:color w:val="auto"/>
        </w:rPr>
      </w:pPr>
      <w:r>
        <w:rPr>
          <w:rFonts w:ascii="Arial" w:cs="Arial" w:eastAsia="Arial" w:hAnsi="Arial"/>
          <w:sz w:val="26"/>
          <w:szCs w:val="26"/>
          <w:b w:val="1"/>
          <w:bCs w:val="1"/>
          <w:color w:val="6D7890"/>
        </w:rPr>
        <w:t>of the Sarbanes-Oxley Act of 2002</w:t>
      </w:r>
    </w:p>
    <w:p>
      <w:pPr>
        <w:spacing w:after="0" w:line="156" w:lineRule="exact"/>
        <w:rPr>
          <w:sz w:val="20"/>
          <w:szCs w:val="20"/>
          <w:color w:val="auto"/>
        </w:rPr>
      </w:pPr>
    </w:p>
    <w:p>
      <w:pPr>
        <w:jc w:val="both"/>
        <w:ind w:left="400"/>
        <w:spacing w:after="0" w:line="273" w:lineRule="auto"/>
        <w:rPr>
          <w:sz w:val="20"/>
          <w:szCs w:val="20"/>
          <w:color w:val="auto"/>
        </w:rPr>
      </w:pPr>
      <w:r>
        <w:rPr>
          <w:rFonts w:ascii="Arial" w:cs="Arial" w:eastAsia="Arial" w:hAnsi="Arial"/>
          <w:sz w:val="17"/>
          <w:szCs w:val="17"/>
          <w:color w:val="3A4967"/>
        </w:rPr>
        <w:t>In connection with the Annual Report of The Boston Beer Company, Inc. (the “Company”) on Form 10-K for the period ended December 28, 2024 as filed with the Securities and Exchange Commission (the “Report”), I, Michael Spillane,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Date: February 25, 2025</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/s/ Michael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17780</wp:posOffset>
            </wp:positionV>
            <wp:extent cx="1856105" cy="127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856105" cy="12700"/>
                    </a:xfrm>
                    <a:prstGeom prst="rect">
                      <a:avLst/>
                    </a:prstGeom>
                    <a:noFill/>
                  </pic:spPr>
                </pic:pic>
              </a:graphicData>
            </a:graphic>
          </wp:anchor>
        </w:drawing>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Michael Spillane</w:t>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President and Chief Executive Officer</w:t>
      </w:r>
    </w:p>
    <w:p>
      <w:pPr>
        <w:spacing w:after="0" w:line="118"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3A4967"/>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5522595</wp:posOffset>
            </wp:positionV>
            <wp:extent cx="2584450" cy="19177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74</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84" w:name="page85"/>
    <w:bookmarkEnd w:id="84"/>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463665" cy="4763"/>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380"/>
        <w:spacing w:after="0"/>
        <w:rPr>
          <w:sz w:val="20"/>
          <w:szCs w:val="20"/>
          <w:color w:val="auto"/>
        </w:rPr>
      </w:pPr>
      <w:r>
        <w:rPr>
          <w:rFonts w:ascii="Arial" w:cs="Arial" w:eastAsia="Arial" w:hAnsi="Arial"/>
          <w:sz w:val="14"/>
          <w:szCs w:val="14"/>
          <w:color w:val="6D7890"/>
        </w:rPr>
        <w:t>Exhibit 32.2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1960" w:val="left"/>
        </w:tabs>
        <w:rPr>
          <w:sz w:val="20"/>
          <w:szCs w:val="20"/>
          <w:color w:val="auto"/>
        </w:rPr>
      </w:pPr>
      <w:r>
        <w:rPr>
          <w:rFonts w:ascii="Arial" w:cs="Arial" w:eastAsia="Arial" w:hAnsi="Arial"/>
          <w:sz w:val="26"/>
          <w:szCs w:val="26"/>
          <w:b w:val="1"/>
          <w:bCs w:val="1"/>
          <w:color w:val="3A4967"/>
        </w:rPr>
        <w:t>EXHIBIT 32.2</w:t>
      </w:r>
      <w:r>
        <w:rPr>
          <w:rFonts w:ascii="Arial" w:cs="Arial" w:eastAsia="Arial" w:hAnsi="Arial"/>
          <w:sz w:val="26"/>
          <w:szCs w:val="26"/>
          <w:b w:val="1"/>
          <w:bCs w:val="1"/>
          <w:color w:val="6D7890"/>
        </w:rPr>
        <w:tab/>
        <w:t>The Boston Beer Company, Inc. Certification Pursuant To</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26"/>
          <w:szCs w:val="26"/>
          <w:b w:val="1"/>
          <w:bCs w:val="1"/>
          <w:color w:val="6D7890"/>
        </w:rPr>
        <w:t>18 U.S.C. Section 1350, As Adopted Pursuant To Section 906</w:t>
      </w:r>
    </w:p>
    <w:p>
      <w:pPr>
        <w:spacing w:after="0" w:line="13" w:lineRule="exact"/>
        <w:rPr>
          <w:sz w:val="20"/>
          <w:szCs w:val="20"/>
          <w:color w:val="auto"/>
        </w:rPr>
      </w:pPr>
    </w:p>
    <w:p>
      <w:pPr>
        <w:ind w:left="1980"/>
        <w:spacing w:after="0"/>
        <w:rPr>
          <w:sz w:val="20"/>
          <w:szCs w:val="20"/>
          <w:color w:val="auto"/>
        </w:rPr>
      </w:pPr>
      <w:r>
        <w:rPr>
          <w:rFonts w:ascii="Arial" w:cs="Arial" w:eastAsia="Arial" w:hAnsi="Arial"/>
          <w:sz w:val="26"/>
          <w:szCs w:val="26"/>
          <w:b w:val="1"/>
          <w:bCs w:val="1"/>
          <w:color w:val="6D7890"/>
        </w:rPr>
        <w:t>of the Sarbanes-Oxley Act of 2002</w:t>
      </w:r>
    </w:p>
    <w:p>
      <w:pPr>
        <w:spacing w:after="0" w:line="156" w:lineRule="exact"/>
        <w:rPr>
          <w:sz w:val="20"/>
          <w:szCs w:val="20"/>
          <w:color w:val="auto"/>
        </w:rPr>
      </w:pPr>
    </w:p>
    <w:p>
      <w:pPr>
        <w:jc w:val="both"/>
        <w:ind w:right="380"/>
        <w:spacing w:after="0" w:line="254" w:lineRule="auto"/>
        <w:rPr>
          <w:sz w:val="20"/>
          <w:szCs w:val="20"/>
          <w:color w:val="auto"/>
        </w:rPr>
      </w:pPr>
      <w:r>
        <w:rPr>
          <w:rFonts w:ascii="Arial" w:cs="Arial" w:eastAsia="Arial" w:hAnsi="Arial"/>
          <w:sz w:val="18"/>
          <w:szCs w:val="18"/>
          <w:color w:val="3A4967"/>
        </w:rPr>
        <w:t>In connection with the Annual Report of The Boston Beer Company, Inc. (the “Company”) on Form 10-K for the period ended December 28, 2024 as filed with the Securities and Exchange Commission (the “Report”), I, Diego Reynoso,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3A4967"/>
        </w:rPr>
        <w:t>Date: February 25,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A4967"/>
        </w:rPr>
        <w:t>/s/ Diego Reynoso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56105" cy="127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856105" cy="1270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3A4967"/>
        </w:rPr>
        <w:t>Diego Reynoso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3A4967"/>
        </w:rPr>
        <w:t>Chief Financial Officer</w:t>
      </w:r>
    </w:p>
    <w:p>
      <w:pPr>
        <w:spacing w:after="0" w:line="118"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3A4967"/>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5522595</wp:posOffset>
            </wp:positionV>
            <wp:extent cx="2584450" cy="19177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140"/>
        <w:spacing w:after="0"/>
        <w:tabs>
          <w:tab w:leader="none" w:pos="10360"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939925" cy="4763"/>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-97155</wp:posOffset>
            </wp:positionV>
            <wp:extent cx="1939925" cy="4763"/>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205740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6990080</wp:posOffset>
            </wp:positionH>
            <wp:positionV relativeFrom="paragraph">
              <wp:posOffset>205740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0"/>
          </w:cols>
          <w:pgMar w:left="860" w:top="579" w:right="461" w:bottom="0" w:gutter="0" w:footer="0" w:header="0"/>
          <w:type w:val="continuous"/>
        </w:sectPr>
      </w:pPr>
    </w:p>
    <w:bookmarkStart w:id="85" w:name="page86"/>
    <w:bookmarkEnd w:id="85"/>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4"/>
          <w:szCs w:val="14"/>
          <w:color w:val="6D7890"/>
        </w:rPr>
        <w:t>Exhibit 97.1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spacing w:after="0"/>
        <w:tabs>
          <w:tab w:leader="none" w:pos="2360" w:val="left"/>
        </w:tabs>
        <w:rPr>
          <w:sz w:val="20"/>
          <w:szCs w:val="20"/>
          <w:color w:val="auto"/>
        </w:rPr>
      </w:pPr>
      <w:r>
        <w:rPr>
          <w:rFonts w:ascii="Arial" w:cs="Arial" w:eastAsia="Arial" w:hAnsi="Arial"/>
          <w:sz w:val="26"/>
          <w:szCs w:val="26"/>
          <w:b w:val="1"/>
          <w:bCs w:val="1"/>
          <w:color w:val="3A4967"/>
        </w:rPr>
        <w:t>EXHIBIT 97.1</w:t>
      </w:r>
      <w:r>
        <w:rPr>
          <w:rFonts w:ascii="Arial" w:cs="Arial" w:eastAsia="Arial" w:hAnsi="Arial"/>
          <w:sz w:val="26"/>
          <w:szCs w:val="26"/>
          <w:b w:val="1"/>
          <w:bCs w:val="1"/>
          <w:color w:val="6D7890"/>
        </w:rPr>
        <w:tab/>
        <w:t>The Boston Beer Company, Inc.</w:t>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3A4967"/>
        </w:rPr>
        <w:t>Clawback Policy</w:t>
      </w:r>
    </w:p>
    <w:p>
      <w:pPr>
        <w:spacing w:after="0" w:line="163" w:lineRule="exact"/>
        <w:rPr>
          <w:sz w:val="20"/>
          <w:szCs w:val="20"/>
          <w:color w:val="auto"/>
        </w:rPr>
      </w:pPr>
    </w:p>
    <w:p>
      <w:pPr>
        <w:jc w:val="both"/>
        <w:ind w:left="680" w:hanging="289"/>
        <w:spacing w:after="0" w:line="253" w:lineRule="auto"/>
        <w:tabs>
          <w:tab w:leader="none" w:pos="680" w:val="left"/>
        </w:tabs>
        <w:numPr>
          <w:ilvl w:val="0"/>
          <w:numId w:val="30"/>
        </w:numPr>
        <w:rPr>
          <w:rFonts w:ascii="Arial" w:cs="Arial" w:eastAsia="Arial" w:hAnsi="Arial"/>
          <w:sz w:val="18"/>
          <w:szCs w:val="18"/>
          <w:color w:val="3A4967"/>
        </w:rPr>
      </w:pPr>
      <w:r>
        <w:rPr>
          <w:rFonts w:ascii="Arial" w:cs="Arial" w:eastAsia="Arial" w:hAnsi="Arial"/>
          <w:sz w:val="18"/>
          <w:szCs w:val="18"/>
          <w:b w:val="1"/>
          <w:bCs w:val="1"/>
          <w:color w:val="3A4967"/>
        </w:rPr>
        <w:t xml:space="preserve">Introduction. </w:t>
      </w:r>
      <w:r>
        <w:rPr>
          <w:rFonts w:ascii="Arial" w:cs="Arial" w:eastAsia="Arial" w:hAnsi="Arial"/>
          <w:sz w:val="18"/>
          <w:szCs w:val="18"/>
          <w:color w:val="3A4967"/>
        </w:rPr>
        <w:t>The Board of Directors (the “Board”) of The Boston Beer Company, Inc. (the “Company”) believes that it is in</w:t>
      </w:r>
      <w:r>
        <w:rPr>
          <w:rFonts w:ascii="Arial" w:cs="Arial" w:eastAsia="Arial" w:hAnsi="Arial"/>
          <w:sz w:val="18"/>
          <w:szCs w:val="18"/>
          <w:b w:val="1"/>
          <w:bCs w:val="1"/>
          <w:color w:val="3A4967"/>
        </w:rPr>
        <w:t xml:space="preserve"> </w:t>
      </w:r>
      <w:r>
        <w:rPr>
          <w:rFonts w:ascii="Arial" w:cs="Arial" w:eastAsia="Arial" w:hAnsi="Arial"/>
          <w:sz w:val="18"/>
          <w:szCs w:val="18"/>
          <w:color w:val="3A4967"/>
        </w:rPr>
        <w:t>the best interests of the Company to maintain a culture that emphasizes integrity and accountability and that reinforces the Company’s pay-for-performance compensation philosophy. The Board has therefore adopted this Clawback Policy (the “Policy”), which provides for the recoupment of certain executive compensation in the event of an accounting restatement resulting from material noncompliance with financial reporting requirements under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“Restatement”).</w:t>
      </w:r>
    </w:p>
    <w:p>
      <w:pPr>
        <w:spacing w:after="0" w:line="39" w:lineRule="exact"/>
        <w:rPr>
          <w:rFonts w:ascii="Arial" w:cs="Arial" w:eastAsia="Arial" w:hAnsi="Arial"/>
          <w:sz w:val="18"/>
          <w:szCs w:val="18"/>
          <w:color w:val="3A4967"/>
        </w:rPr>
      </w:pPr>
    </w:p>
    <w:p>
      <w:pPr>
        <w:ind w:left="680" w:hanging="289"/>
        <w:spacing w:after="0" w:line="269" w:lineRule="auto"/>
        <w:tabs>
          <w:tab w:leader="none" w:pos="680" w:val="left"/>
        </w:tabs>
        <w:numPr>
          <w:ilvl w:val="0"/>
          <w:numId w:val="30"/>
        </w:numPr>
        <w:rPr>
          <w:rFonts w:ascii="Arial" w:cs="Arial" w:eastAsia="Arial" w:hAnsi="Arial"/>
          <w:sz w:val="18"/>
          <w:szCs w:val="18"/>
          <w:color w:val="3A4967"/>
        </w:rPr>
      </w:pPr>
      <w:r>
        <w:rPr>
          <w:rFonts w:ascii="Arial" w:cs="Arial" w:eastAsia="Arial" w:hAnsi="Arial"/>
          <w:sz w:val="18"/>
          <w:szCs w:val="18"/>
          <w:b w:val="1"/>
          <w:bCs w:val="1"/>
          <w:color w:val="3A4967"/>
        </w:rPr>
        <w:t xml:space="preserve">Administration. </w:t>
      </w:r>
      <w:r>
        <w:rPr>
          <w:rFonts w:ascii="Arial" w:cs="Arial" w:eastAsia="Arial" w:hAnsi="Arial"/>
          <w:sz w:val="18"/>
          <w:szCs w:val="18"/>
          <w:color w:val="3A4967"/>
        </w:rPr>
        <w:t>This Policy shall be administered by the Board’s Compensation Committee (the “Committee”). Any determinations</w:t>
      </w:r>
      <w:r>
        <w:rPr>
          <w:rFonts w:ascii="Arial" w:cs="Arial" w:eastAsia="Arial" w:hAnsi="Arial"/>
          <w:sz w:val="18"/>
          <w:szCs w:val="18"/>
          <w:b w:val="1"/>
          <w:bCs w:val="1"/>
          <w:color w:val="3A4967"/>
        </w:rPr>
        <w:t xml:space="preserve"> </w:t>
      </w:r>
      <w:r>
        <w:rPr>
          <w:rFonts w:ascii="Arial" w:cs="Arial" w:eastAsia="Arial" w:hAnsi="Arial"/>
          <w:sz w:val="18"/>
          <w:szCs w:val="18"/>
          <w:color w:val="3A4967"/>
        </w:rPr>
        <w:t>made by the Committee shall be final and binding.</w:t>
      </w:r>
    </w:p>
    <w:p>
      <w:pPr>
        <w:spacing w:after="0" w:line="24" w:lineRule="exact"/>
        <w:rPr>
          <w:rFonts w:ascii="Arial" w:cs="Arial" w:eastAsia="Arial" w:hAnsi="Arial"/>
          <w:sz w:val="18"/>
          <w:szCs w:val="18"/>
          <w:color w:val="3A4967"/>
        </w:rPr>
      </w:pPr>
    </w:p>
    <w:p>
      <w:pPr>
        <w:jc w:val="both"/>
        <w:ind w:left="680" w:hanging="289"/>
        <w:spacing w:after="0" w:line="260" w:lineRule="auto"/>
        <w:tabs>
          <w:tab w:leader="none" w:pos="680" w:val="left"/>
        </w:tabs>
        <w:numPr>
          <w:ilvl w:val="0"/>
          <w:numId w:val="30"/>
        </w:numPr>
        <w:rPr>
          <w:rFonts w:ascii="Arial" w:cs="Arial" w:eastAsia="Arial" w:hAnsi="Arial"/>
          <w:sz w:val="18"/>
          <w:szCs w:val="18"/>
          <w:color w:val="3A4967"/>
        </w:rPr>
      </w:pPr>
      <w:r>
        <w:rPr>
          <w:rFonts w:ascii="Arial" w:cs="Arial" w:eastAsia="Arial" w:hAnsi="Arial"/>
          <w:sz w:val="18"/>
          <w:szCs w:val="18"/>
          <w:b w:val="1"/>
          <w:bCs w:val="1"/>
          <w:color w:val="3A4967"/>
        </w:rPr>
        <w:t xml:space="preserve">Covered Executives. </w:t>
      </w:r>
      <w:r>
        <w:rPr>
          <w:rFonts w:ascii="Arial" w:cs="Arial" w:eastAsia="Arial" w:hAnsi="Arial"/>
          <w:sz w:val="18"/>
          <w:szCs w:val="18"/>
          <w:color w:val="3A4967"/>
        </w:rPr>
        <w:t>This Policy applies to any person, who is or was an “Executive Officer,” as such term is defined in Rule 10D-1</w:t>
      </w:r>
      <w:r>
        <w:rPr>
          <w:rFonts w:ascii="Arial" w:cs="Arial" w:eastAsia="Arial" w:hAnsi="Arial"/>
          <w:sz w:val="18"/>
          <w:szCs w:val="18"/>
          <w:b w:val="1"/>
          <w:bCs w:val="1"/>
          <w:color w:val="3A4967"/>
        </w:rPr>
        <w:t xml:space="preserve"> </w:t>
      </w:r>
      <w:r>
        <w:rPr>
          <w:rFonts w:ascii="Arial" w:cs="Arial" w:eastAsia="Arial" w:hAnsi="Arial"/>
          <w:sz w:val="18"/>
          <w:szCs w:val="18"/>
          <w:color w:val="3A4967"/>
        </w:rPr>
        <w:t>of the Securities Exchange Act of 1934, as amended (the “Exchange Act”), and Section 303A.14 of the New York Stock Exchange (“NYSE”) listing standards (“Covered Executives”).</w:t>
      </w:r>
    </w:p>
    <w:p>
      <w:pPr>
        <w:spacing w:after="0" w:line="31" w:lineRule="exact"/>
        <w:rPr>
          <w:rFonts w:ascii="Arial" w:cs="Arial" w:eastAsia="Arial" w:hAnsi="Arial"/>
          <w:sz w:val="18"/>
          <w:szCs w:val="18"/>
          <w:color w:val="3A4967"/>
        </w:rPr>
      </w:pPr>
    </w:p>
    <w:p>
      <w:pPr>
        <w:jc w:val="both"/>
        <w:ind w:left="680" w:hanging="289"/>
        <w:spacing w:after="0" w:line="260" w:lineRule="auto"/>
        <w:tabs>
          <w:tab w:leader="none" w:pos="680" w:val="left"/>
        </w:tabs>
        <w:numPr>
          <w:ilvl w:val="0"/>
          <w:numId w:val="30"/>
        </w:numPr>
        <w:rPr>
          <w:rFonts w:ascii="Arial" w:cs="Arial" w:eastAsia="Arial" w:hAnsi="Arial"/>
          <w:sz w:val="18"/>
          <w:szCs w:val="18"/>
          <w:color w:val="3A4967"/>
        </w:rPr>
      </w:pPr>
      <w:r>
        <w:rPr>
          <w:rFonts w:ascii="Arial" w:cs="Arial" w:eastAsia="Arial" w:hAnsi="Arial"/>
          <w:sz w:val="18"/>
          <w:szCs w:val="18"/>
          <w:b w:val="1"/>
          <w:bCs w:val="1"/>
          <w:color w:val="3A4967"/>
        </w:rPr>
        <w:t xml:space="preserve">Recoupment; Accounting Restatement. </w:t>
      </w:r>
      <w:r>
        <w:rPr>
          <w:rFonts w:ascii="Arial" w:cs="Arial" w:eastAsia="Arial" w:hAnsi="Arial"/>
          <w:sz w:val="18"/>
          <w:szCs w:val="18"/>
          <w:color w:val="3A4967"/>
        </w:rPr>
        <w:t>In the event the Company is required to prepare a Restatement, the Committee will</w:t>
      </w:r>
      <w:r>
        <w:rPr>
          <w:rFonts w:ascii="Arial" w:cs="Arial" w:eastAsia="Arial" w:hAnsi="Arial"/>
          <w:sz w:val="18"/>
          <w:szCs w:val="18"/>
          <w:b w:val="1"/>
          <w:bCs w:val="1"/>
          <w:color w:val="3A4967"/>
        </w:rPr>
        <w:t xml:space="preserve"> </w:t>
      </w:r>
      <w:r>
        <w:rPr>
          <w:rFonts w:ascii="Arial" w:cs="Arial" w:eastAsia="Arial" w:hAnsi="Arial"/>
          <w:sz w:val="18"/>
          <w:szCs w:val="18"/>
          <w:color w:val="3A4967"/>
        </w:rPr>
        <w:t>require the reasonably prompt recovery of any excess Incentive Compensation received by any Covered Executive, without regard to whether or not the Covered Executive committed any misconduct that led to the Restatement.</w:t>
      </w:r>
    </w:p>
    <w:p>
      <w:pPr>
        <w:spacing w:after="0" w:line="31" w:lineRule="exact"/>
        <w:rPr>
          <w:rFonts w:ascii="Arial" w:cs="Arial" w:eastAsia="Arial" w:hAnsi="Arial"/>
          <w:sz w:val="18"/>
          <w:szCs w:val="18"/>
          <w:color w:val="3A4967"/>
        </w:rPr>
      </w:pPr>
    </w:p>
    <w:p>
      <w:pPr>
        <w:jc w:val="both"/>
        <w:ind w:left="680" w:hanging="289"/>
        <w:spacing w:after="0" w:line="255" w:lineRule="auto"/>
        <w:tabs>
          <w:tab w:leader="none" w:pos="680" w:val="left"/>
        </w:tabs>
        <w:numPr>
          <w:ilvl w:val="0"/>
          <w:numId w:val="30"/>
        </w:numPr>
        <w:rPr>
          <w:rFonts w:ascii="Arial" w:cs="Arial" w:eastAsia="Arial" w:hAnsi="Arial"/>
          <w:sz w:val="18"/>
          <w:szCs w:val="18"/>
          <w:color w:val="3A4967"/>
        </w:rPr>
      </w:pPr>
      <w:r>
        <w:rPr>
          <w:rFonts w:ascii="Arial" w:cs="Arial" w:eastAsia="Arial" w:hAnsi="Arial"/>
          <w:sz w:val="18"/>
          <w:szCs w:val="18"/>
          <w:b w:val="1"/>
          <w:bCs w:val="1"/>
          <w:color w:val="3A4967"/>
        </w:rPr>
        <w:t xml:space="preserve">Incentive Compensation. </w:t>
      </w:r>
      <w:r>
        <w:rPr>
          <w:rFonts w:ascii="Arial" w:cs="Arial" w:eastAsia="Arial" w:hAnsi="Arial"/>
          <w:sz w:val="18"/>
          <w:szCs w:val="18"/>
          <w:color w:val="3A4967"/>
        </w:rPr>
        <w:t>For purposes of this Policy, “Incentive Compensation” means any compensation that is granted, earned,</w:t>
      </w:r>
      <w:r>
        <w:rPr>
          <w:rFonts w:ascii="Arial" w:cs="Arial" w:eastAsia="Arial" w:hAnsi="Arial"/>
          <w:sz w:val="18"/>
          <w:szCs w:val="18"/>
          <w:b w:val="1"/>
          <w:bCs w:val="1"/>
          <w:color w:val="3A4967"/>
        </w:rPr>
        <w:t xml:space="preserve"> </w:t>
      </w:r>
      <w:r>
        <w:rPr>
          <w:rFonts w:ascii="Arial" w:cs="Arial" w:eastAsia="Arial" w:hAnsi="Arial"/>
          <w:sz w:val="18"/>
          <w:szCs w:val="18"/>
          <w:color w:val="3A4967"/>
        </w:rPr>
        <w:t>or vested, based wholly or in part on the attainment of a financial reporting measure, including but not limited to cash bonuses, stock options, and restricted stock. Examples of “financial reporting measures” include but are not limited to depletions, earnings, EBIT, EBIDTA, EPS, revenue, revenue growth, resource efficiency, company stock price, total shareholder return, net income, and liquidity measures.</w:t>
      </w:r>
    </w:p>
    <w:p>
      <w:pPr>
        <w:spacing w:after="0" w:line="37" w:lineRule="exact"/>
        <w:rPr>
          <w:rFonts w:ascii="Arial" w:cs="Arial" w:eastAsia="Arial" w:hAnsi="Arial"/>
          <w:sz w:val="18"/>
          <w:szCs w:val="18"/>
          <w:color w:val="3A4967"/>
        </w:rPr>
      </w:pPr>
    </w:p>
    <w:p>
      <w:pPr>
        <w:jc w:val="both"/>
        <w:ind w:left="680" w:hanging="289"/>
        <w:spacing w:after="0" w:line="269" w:lineRule="auto"/>
        <w:tabs>
          <w:tab w:leader="none" w:pos="680" w:val="left"/>
        </w:tabs>
        <w:numPr>
          <w:ilvl w:val="0"/>
          <w:numId w:val="30"/>
        </w:numPr>
        <w:rPr>
          <w:rFonts w:ascii="Arial" w:cs="Arial" w:eastAsia="Arial" w:hAnsi="Arial"/>
          <w:sz w:val="17"/>
          <w:szCs w:val="17"/>
          <w:color w:val="3A4967"/>
        </w:rPr>
      </w:pPr>
      <w:r>
        <w:rPr>
          <w:rFonts w:ascii="Arial" w:cs="Arial" w:eastAsia="Arial" w:hAnsi="Arial"/>
          <w:sz w:val="17"/>
          <w:szCs w:val="17"/>
          <w:b w:val="1"/>
          <w:bCs w:val="1"/>
          <w:color w:val="3A4967"/>
        </w:rPr>
        <w:t xml:space="preserve">Excess Incentive Compensation: Amount Subject to Recovery. </w:t>
      </w:r>
      <w:r>
        <w:rPr>
          <w:rFonts w:ascii="Arial" w:cs="Arial" w:eastAsia="Arial" w:hAnsi="Arial"/>
          <w:sz w:val="17"/>
          <w:szCs w:val="17"/>
          <w:color w:val="3A4967"/>
        </w:rPr>
        <w:t>The amount to be recovered will be the excess of the Incentive</w:t>
      </w:r>
      <w:r>
        <w:rPr>
          <w:rFonts w:ascii="Arial" w:cs="Arial" w:eastAsia="Arial" w:hAnsi="Arial"/>
          <w:sz w:val="17"/>
          <w:szCs w:val="17"/>
          <w:b w:val="1"/>
          <w:bCs w:val="1"/>
          <w:color w:val="3A4967"/>
        </w:rPr>
        <w:t xml:space="preserve"> </w:t>
      </w:r>
      <w:r>
        <w:rPr>
          <w:rFonts w:ascii="Arial" w:cs="Arial" w:eastAsia="Arial" w:hAnsi="Arial"/>
          <w:sz w:val="17"/>
          <w:szCs w:val="17"/>
          <w:color w:val="3A4967"/>
        </w:rPr>
        <w:t>Compensation received by the Covered Executive based on the erroneous data that led to the need for the Restatement, over the Incentive Compensation that would have been paid to the Covered Executive had it been based on the restated results, computed without regard to any taxes paid, all as determined by the Committee. If the Committee cannot determine the amount of excess Incentive Compensation received by the Covered Executive directly from the information in the Restatement, then it will make its determination based on a reasonable estimate of the effect of the Restatement. The Committee shall document the analysis underlying its reasonable estimate and provide such documentation to the NYSE as required. For purposes of this Policy, excess Incentive Compensation will be deemed to be received in the fiscal period during which the financial reporting measure specified in the applicable Incentive Compensation award is attained, even if the payment or grant occurs after the end of that period.</w:t>
      </w:r>
    </w:p>
    <w:p>
      <w:pPr>
        <w:spacing w:after="0" w:line="30" w:lineRule="exact"/>
        <w:rPr>
          <w:rFonts w:ascii="Arial" w:cs="Arial" w:eastAsia="Arial" w:hAnsi="Arial"/>
          <w:sz w:val="17"/>
          <w:szCs w:val="17"/>
          <w:color w:val="3A4967"/>
        </w:rPr>
      </w:pPr>
    </w:p>
    <w:p>
      <w:pPr>
        <w:jc w:val="both"/>
        <w:ind w:left="680"/>
        <w:spacing w:after="0" w:line="253" w:lineRule="auto"/>
        <w:rPr>
          <w:rFonts w:ascii="Arial" w:cs="Arial" w:eastAsia="Arial" w:hAnsi="Arial"/>
          <w:sz w:val="17"/>
          <w:szCs w:val="17"/>
          <w:color w:val="3A4967"/>
        </w:rPr>
      </w:pPr>
      <w:r>
        <w:rPr>
          <w:rFonts w:ascii="Arial" w:cs="Arial" w:eastAsia="Arial" w:hAnsi="Arial"/>
          <w:sz w:val="18"/>
          <w:szCs w:val="18"/>
          <w:color w:val="3A4967"/>
        </w:rPr>
        <w:t>For purposes of this Policy, the recoverable excess Incentive Compensation shall be all excess Incentive Compensation received on or after the Effective Date of this Policy set forth below by a Covered Executive: who served as an Executive Officer at any time during the performance period for the applicable Incentive Compensation, if the Company has a class of securities listed on a national securities exchange or a national securities association during such performance period or at any time during the three completed fiscal years immediately preceding the date that the Company is required to prepare a Restatement, including any applicable transition period that results from a change in the Company’s fiscal year within or immediately following those three completed fiscal years.</w:t>
      </w:r>
    </w:p>
    <w:p>
      <w:pPr>
        <w:spacing w:after="0" w:line="41" w:lineRule="exact"/>
        <w:rPr>
          <w:rFonts w:ascii="Arial" w:cs="Arial" w:eastAsia="Arial" w:hAnsi="Arial"/>
          <w:sz w:val="17"/>
          <w:szCs w:val="17"/>
          <w:color w:val="3A4967"/>
        </w:rPr>
      </w:pPr>
    </w:p>
    <w:p>
      <w:pPr>
        <w:jc w:val="both"/>
        <w:ind w:left="680"/>
        <w:spacing w:after="0" w:line="273" w:lineRule="auto"/>
        <w:rPr>
          <w:rFonts w:ascii="Arial" w:cs="Arial" w:eastAsia="Arial" w:hAnsi="Arial"/>
          <w:sz w:val="17"/>
          <w:szCs w:val="17"/>
          <w:color w:val="3A4967"/>
        </w:rPr>
      </w:pPr>
      <w:r>
        <w:rPr>
          <w:rFonts w:ascii="Arial" w:cs="Arial" w:eastAsia="Arial" w:hAnsi="Arial"/>
          <w:sz w:val="17"/>
          <w:szCs w:val="17"/>
          <w:color w:val="3A4967"/>
        </w:rPr>
        <w:t>For this purpose, the Company is deemed to be required to prepare a Restatement on the earlier of: (i) the date the Board, or the Company’s officers authorized to take such action if Board action is not required, concludes, or reasonably should have concluded, that the Company is required to prepare a Restatement; and/or (ii) the date a court, regulator or other legally authorized body directs the Company to prepare a Restatement. The Company’s obligation to recover excess Incentive Compensation is not dependent on if or when the restated financial statements are filed with the Securities and Exchange Commission (“SEC”).</w:t>
      </w:r>
    </w:p>
    <w:p>
      <w:pPr>
        <w:spacing w:after="0" w:line="23" w:lineRule="exact"/>
        <w:rPr>
          <w:rFonts w:ascii="Arial" w:cs="Arial" w:eastAsia="Arial" w:hAnsi="Arial"/>
          <w:sz w:val="17"/>
          <w:szCs w:val="17"/>
          <w:color w:val="3A4967"/>
        </w:rPr>
      </w:pPr>
    </w:p>
    <w:p>
      <w:pPr>
        <w:jc w:val="both"/>
        <w:ind w:left="680" w:hanging="289"/>
        <w:spacing w:after="0" w:line="254" w:lineRule="auto"/>
        <w:tabs>
          <w:tab w:leader="none" w:pos="680" w:val="left"/>
        </w:tabs>
        <w:numPr>
          <w:ilvl w:val="0"/>
          <w:numId w:val="30"/>
        </w:numPr>
        <w:rPr>
          <w:rFonts w:ascii="Arial" w:cs="Arial" w:eastAsia="Arial" w:hAnsi="Arial"/>
          <w:sz w:val="18"/>
          <w:szCs w:val="18"/>
          <w:color w:val="3A4967"/>
        </w:rPr>
      </w:pPr>
      <w:r>
        <w:rPr>
          <w:rFonts w:ascii="Arial" w:cs="Arial" w:eastAsia="Arial" w:hAnsi="Arial"/>
          <w:sz w:val="18"/>
          <w:szCs w:val="18"/>
          <w:b w:val="1"/>
          <w:bCs w:val="1"/>
          <w:color w:val="3A4967"/>
        </w:rPr>
        <w:t xml:space="preserve">Method of Recoupment. </w:t>
      </w:r>
      <w:r>
        <w:rPr>
          <w:rFonts w:ascii="Arial" w:cs="Arial" w:eastAsia="Arial" w:hAnsi="Arial"/>
          <w:sz w:val="18"/>
          <w:szCs w:val="18"/>
          <w:color w:val="3A4967"/>
        </w:rPr>
        <w:t>The Committee will determine, in its sole discretion, the method for recouping Incentive Compensation</w:t>
      </w:r>
      <w:r>
        <w:rPr>
          <w:rFonts w:ascii="Arial" w:cs="Arial" w:eastAsia="Arial" w:hAnsi="Arial"/>
          <w:sz w:val="18"/>
          <w:szCs w:val="18"/>
          <w:b w:val="1"/>
          <w:bCs w:val="1"/>
          <w:color w:val="3A4967"/>
        </w:rPr>
        <w:t xml:space="preserve"> </w:t>
      </w:r>
      <w:r>
        <w:rPr>
          <w:rFonts w:ascii="Arial" w:cs="Arial" w:eastAsia="Arial" w:hAnsi="Arial"/>
          <w:sz w:val="18"/>
          <w:szCs w:val="18"/>
          <w:color w:val="3A4967"/>
        </w:rPr>
        <w:t>hereunder which may include, without limitation: requiring reimbursement of incentive cash compensation previously paid; seeking recovery of any gain realized on the vesting, exercise, settlement, sale, transfer, or other disposition of any equity-based awards; offsetting the recouped amount from any compensation otherwise owed by the Company to the Covered Executive; cancelling outstanding vested or unvested equity awards; and/or taking any other remedial and recovery action permitted by law, as determined by the Committee.</w:t>
      </w:r>
    </w:p>
    <w:p>
      <w:pPr>
        <w:spacing w:after="0" w:line="38" w:lineRule="exact"/>
        <w:rPr>
          <w:rFonts w:ascii="Arial" w:cs="Arial" w:eastAsia="Arial" w:hAnsi="Arial"/>
          <w:sz w:val="18"/>
          <w:szCs w:val="18"/>
          <w:color w:val="3A4967"/>
        </w:rPr>
      </w:pPr>
    </w:p>
    <w:p>
      <w:pPr>
        <w:ind w:left="680" w:hanging="289"/>
        <w:spacing w:after="0" w:line="269" w:lineRule="auto"/>
        <w:tabs>
          <w:tab w:leader="none" w:pos="680" w:val="left"/>
        </w:tabs>
        <w:numPr>
          <w:ilvl w:val="0"/>
          <w:numId w:val="30"/>
        </w:numPr>
        <w:rPr>
          <w:rFonts w:ascii="Arial" w:cs="Arial" w:eastAsia="Arial" w:hAnsi="Arial"/>
          <w:sz w:val="18"/>
          <w:szCs w:val="18"/>
          <w:color w:val="3A4967"/>
        </w:rPr>
      </w:pPr>
      <w:r>
        <w:rPr>
          <w:rFonts w:ascii="Arial" w:cs="Arial" w:eastAsia="Arial" w:hAnsi="Arial"/>
          <w:sz w:val="18"/>
          <w:szCs w:val="18"/>
          <w:b w:val="1"/>
          <w:bCs w:val="1"/>
          <w:color w:val="3A4967"/>
        </w:rPr>
        <w:t xml:space="preserve">No Indemnification. </w:t>
      </w:r>
      <w:r>
        <w:rPr>
          <w:rFonts w:ascii="Arial" w:cs="Arial" w:eastAsia="Arial" w:hAnsi="Arial"/>
          <w:sz w:val="18"/>
          <w:szCs w:val="18"/>
          <w:color w:val="3A4967"/>
        </w:rPr>
        <w:t>The Company shall not indemnify any Covered Executives against the loss of any incorrectly awarded</w:t>
      </w:r>
      <w:r>
        <w:rPr>
          <w:rFonts w:ascii="Arial" w:cs="Arial" w:eastAsia="Arial" w:hAnsi="Arial"/>
          <w:sz w:val="18"/>
          <w:szCs w:val="18"/>
          <w:b w:val="1"/>
          <w:bCs w:val="1"/>
          <w:color w:val="3A4967"/>
        </w:rPr>
        <w:t xml:space="preserve"> </w:t>
      </w:r>
      <w:r>
        <w:rPr>
          <w:rFonts w:ascii="Arial" w:cs="Arial" w:eastAsia="Arial" w:hAnsi="Arial"/>
          <w:sz w:val="18"/>
          <w:szCs w:val="18"/>
          <w:color w:val="3A4967"/>
        </w:rPr>
        <w:t>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379095</wp:posOffset>
            </wp:positionV>
            <wp:extent cx="2584450" cy="19177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76</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86" w:name="page87"/>
    <w:bookmarkEnd w:id="86"/>
    <w:p>
      <w:pPr>
        <w:jc w:val="right"/>
        <w:ind w:right="38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6463665" cy="4763"/>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jc w:val="right"/>
        <w:ind w:right="380"/>
        <w:spacing w:after="0"/>
        <w:rPr>
          <w:sz w:val="20"/>
          <w:szCs w:val="20"/>
          <w:color w:val="auto"/>
        </w:rPr>
      </w:pPr>
      <w:r>
        <w:rPr>
          <w:rFonts w:ascii="Arial" w:cs="Arial" w:eastAsia="Arial" w:hAnsi="Arial"/>
          <w:sz w:val="14"/>
          <w:szCs w:val="14"/>
          <w:color w:val="6D7890"/>
        </w:rPr>
        <w:t>Exhibit 97.1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289" w:right="400" w:hanging="289"/>
        <w:spacing w:after="0" w:line="256" w:lineRule="auto"/>
        <w:tabs>
          <w:tab w:leader="none" w:pos="289" w:val="left"/>
        </w:tabs>
        <w:numPr>
          <w:ilvl w:val="0"/>
          <w:numId w:val="31"/>
        </w:numPr>
        <w:rPr>
          <w:rFonts w:ascii="Arial" w:cs="Arial" w:eastAsia="Arial" w:hAnsi="Arial"/>
          <w:sz w:val="18"/>
          <w:szCs w:val="18"/>
          <w:color w:val="3A4967"/>
        </w:rPr>
      </w:pPr>
      <w:r>
        <w:rPr>
          <w:rFonts w:ascii="Arial" w:cs="Arial" w:eastAsia="Arial" w:hAnsi="Arial"/>
          <w:sz w:val="18"/>
          <w:szCs w:val="18"/>
          <w:b w:val="1"/>
          <w:bCs w:val="1"/>
          <w:color w:val="3A4967"/>
        </w:rPr>
        <w:t xml:space="preserve">Interpretation. </w:t>
      </w:r>
      <w:r>
        <w:rPr>
          <w:rFonts w:ascii="Arial" w:cs="Arial" w:eastAsia="Arial" w:hAnsi="Arial"/>
          <w:sz w:val="18"/>
          <w:szCs w:val="18"/>
          <w:color w:val="3A4967"/>
        </w:rPr>
        <w:t>The Committee is authorized to interpret and construe this Policy and to make all determinations necessary,</w:t>
      </w:r>
      <w:r>
        <w:rPr>
          <w:rFonts w:ascii="Arial" w:cs="Arial" w:eastAsia="Arial" w:hAnsi="Arial"/>
          <w:sz w:val="18"/>
          <w:szCs w:val="18"/>
          <w:b w:val="1"/>
          <w:bCs w:val="1"/>
          <w:color w:val="3A4967"/>
        </w:rPr>
        <w:t xml:space="preserve"> </w:t>
      </w:r>
      <w:r>
        <w:rPr>
          <w:rFonts w:ascii="Arial" w:cs="Arial" w:eastAsia="Arial" w:hAnsi="Arial"/>
          <w:sz w:val="18"/>
          <w:szCs w:val="18"/>
          <w:color w:val="3A4967"/>
        </w:rPr>
        <w:t>appropriate, or advisable for the administration of this Policy. It is intended that this Policy be interpreted in a manner that is consistent with the requirements of Section 10D of the Exchange Act and any applicable rules or standards adopted by the SEC and/or NYSE.</w:t>
      </w:r>
    </w:p>
    <w:p>
      <w:pPr>
        <w:spacing w:after="0" w:line="37" w:lineRule="exact"/>
        <w:rPr>
          <w:rFonts w:ascii="Arial" w:cs="Arial" w:eastAsia="Arial" w:hAnsi="Arial"/>
          <w:sz w:val="18"/>
          <w:szCs w:val="18"/>
          <w:color w:val="3A4967"/>
        </w:rPr>
      </w:pPr>
    </w:p>
    <w:p>
      <w:pPr>
        <w:jc w:val="both"/>
        <w:ind w:left="289" w:right="380" w:hanging="289"/>
        <w:spacing w:after="0" w:line="260" w:lineRule="auto"/>
        <w:tabs>
          <w:tab w:leader="none" w:pos="289" w:val="left"/>
        </w:tabs>
        <w:numPr>
          <w:ilvl w:val="0"/>
          <w:numId w:val="31"/>
        </w:numPr>
        <w:rPr>
          <w:rFonts w:ascii="Arial" w:cs="Arial" w:eastAsia="Arial" w:hAnsi="Arial"/>
          <w:sz w:val="18"/>
          <w:szCs w:val="18"/>
          <w:color w:val="3A4967"/>
        </w:rPr>
      </w:pPr>
      <w:r>
        <w:rPr>
          <w:rFonts w:ascii="Arial" w:cs="Arial" w:eastAsia="Arial" w:hAnsi="Arial"/>
          <w:sz w:val="18"/>
          <w:szCs w:val="18"/>
          <w:b w:val="1"/>
          <w:bCs w:val="1"/>
          <w:color w:val="3A4967"/>
        </w:rPr>
        <w:t xml:space="preserve">Effective Date. </w:t>
      </w:r>
      <w:r>
        <w:rPr>
          <w:rFonts w:ascii="Arial" w:cs="Arial" w:eastAsia="Arial" w:hAnsi="Arial"/>
          <w:sz w:val="18"/>
          <w:szCs w:val="18"/>
          <w:color w:val="3A4967"/>
        </w:rPr>
        <w:t>This Policy replaces the 2006 Executive Compensation Recovery Policy in its entirety, shall be effective on</w:t>
      </w:r>
      <w:r>
        <w:rPr>
          <w:rFonts w:ascii="Arial" w:cs="Arial" w:eastAsia="Arial" w:hAnsi="Arial"/>
          <w:sz w:val="18"/>
          <w:szCs w:val="18"/>
          <w:b w:val="1"/>
          <w:bCs w:val="1"/>
          <w:color w:val="3A4967"/>
        </w:rPr>
        <w:t xml:space="preserve"> </w:t>
      </w:r>
      <w:r>
        <w:rPr>
          <w:rFonts w:ascii="Arial" w:cs="Arial" w:eastAsia="Arial" w:hAnsi="Arial"/>
          <w:sz w:val="18"/>
          <w:szCs w:val="18"/>
          <w:color w:val="3A4967"/>
        </w:rPr>
        <w:t>October 2, 2023, and shall apply to Incentive Compensation that is approved, awarded, or granted to Covered Executives on or after that date.</w:t>
      </w:r>
    </w:p>
    <w:p>
      <w:pPr>
        <w:spacing w:after="0" w:line="31" w:lineRule="exact"/>
        <w:rPr>
          <w:rFonts w:ascii="Arial" w:cs="Arial" w:eastAsia="Arial" w:hAnsi="Arial"/>
          <w:sz w:val="18"/>
          <w:szCs w:val="18"/>
          <w:color w:val="3A4967"/>
        </w:rPr>
      </w:pPr>
    </w:p>
    <w:p>
      <w:pPr>
        <w:jc w:val="both"/>
        <w:ind w:left="289" w:right="380" w:hanging="289"/>
        <w:spacing w:after="0" w:line="260" w:lineRule="auto"/>
        <w:tabs>
          <w:tab w:leader="none" w:pos="289" w:val="left"/>
        </w:tabs>
        <w:numPr>
          <w:ilvl w:val="0"/>
          <w:numId w:val="31"/>
        </w:numPr>
        <w:rPr>
          <w:rFonts w:ascii="Arial" w:cs="Arial" w:eastAsia="Arial" w:hAnsi="Arial"/>
          <w:sz w:val="18"/>
          <w:szCs w:val="18"/>
          <w:color w:val="3A4967"/>
        </w:rPr>
      </w:pPr>
      <w:r>
        <w:rPr>
          <w:rFonts w:ascii="Arial" w:cs="Arial" w:eastAsia="Arial" w:hAnsi="Arial"/>
          <w:sz w:val="18"/>
          <w:szCs w:val="18"/>
          <w:b w:val="1"/>
          <w:bCs w:val="1"/>
          <w:color w:val="3A4967"/>
        </w:rPr>
        <w:t xml:space="preserve">Amendment; Termination. </w:t>
      </w:r>
      <w:r>
        <w:rPr>
          <w:rFonts w:ascii="Arial" w:cs="Arial" w:eastAsia="Arial" w:hAnsi="Arial"/>
          <w:sz w:val="18"/>
          <w:szCs w:val="18"/>
          <w:color w:val="3A4967"/>
        </w:rPr>
        <w:t>The Committee may amend this Policy from time to time in its discretion and shall amend this</w:t>
      </w:r>
      <w:r>
        <w:rPr>
          <w:rFonts w:ascii="Arial" w:cs="Arial" w:eastAsia="Arial" w:hAnsi="Arial"/>
          <w:sz w:val="18"/>
          <w:szCs w:val="18"/>
          <w:b w:val="1"/>
          <w:bCs w:val="1"/>
          <w:color w:val="3A4967"/>
        </w:rPr>
        <w:t xml:space="preserve"> </w:t>
      </w:r>
      <w:r>
        <w:rPr>
          <w:rFonts w:ascii="Arial" w:cs="Arial" w:eastAsia="Arial" w:hAnsi="Arial"/>
          <w:sz w:val="18"/>
          <w:szCs w:val="18"/>
          <w:color w:val="3A4967"/>
        </w:rPr>
        <w:t>Policy as it deems necessary to maintain compliance with the regulations adopted by the SEC and NYSE. The Committee may terminate this Policy at any time.</w:t>
      </w:r>
    </w:p>
    <w:p>
      <w:pPr>
        <w:spacing w:after="0" w:line="31" w:lineRule="exact"/>
        <w:rPr>
          <w:rFonts w:ascii="Arial" w:cs="Arial" w:eastAsia="Arial" w:hAnsi="Arial"/>
          <w:sz w:val="18"/>
          <w:szCs w:val="18"/>
          <w:color w:val="3A4967"/>
        </w:rPr>
      </w:pPr>
    </w:p>
    <w:p>
      <w:pPr>
        <w:jc w:val="both"/>
        <w:ind w:left="289" w:right="380" w:hanging="289"/>
        <w:spacing w:after="0" w:line="272" w:lineRule="auto"/>
        <w:tabs>
          <w:tab w:leader="none" w:pos="289" w:val="left"/>
        </w:tabs>
        <w:numPr>
          <w:ilvl w:val="0"/>
          <w:numId w:val="31"/>
        </w:numPr>
        <w:rPr>
          <w:rFonts w:ascii="Arial" w:cs="Arial" w:eastAsia="Arial" w:hAnsi="Arial"/>
          <w:sz w:val="17"/>
          <w:szCs w:val="17"/>
          <w:color w:val="3A4967"/>
        </w:rPr>
      </w:pPr>
      <w:r>
        <w:rPr>
          <w:rFonts w:ascii="Arial" w:cs="Arial" w:eastAsia="Arial" w:hAnsi="Arial"/>
          <w:sz w:val="17"/>
          <w:szCs w:val="17"/>
          <w:b w:val="1"/>
          <w:bCs w:val="1"/>
          <w:color w:val="3A4967"/>
        </w:rPr>
        <w:t xml:space="preserve">Other Recoupment Rights. </w:t>
      </w:r>
      <w:r>
        <w:rPr>
          <w:rFonts w:ascii="Arial" w:cs="Arial" w:eastAsia="Arial" w:hAnsi="Arial"/>
          <w:sz w:val="17"/>
          <w:szCs w:val="17"/>
          <w:color w:val="3A4967"/>
        </w:rPr>
        <w:t>The Committee intends that this Policy will be applied to the fullest extent of the law. The Committee</w:t>
      </w:r>
      <w:r>
        <w:rPr>
          <w:rFonts w:ascii="Arial" w:cs="Arial" w:eastAsia="Arial" w:hAnsi="Arial"/>
          <w:sz w:val="17"/>
          <w:szCs w:val="17"/>
          <w:b w:val="1"/>
          <w:bCs w:val="1"/>
          <w:color w:val="3A4967"/>
        </w:rPr>
        <w:t xml:space="preserve"> </w:t>
      </w:r>
      <w:r>
        <w:rPr>
          <w:rFonts w:ascii="Arial" w:cs="Arial" w:eastAsia="Arial" w:hAnsi="Arial"/>
          <w:sz w:val="17"/>
          <w:szCs w:val="17"/>
          <w:color w:val="3A4967"/>
        </w:rPr>
        <w:t>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23" w:lineRule="exact"/>
        <w:rPr>
          <w:rFonts w:ascii="Arial" w:cs="Arial" w:eastAsia="Arial" w:hAnsi="Arial"/>
          <w:sz w:val="17"/>
          <w:szCs w:val="17"/>
          <w:color w:val="3A4967"/>
        </w:rPr>
      </w:pPr>
    </w:p>
    <w:p>
      <w:pPr>
        <w:ind w:left="289" w:right="400" w:hanging="289"/>
        <w:spacing w:after="0" w:line="269" w:lineRule="auto"/>
        <w:tabs>
          <w:tab w:leader="none" w:pos="289" w:val="left"/>
        </w:tabs>
        <w:numPr>
          <w:ilvl w:val="0"/>
          <w:numId w:val="31"/>
        </w:numPr>
        <w:rPr>
          <w:rFonts w:ascii="Arial" w:cs="Arial" w:eastAsia="Arial" w:hAnsi="Arial"/>
          <w:sz w:val="18"/>
          <w:szCs w:val="18"/>
          <w:color w:val="3A4967"/>
        </w:rPr>
      </w:pPr>
      <w:r>
        <w:rPr>
          <w:rFonts w:ascii="Arial" w:cs="Arial" w:eastAsia="Arial" w:hAnsi="Arial"/>
          <w:sz w:val="18"/>
          <w:szCs w:val="18"/>
          <w:b w:val="1"/>
          <w:bCs w:val="1"/>
          <w:color w:val="3A4967"/>
        </w:rPr>
        <w:t xml:space="preserve">Impracticability. </w:t>
      </w:r>
      <w:r>
        <w:rPr>
          <w:rFonts w:ascii="Arial" w:cs="Arial" w:eastAsia="Arial" w:hAnsi="Arial"/>
          <w:sz w:val="18"/>
          <w:szCs w:val="18"/>
          <w:color w:val="3A4967"/>
        </w:rPr>
        <w:t>The Committee shall recover any excess Incentive Compensation in accordance with this Policy unless such</w:t>
      </w:r>
      <w:r>
        <w:rPr>
          <w:rFonts w:ascii="Arial" w:cs="Arial" w:eastAsia="Arial" w:hAnsi="Arial"/>
          <w:sz w:val="18"/>
          <w:szCs w:val="18"/>
          <w:b w:val="1"/>
          <w:bCs w:val="1"/>
          <w:color w:val="3A4967"/>
        </w:rPr>
        <w:t xml:space="preserve"> </w:t>
      </w:r>
      <w:r>
        <w:rPr>
          <w:rFonts w:ascii="Arial" w:cs="Arial" w:eastAsia="Arial" w:hAnsi="Arial"/>
          <w:sz w:val="18"/>
          <w:szCs w:val="18"/>
          <w:color w:val="3A4967"/>
        </w:rPr>
        <w:t>recovery is impracticable, as determined by the Committee in accordance with SEC and NYSE rules.</w:t>
      </w:r>
    </w:p>
    <w:p>
      <w:pPr>
        <w:spacing w:after="0" w:line="24" w:lineRule="exact"/>
        <w:rPr>
          <w:rFonts w:ascii="Arial" w:cs="Arial" w:eastAsia="Arial" w:hAnsi="Arial"/>
          <w:sz w:val="18"/>
          <w:szCs w:val="18"/>
          <w:color w:val="3A4967"/>
        </w:rPr>
      </w:pPr>
    </w:p>
    <w:p>
      <w:pPr>
        <w:ind w:left="289" w:right="400" w:hanging="289"/>
        <w:spacing w:after="0" w:line="269" w:lineRule="auto"/>
        <w:tabs>
          <w:tab w:leader="none" w:pos="289" w:val="left"/>
        </w:tabs>
        <w:numPr>
          <w:ilvl w:val="0"/>
          <w:numId w:val="31"/>
        </w:numPr>
        <w:rPr>
          <w:rFonts w:ascii="Arial" w:cs="Arial" w:eastAsia="Arial" w:hAnsi="Arial"/>
          <w:sz w:val="18"/>
          <w:szCs w:val="18"/>
          <w:color w:val="3A4967"/>
        </w:rPr>
      </w:pPr>
      <w:r>
        <w:rPr>
          <w:rFonts w:ascii="Arial" w:cs="Arial" w:eastAsia="Arial" w:hAnsi="Arial"/>
          <w:sz w:val="18"/>
          <w:szCs w:val="18"/>
          <w:b w:val="1"/>
          <w:bCs w:val="1"/>
          <w:color w:val="3A4967"/>
        </w:rPr>
        <w:t xml:space="preserve">Successors. </w:t>
      </w:r>
      <w:r>
        <w:rPr>
          <w:rFonts w:ascii="Arial" w:cs="Arial" w:eastAsia="Arial" w:hAnsi="Arial"/>
          <w:sz w:val="18"/>
          <w:szCs w:val="18"/>
          <w:color w:val="3A4967"/>
        </w:rPr>
        <w:t>This Policy shall be binding and enforceable against all Covered Executives and their beneficiaries, heirs, executors,</w:t>
      </w:r>
      <w:r>
        <w:rPr>
          <w:rFonts w:ascii="Arial" w:cs="Arial" w:eastAsia="Arial" w:hAnsi="Arial"/>
          <w:sz w:val="18"/>
          <w:szCs w:val="18"/>
          <w:b w:val="1"/>
          <w:bCs w:val="1"/>
          <w:color w:val="3A4967"/>
        </w:rPr>
        <w:t xml:space="preserve"> </w:t>
      </w:r>
      <w:r>
        <w:rPr>
          <w:rFonts w:ascii="Arial" w:cs="Arial" w:eastAsia="Arial" w:hAnsi="Arial"/>
          <w:sz w:val="18"/>
          <w:szCs w:val="18"/>
          <w:color w:val="3A4967"/>
        </w:rPr>
        <w:t>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5369560</wp:posOffset>
            </wp:positionV>
            <wp:extent cx="2584450" cy="19177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69"/>
          </w:cols>
          <w:pgMar w:left="851" w:top="579" w:right="4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149"/>
        <w:spacing w:after="0"/>
        <w:tabs>
          <w:tab w:leader="none" w:pos="10369" w:val="left"/>
        </w:tabs>
        <w:rPr>
          <w:sz w:val="20"/>
          <w:szCs w:val="20"/>
          <w:color w:val="auto"/>
        </w:rPr>
      </w:pP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6"/>
          <w:szCs w:val="16"/>
          <w:b w:val="1"/>
          <w:bCs w:val="1"/>
          <w:color w:val="3A4967"/>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939925" cy="4763"/>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-97155</wp:posOffset>
            </wp:positionV>
            <wp:extent cx="1939925" cy="4763"/>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-539750</wp:posOffset>
            </wp:positionH>
            <wp:positionV relativeFrom="paragraph">
              <wp:posOffset>205740</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205740</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69"/>
          </w:cols>
          <w:pgMar w:left="851" w:top="579" w:right="461" w:bottom="0" w:gutter="0" w:footer="0" w:header="0"/>
          <w:type w:val="continuous"/>
        </w:sectPr>
      </w:pPr>
    </w:p>
    <w:bookmarkStart w:id="87" w:name="page88"/>
    <w:bookmarkEnd w:id="87"/>
    <w:p>
      <w:pPr>
        <w:ind w:left="400"/>
        <w:spacing w:after="0"/>
        <w:rPr>
          <w:sz w:val="20"/>
          <w:szCs w:val="20"/>
          <w:color w:val="auto"/>
        </w:rPr>
      </w:pPr>
      <w:r>
        <w:rPr>
          <w:rFonts w:ascii="Arial" w:cs="Arial" w:eastAsia="Arial" w:hAnsi="Arial"/>
          <w:sz w:val="14"/>
          <w:szCs w:val="14"/>
          <w:b w:val="1"/>
          <w:bCs w:val="1"/>
          <w:color w:val="3A4967"/>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42545</wp:posOffset>
            </wp:positionV>
            <wp:extent cx="6463665" cy="4763"/>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463665" cy="4763"/>
                    </a:xfrm>
                    <a:prstGeom prst="rect">
                      <a:avLst/>
                    </a:prstGeom>
                    <a:noFill/>
                  </pic:spPr>
                </pic:pic>
              </a:graphicData>
            </a:graphic>
          </wp:anchor>
        </w:drawing>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6D7890"/>
        </w:rPr>
        <w:t>Acknowledgement</w:t>
      </w:r>
    </w:p>
    <w:p>
      <w:pPr>
        <w:spacing w:after="0" w:line="200" w:lineRule="exact"/>
        <w:rPr>
          <w:sz w:val="20"/>
          <w:szCs w:val="20"/>
          <w:color w:val="auto"/>
        </w:rPr>
      </w:pPr>
    </w:p>
    <w:p>
      <w:pPr>
        <w:spacing w:after="0" w:line="399" w:lineRule="exact"/>
        <w:rPr>
          <w:sz w:val="20"/>
          <w:szCs w:val="20"/>
          <w:color w:val="auto"/>
        </w:rPr>
      </w:pPr>
    </w:p>
    <w:p>
      <w:pPr>
        <w:ind w:left="400"/>
        <w:spacing w:after="0"/>
        <w:rPr>
          <w:sz w:val="20"/>
          <w:szCs w:val="20"/>
          <w:color w:val="auto"/>
        </w:rPr>
      </w:pPr>
      <w:r>
        <w:rPr>
          <w:rFonts w:ascii="Arial" w:cs="Arial" w:eastAsia="Arial" w:hAnsi="Arial"/>
          <w:sz w:val="35"/>
          <w:szCs w:val="35"/>
          <w:b w:val="1"/>
          <w:bCs w:val="1"/>
          <w:color w:val="3A4967"/>
        </w:rPr>
        <w:t>Acknowledgement</w:t>
      </w:r>
    </w:p>
    <w:p>
      <w:pPr>
        <w:spacing w:after="0" w:line="262" w:lineRule="exact"/>
        <w:rPr>
          <w:sz w:val="20"/>
          <w:szCs w:val="20"/>
          <w:color w:val="auto"/>
        </w:rPr>
      </w:pPr>
    </w:p>
    <w:p>
      <w:pPr>
        <w:ind w:left="400"/>
        <w:spacing w:after="0"/>
        <w:rPr>
          <w:sz w:val="20"/>
          <w:szCs w:val="20"/>
          <w:color w:val="auto"/>
        </w:rPr>
      </w:pPr>
      <w:r>
        <w:rPr>
          <w:rFonts w:ascii="Arial" w:cs="Arial" w:eastAsia="Arial" w:hAnsi="Arial"/>
          <w:sz w:val="17"/>
          <w:szCs w:val="17"/>
          <w:color w:val="3A4967"/>
        </w:rPr>
        <w:t>By signing below, the undersigned Covered Executive acknowledges that: (a) they have received and reviewed a copy of this Policy;</w:t>
      </w:r>
    </w:p>
    <w:p>
      <w:pPr>
        <w:spacing w:after="0" w:line="25" w:lineRule="exact"/>
        <w:rPr>
          <w:sz w:val="20"/>
          <w:szCs w:val="20"/>
          <w:color w:val="auto"/>
        </w:rPr>
      </w:pPr>
    </w:p>
    <w:p>
      <w:pPr>
        <w:jc w:val="both"/>
        <w:ind w:left="400" w:hanging="9"/>
        <w:spacing w:after="0" w:line="256" w:lineRule="auto"/>
        <w:tabs>
          <w:tab w:leader="none" w:pos="645" w:val="left"/>
        </w:tabs>
        <w:numPr>
          <w:ilvl w:val="0"/>
          <w:numId w:val="32"/>
        </w:numPr>
        <w:rPr>
          <w:rFonts w:ascii="Arial" w:cs="Arial" w:eastAsia="Arial" w:hAnsi="Arial"/>
          <w:sz w:val="18"/>
          <w:szCs w:val="18"/>
          <w:color w:val="3A4967"/>
        </w:rPr>
      </w:pPr>
      <w:r>
        <w:rPr>
          <w:rFonts w:ascii="Arial" w:cs="Arial" w:eastAsia="Arial" w:hAnsi="Arial"/>
          <w:sz w:val="18"/>
          <w:szCs w:val="18"/>
          <w:color w:val="3A4967"/>
        </w:rPr>
        <w:t>they are and will continue to be subject to the Policy both during and after their employment with the Company; and (c) they will abide by the terms of the Policy, including, without limitation, by returning any excess Incentive Compensation to the Company to the extent required by, and in a manner consistent with, the Policy.</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Signature</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Print Name</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8"/>
          <w:szCs w:val="18"/>
          <w:color w:val="3A4967"/>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2187575</wp:posOffset>
            </wp:positionH>
            <wp:positionV relativeFrom="paragraph">
              <wp:posOffset>6747510</wp:posOffset>
            </wp:positionV>
            <wp:extent cx="2584450" cy="19177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584450" cy="191770"/>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520" w:val="left"/>
          <w:tab w:leader="none" w:pos="9140" w:val="left"/>
        </w:tabs>
        <w:rPr>
          <w:sz w:val="20"/>
          <w:szCs w:val="20"/>
          <w:color w:val="auto"/>
        </w:rPr>
      </w:pPr>
      <w:r>
        <w:rPr>
          <w:rFonts w:ascii="Arial" w:cs="Arial" w:eastAsia="Arial" w:hAnsi="Arial"/>
          <w:sz w:val="16"/>
          <w:szCs w:val="16"/>
          <w:b w:val="1"/>
          <w:bCs w:val="1"/>
          <w:color w:val="3A4967"/>
        </w:rPr>
        <w:t>78</w:t>
      </w:r>
      <w:r>
        <w:rPr>
          <w:sz w:val="20"/>
          <w:szCs w:val="20"/>
          <w:color w:val="auto"/>
        </w:rPr>
        <w:tab/>
      </w:r>
      <w:r>
        <w:rPr>
          <w:rFonts w:ascii="Arial" w:cs="Arial" w:eastAsia="Arial" w:hAnsi="Arial"/>
          <w:sz w:val="14"/>
          <w:szCs w:val="14"/>
          <w:b w:val="1"/>
          <w:bCs w:val="1"/>
          <w:color w:val="3A4967"/>
        </w:rPr>
        <w:t xml:space="preserve">THE BOSTON BEER COMPANY, INC. </w:t>
      </w:r>
      <w:r>
        <w:rPr>
          <w:sz w:val="1"/>
          <w:szCs w:val="1"/>
          <w:color w:val="auto"/>
        </w:rPr>
        <w:drawing>
          <wp:inline distT="0" distB="0" distL="0" distR="0">
            <wp:extent cx="85725" cy="191770"/>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5725" cy="191770"/>
                    </a:xfrm>
                    <a:prstGeom prst="rect">
                      <a:avLst/>
                    </a:prstGeom>
                    <a:noFill/>
                    <a:ln>
                      <a:noFill/>
                    </a:ln>
                  </pic:spPr>
                </pic:pic>
              </a:graphicData>
            </a:graphic>
          </wp:inline>
        </w:drawing>
      </w:r>
      <w:r>
        <w:rPr>
          <w:rFonts w:ascii="Arial" w:cs="Arial" w:eastAsia="Arial" w:hAnsi="Arial"/>
          <w:sz w:val="14"/>
          <w:szCs w:val="14"/>
          <w:b w:val="1"/>
          <w:bCs w:val="1"/>
          <w:color w:val="3A4967"/>
        </w:rPr>
        <w:t xml:space="preserve"> 2024 </w:t>
      </w:r>
      <w:r>
        <w:rPr>
          <w:rFonts w:ascii="Arial" w:cs="Arial" w:eastAsia="Arial" w:hAnsi="Arial"/>
          <w:sz w:val="14"/>
          <w:szCs w:val="14"/>
          <w:color w:val="3A4967"/>
        </w:rPr>
        <w:t>Form 10-K</w:t>
      </w:r>
      <w:r>
        <w:rPr>
          <w:sz w:val="20"/>
          <w:szCs w:val="20"/>
          <w:color w:val="auto"/>
        </w:rPr>
        <w:tab/>
      </w:r>
      <w:r>
        <w:rPr>
          <w:rFonts w:ascii="Arial" w:cs="Arial" w:eastAsia="Arial" w:hAnsi="Arial"/>
          <w:sz w:val="14"/>
          <w:szCs w:val="14"/>
          <w:color w:val="3A4967"/>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-97155</wp:posOffset>
            </wp:positionV>
            <wp:extent cx="1939925" cy="4763"/>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939925" cy="4763"/>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-138430</wp:posOffset>
            </wp:positionV>
            <wp:extent cx="1939925" cy="635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939925" cy="635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205740</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7244080</wp:posOffset>
            </wp:positionH>
            <wp:positionV relativeFrom="paragraph">
              <wp:posOffset>205740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580"/>
          </w:cols>
          <w:pgMar w:left="460" w:top="579" w:right="841" w:bottom="0" w:gutter="0" w:footer="0" w:header="0"/>
          <w:type w:val="continuous"/>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3A4967"/>
        </w:rPr>
        <w:t>This page intentionally left blank.</w:t>
      </w:r>
    </w:p>
    <w:p>
      <w:pPr>
        <w:spacing w:after="0" w:line="20" w:lineRule="exact"/>
        <w:rPr>
          <w:sz w:val="20"/>
          <w:szCs w:val="20"/>
          <w:color w:val="auto"/>
        </w:rPr>
      </w:pPr>
    </w:p>
    <w:p>
      <w:pPr>
        <w:sectPr>
          <w:pgSz w:w="11880" w:h="15481" w:orient="portrait"/>
          <w:cols w:equalWidth="0" w:num="1">
            <w:col w:w="9001"/>
          </w:cols>
          <w:pgMar w:left="1440" w:top="1440" w:right="1440"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3A4967"/>
        </w:rPr>
        <w:t>This page intentionally left blank.</w:t>
      </w:r>
    </w:p>
    <w:p>
      <w:pPr>
        <w:spacing w:after="0" w:line="20" w:lineRule="exact"/>
        <w:rPr>
          <w:sz w:val="20"/>
          <w:szCs w:val="20"/>
          <w:color w:val="auto"/>
        </w:rPr>
      </w:pPr>
    </w:p>
    <w:p>
      <w:pPr>
        <w:sectPr>
          <w:pgSz w:w="11880" w:h="15481" w:orient="portrait"/>
          <w:cols w:equalWidth="0" w:num="1">
            <w:col w:w="9001"/>
          </w:cols>
          <w:pgMar w:left="1440" w:top="1440" w:right="1440"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3A4967"/>
        </w:rPr>
        <w:t>This page intentionally left blank.</w:t>
      </w:r>
    </w:p>
    <w:p>
      <w:pPr>
        <w:spacing w:after="0" w:line="20" w:lineRule="exact"/>
        <w:rPr>
          <w:sz w:val="20"/>
          <w:szCs w:val="20"/>
          <w:color w:val="auto"/>
        </w:rPr>
      </w:pPr>
    </w:p>
    <w:p>
      <w:pPr>
        <w:sectPr>
          <w:pgSz w:w="11880" w:h="15481" w:orient="portrait"/>
          <w:cols w:equalWidth="0" w:num="1">
            <w:col w:w="9001"/>
          </w:cols>
          <w:pgMar w:left="1440" w:top="1440" w:right="1440" w:bottom="1440" w:gutter="0" w:footer="0" w:header="0"/>
        </w:sectPr>
      </w:pPr>
    </w:p>
    <w:bookmarkStart w:id="91" w:name="page92"/>
    <w:bookmarkEnd w:id="91"/>
    <w:p>
      <w:pPr>
        <w:spacing w:after="0"/>
        <w:rPr>
          <w:sz w:val="20"/>
          <w:szCs w:val="20"/>
          <w:color w:val="auto"/>
        </w:rPr>
      </w:pPr>
      <w:r>
        <w:rPr>
          <w:rFonts w:ascii="Arial" w:cs="Arial" w:eastAsia="Arial" w:hAnsi="Arial"/>
          <w:sz w:val="21"/>
          <w:szCs w:val="21"/>
          <w:color w:val="65718B"/>
        </w:rPr>
        <w:t>Designed and published by www.labrador-company.com</w:t>
      </w:r>
    </w:p>
    <w:p>
      <w:pPr>
        <w:spacing w:after="0" w:line="20" w:lineRule="exact"/>
        <w:rPr>
          <w:sz w:val="20"/>
          <w:szCs w:val="20"/>
          <w:color w:val="auto"/>
        </w:rPr>
      </w:pPr>
    </w:p>
    <w:p>
      <w:pPr>
        <w:sectPr>
          <w:pgSz w:w="15480" w:h="11881" w:orient="landscape"/>
          <w:cols w:equalWidth="0" w:num="1">
            <w:col w:w="12901"/>
          </w:cols>
          <w:pgMar w:left="1140" w:top="302" w:right="1440" w:bottom="1440" w:gutter="0" w:footer="0" w:header="0"/>
        </w:sectPr>
      </w:pPr>
    </w:p>
    <w:bookmarkStart w:id="92" w:name="page93"/>
    <w:bookmarkEnd w:id="92"/>
    <w:p>
      <w:pPr>
        <w:ind w:left="140"/>
        <w:spacing w:after="0"/>
        <w:rPr>
          <w:sz w:val="20"/>
          <w:szCs w:val="20"/>
          <w:color w:val="auto"/>
        </w:rPr>
      </w:pPr>
      <w:r>
        <w:rPr>
          <w:rFonts w:ascii="Arial" w:cs="Arial" w:eastAsia="Arial" w:hAnsi="Arial"/>
          <w:sz w:val="78"/>
          <w:szCs w:val="78"/>
          <w:b w:val="1"/>
          <w:bCs w:val="1"/>
          <w:color w:val="00001F"/>
        </w:rPr>
        <w:t>INSIDE</w:t>
      </w:r>
    </w:p>
    <w:p>
      <w:pPr>
        <w:ind w:left="140"/>
        <w:spacing w:after="0"/>
        <w:rPr>
          <w:sz w:val="20"/>
          <w:szCs w:val="20"/>
          <w:color w:val="auto"/>
        </w:rPr>
      </w:pPr>
      <w:r>
        <w:rPr>
          <w:rFonts w:ascii="Arial" w:cs="Arial" w:eastAsia="Arial" w:hAnsi="Arial"/>
          <w:sz w:val="78"/>
          <w:szCs w:val="78"/>
          <w:b w:val="1"/>
          <w:bCs w:val="1"/>
          <w:color w:val="00001F"/>
        </w:rPr>
        <w:t>BOSTON BEER</w:t>
      </w:r>
    </w:p>
    <w:p>
      <w:pPr>
        <w:spacing w:after="0" w:line="185" w:lineRule="exact"/>
        <w:rPr>
          <w:sz w:val="20"/>
          <w:szCs w:val="20"/>
          <w:color w:val="auto"/>
        </w:rPr>
      </w:pPr>
    </w:p>
    <w:p>
      <w:pPr>
        <w:ind w:left="140" w:right="3500"/>
        <w:spacing w:after="0" w:line="312" w:lineRule="auto"/>
        <w:rPr>
          <w:sz w:val="20"/>
          <w:szCs w:val="20"/>
          <w:color w:val="auto"/>
        </w:rPr>
      </w:pPr>
      <w:r>
        <w:rPr>
          <w:rFonts w:ascii="Arial" w:cs="Arial" w:eastAsia="Arial" w:hAnsi="Arial"/>
          <w:sz w:val="24"/>
          <w:szCs w:val="24"/>
          <w:b w:val="1"/>
          <w:bCs w:val="1"/>
          <w:color w:val="00001F"/>
        </w:rPr>
        <w:t>Boston Beer coworkers often talk about the company’s “Secret Sauce.” Dig into that, and you’ll find that our Secret Sauce has several ingredients.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175260</wp:posOffset>
            </wp:positionV>
            <wp:extent cx="567690" cy="5461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67690" cy="54610"/>
                    </a:xfrm>
                    <a:prstGeom prst="rect">
                      <a:avLst/>
                    </a:prstGeom>
                    <a:noFill/>
                  </pic:spPr>
                </pic:pic>
              </a:graphicData>
            </a:graphic>
          </wp:anchor>
        </w:drawing>
      </w:r>
    </w:p>
    <w:p>
      <w:pPr>
        <w:sectPr>
          <w:pgSz w:w="11880" w:h="15480" w:orient="portrait"/>
          <w:cols w:equalWidth="0" w:num="1">
            <w:col w:w="9520"/>
          </w:cols>
          <w:pgMar w:left="1440" w:top="688" w:right="920" w:bottom="5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0" w:right="200"/>
        <w:spacing w:after="0" w:line="298" w:lineRule="auto"/>
        <w:rPr>
          <w:sz w:val="20"/>
          <w:szCs w:val="20"/>
          <w:color w:val="auto"/>
        </w:rPr>
      </w:pPr>
      <w:r>
        <w:rPr>
          <w:rFonts w:ascii="Arial" w:cs="Arial" w:eastAsia="Arial" w:hAnsi="Arial"/>
          <w:sz w:val="22"/>
          <w:szCs w:val="22"/>
          <w:color w:val="auto"/>
        </w:rPr>
        <w:t>Boston Beer coworkers often talk about the company’s “Secret Sauce.” Dig into that, and you’ll find that our Secret Sauce has several ingredients. As we’ve mentioned, we have maintained an entrepreneurial mindset and disdain for the status quo. Everyone in the company is supported in seeking innovation. We now have more than 2,300 coworkers, many of whom have been with us for less than six years. So, we have a lot of fresh thinking, but the more we grow, the more we stand to lose touch with our history.</w:t>
      </w:r>
    </w:p>
    <w:p>
      <w:pPr>
        <w:spacing w:after="0" w:line="264" w:lineRule="exact"/>
        <w:rPr>
          <w:sz w:val="20"/>
          <w:szCs w:val="20"/>
          <w:color w:val="auto"/>
        </w:rPr>
      </w:pPr>
    </w:p>
    <w:p>
      <w:pPr>
        <w:ind w:left="140" w:right="220"/>
        <w:spacing w:after="0" w:line="299" w:lineRule="auto"/>
        <w:rPr>
          <w:sz w:val="20"/>
          <w:szCs w:val="20"/>
          <w:color w:val="auto"/>
        </w:rPr>
      </w:pPr>
      <w:r>
        <w:rPr>
          <w:rFonts w:ascii="Arial" w:cs="Arial" w:eastAsia="Arial" w:hAnsi="Arial"/>
          <w:sz w:val="22"/>
          <w:szCs w:val="22"/>
          <w:color w:val="auto"/>
        </w:rPr>
        <w:t>A couple of years ago we got serious about establishing company archives as a way to preserve our work, celebrate our history, and establish a single source of truth about our brands, our products, and our people. We looked at Jim’s earliest files to discover an original business plan, early label designs, and contracts for ingredients and brewing. Coworkers and shareholders have contributed their own physical mementos and stories with us, and we welcome you to share yours.</w:t>
      </w:r>
    </w:p>
    <w:p>
      <w:pPr>
        <w:spacing w:after="0" w:line="255" w:lineRule="exact"/>
        <w:rPr>
          <w:sz w:val="20"/>
          <w:szCs w:val="20"/>
          <w:color w:val="auto"/>
        </w:rPr>
      </w:pPr>
    </w:p>
    <w:p>
      <w:pPr>
        <w:ind w:left="140" w:right="400"/>
        <w:spacing w:after="0" w:line="329" w:lineRule="auto"/>
        <w:rPr>
          <w:sz w:val="20"/>
          <w:szCs w:val="20"/>
          <w:color w:val="auto"/>
        </w:rPr>
      </w:pPr>
      <w:r>
        <w:rPr>
          <w:rFonts w:ascii="Arial" w:cs="Arial" w:eastAsia="Arial" w:hAnsi="Arial"/>
          <w:sz w:val="21"/>
          <w:szCs w:val="21"/>
          <w:color w:val="auto"/>
        </w:rPr>
        <w:t>In addition to welcoming new coworkers, we added two excellent new members to our Board of Directors in 2024. Biz Stone is an entrepreneur and co-founder of</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20"/>
        <w:spacing w:after="0" w:line="300" w:lineRule="auto"/>
        <w:rPr>
          <w:sz w:val="20"/>
          <w:szCs w:val="20"/>
          <w:color w:val="auto"/>
        </w:rPr>
      </w:pPr>
      <w:r>
        <w:rPr>
          <w:rFonts w:ascii="Arial" w:cs="Arial" w:eastAsia="Arial" w:hAnsi="Arial"/>
          <w:sz w:val="23"/>
          <w:szCs w:val="23"/>
          <w:color w:val="auto"/>
        </w:rPr>
        <w:t>Twitter, Medium, and Jelly. He’s a serial entrepreneur who speaks our language of innovation and agility.</w:t>
      </w:r>
    </w:p>
    <w:p>
      <w:pPr>
        <w:spacing w:after="0" w:line="250" w:lineRule="exact"/>
        <w:rPr>
          <w:sz w:val="20"/>
          <w:szCs w:val="20"/>
          <w:color w:val="auto"/>
        </w:rPr>
      </w:pPr>
    </w:p>
    <w:p>
      <w:pPr>
        <w:ind w:right="160"/>
        <w:spacing w:after="0" w:line="301" w:lineRule="auto"/>
        <w:rPr>
          <w:sz w:val="20"/>
          <w:szCs w:val="20"/>
          <w:color w:val="auto"/>
        </w:rPr>
      </w:pPr>
      <w:r>
        <w:rPr>
          <w:rFonts w:ascii="Arial" w:cs="Arial" w:eastAsia="Arial" w:hAnsi="Arial"/>
          <w:sz w:val="22"/>
          <w:szCs w:val="22"/>
          <w:color w:val="auto"/>
        </w:rPr>
        <w:t>Our board is also strengthened by the arrival of Joe Jordan, who is president, U.S. and Global Services, for Domino’s, where he has worked since 2011. Before that, he worked at PepsiCo North America. We benefit from his expertise in brand management, consumer packaged goods, and innovation.</w:t>
      </w:r>
    </w:p>
    <w:p>
      <w:pPr>
        <w:spacing w:after="0" w:line="257" w:lineRule="exact"/>
        <w:rPr>
          <w:sz w:val="20"/>
          <w:szCs w:val="20"/>
          <w:color w:val="auto"/>
        </w:rPr>
      </w:pPr>
    </w:p>
    <w:p>
      <w:pPr>
        <w:ind w:right="500"/>
        <w:spacing w:after="0" w:line="291" w:lineRule="auto"/>
        <w:rPr>
          <w:sz w:val="20"/>
          <w:szCs w:val="20"/>
          <w:color w:val="auto"/>
        </w:rPr>
      </w:pPr>
      <w:r>
        <w:rPr>
          <w:rFonts w:ascii="Arial" w:cs="Arial" w:eastAsia="Arial" w:hAnsi="Arial"/>
          <w:sz w:val="23"/>
          <w:szCs w:val="23"/>
          <w:color w:val="auto"/>
        </w:rPr>
        <w:t>As we go to press, our CEO Michael Spillane is completing his first year at the helm, and his steady hand has been invaluable to our coworkers, our board, and our investors.</w:t>
      </w:r>
    </w:p>
    <w:p>
      <w:pPr>
        <w:spacing w:after="0" w:line="260" w:lineRule="exact"/>
        <w:rPr>
          <w:sz w:val="20"/>
          <w:szCs w:val="20"/>
          <w:color w:val="auto"/>
        </w:rPr>
      </w:pPr>
    </w:p>
    <w:p>
      <w:pPr>
        <w:ind w:right="100"/>
        <w:spacing w:after="0" w:line="287" w:lineRule="auto"/>
        <w:rPr>
          <w:sz w:val="20"/>
          <w:szCs w:val="20"/>
          <w:color w:val="auto"/>
        </w:rPr>
      </w:pPr>
      <w:r>
        <w:rPr>
          <w:rFonts w:ascii="Arial" w:cs="Arial" w:eastAsia="Arial" w:hAnsi="Arial"/>
          <w:sz w:val="23"/>
          <w:szCs w:val="23"/>
          <w:color w:val="auto"/>
        </w:rPr>
        <w:t>As we look back at 2024, it’s clear that it was a year of adjusting to changes in the marketplace and setting the stage for a successful and profitable 2025. And here we are. We’ll continue to seek out the white space to fuel our core and inspire the next 40 years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-38735</wp:posOffset>
            </wp:positionV>
            <wp:extent cx="2710815" cy="80200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710815" cy="80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2360" w:val="left"/>
        </w:tabs>
        <w:rPr>
          <w:sz w:val="20"/>
          <w:szCs w:val="20"/>
          <w:color w:val="auto"/>
        </w:rPr>
      </w:pPr>
      <w:r>
        <w:rPr>
          <w:rFonts w:ascii="Arial" w:cs="Arial" w:eastAsia="Arial" w:hAnsi="Arial"/>
          <w:sz w:val="21"/>
          <w:szCs w:val="21"/>
          <w:b w:val="1"/>
          <w:bCs w:val="1"/>
          <w:color w:val="00001F"/>
        </w:rPr>
        <w:t>JIM KOCH</w:t>
      </w:r>
      <w:r>
        <w:rPr>
          <w:sz w:val="20"/>
          <w:szCs w:val="20"/>
          <w:color w:val="auto"/>
        </w:rPr>
        <w:tab/>
      </w:r>
      <w:r>
        <w:rPr>
          <w:rFonts w:ascii="Arial" w:cs="Arial" w:eastAsia="Arial" w:hAnsi="Arial"/>
          <w:sz w:val="19"/>
          <w:szCs w:val="19"/>
          <w:b w:val="1"/>
          <w:bCs w:val="1"/>
          <w:color w:val="00001F"/>
        </w:rPr>
        <w:t>MICHAEL SPILLANE</w:t>
      </w:r>
    </w:p>
    <w:p>
      <w:pPr>
        <w:spacing w:after="0" w:line="18" w:lineRule="exact"/>
        <w:rPr>
          <w:sz w:val="20"/>
          <w:szCs w:val="20"/>
          <w:color w:val="auto"/>
        </w:rPr>
      </w:pPr>
    </w:p>
    <w:p>
      <w:pPr>
        <w:spacing w:after="0"/>
        <w:tabs>
          <w:tab w:leader="none" w:pos="2360" w:val="left"/>
        </w:tabs>
        <w:rPr>
          <w:sz w:val="20"/>
          <w:szCs w:val="20"/>
          <w:color w:val="auto"/>
        </w:rPr>
      </w:pPr>
      <w:r>
        <w:rPr>
          <w:rFonts w:ascii="Arial" w:cs="Arial" w:eastAsia="Arial" w:hAnsi="Arial"/>
          <w:sz w:val="17"/>
          <w:szCs w:val="17"/>
          <w:b w:val="1"/>
          <w:bCs w:val="1"/>
          <w:color w:val="00001F"/>
        </w:rPr>
        <w:t>FOUNDER, BREWER &amp;</w:t>
      </w:r>
      <w:r>
        <w:rPr>
          <w:sz w:val="20"/>
          <w:szCs w:val="20"/>
          <w:color w:val="auto"/>
        </w:rPr>
        <w:tab/>
      </w:r>
      <w:r>
        <w:rPr>
          <w:rFonts w:ascii="Arial" w:cs="Arial" w:eastAsia="Arial" w:hAnsi="Arial"/>
          <w:sz w:val="15"/>
          <w:szCs w:val="15"/>
          <w:b w:val="1"/>
          <w:bCs w:val="1"/>
          <w:color w:val="00001F"/>
        </w:rPr>
        <w:t>PRESIDENT &amp; CEO</w:t>
      </w:r>
    </w:p>
    <w:p>
      <w:pPr>
        <w:spacing w:after="0"/>
        <w:rPr>
          <w:sz w:val="20"/>
          <w:szCs w:val="20"/>
          <w:color w:val="auto"/>
        </w:rPr>
      </w:pPr>
      <w:r>
        <w:rPr>
          <w:rFonts w:ascii="Arial" w:cs="Arial" w:eastAsia="Arial" w:hAnsi="Arial"/>
          <w:sz w:val="17"/>
          <w:szCs w:val="17"/>
          <w:b w:val="1"/>
          <w:bCs w:val="1"/>
          <w:color w:val="00001F"/>
        </w:rPr>
        <w:t>CHAIRMAN OF THE BOARD</w:t>
      </w:r>
    </w:p>
    <w:p>
      <w:pPr>
        <w:sectPr>
          <w:pgSz w:w="11880" w:h="15480" w:orient="portrait"/>
          <w:cols w:equalWidth="0" w:num="2">
            <w:col w:w="4520" w:space="720"/>
            <w:col w:w="4280"/>
          </w:cols>
          <w:pgMar w:left="1440" w:top="688" w:right="920" w:bottom="527"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1"/>
          <w:szCs w:val="31"/>
          <w:b w:val="1"/>
          <w:bCs w:val="1"/>
          <w:color w:val="FFFFFF"/>
        </w:rPr>
        <w:t>BOARD OF DIRECTORS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Samuel A. Calagione, III</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Founder and Brewer of Dogfish Head Brewery</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Cynthia A. Fisher</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Founder and Chairman of PatientRightsAdvocate.org</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Joseph H. Jordan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President - U.S. and Global Services of Domino’s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Meghan V. Joyce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Co-Founder and CEO of Duckbill Technologies, Inc.</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C. James Koch</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color w:val="FFFFFF"/>
        </w:rPr>
        <w:t>Founder and Chairman of The Boston Beer Company, Inc.</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Julio N. Nemeth</w:t>
      </w:r>
    </w:p>
    <w:p>
      <w:pPr>
        <w:spacing w:after="0" w:line="21" w:lineRule="exact"/>
        <w:rPr>
          <w:sz w:val="20"/>
          <w:szCs w:val="20"/>
          <w:color w:val="auto"/>
        </w:rPr>
      </w:pPr>
    </w:p>
    <w:p>
      <w:pPr>
        <w:ind w:left="20" w:right="1280"/>
        <w:spacing w:after="0" w:line="317" w:lineRule="auto"/>
        <w:rPr>
          <w:sz w:val="20"/>
          <w:szCs w:val="20"/>
          <w:color w:val="auto"/>
        </w:rPr>
      </w:pPr>
      <w:r>
        <w:rPr>
          <w:rFonts w:ascii="Arial" w:cs="Arial" w:eastAsia="Arial" w:hAnsi="Arial"/>
          <w:sz w:val="19"/>
          <w:szCs w:val="19"/>
          <w:color w:val="FFFFFF"/>
        </w:rPr>
        <w:t>(Retired) Chief Product Supply Oﬃcer of Procter &amp; Gamble</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Michael Spillane</w:t>
      </w:r>
    </w:p>
    <w:p>
      <w:pPr>
        <w:spacing w:after="0" w:line="21" w:lineRule="exact"/>
        <w:rPr>
          <w:sz w:val="20"/>
          <w:szCs w:val="20"/>
          <w:color w:val="auto"/>
        </w:rPr>
      </w:pPr>
    </w:p>
    <w:p>
      <w:pPr>
        <w:ind w:left="20" w:right="1380"/>
        <w:spacing w:after="0" w:line="348" w:lineRule="auto"/>
        <w:rPr>
          <w:sz w:val="20"/>
          <w:szCs w:val="20"/>
          <w:color w:val="auto"/>
        </w:rPr>
      </w:pPr>
      <w:r>
        <w:rPr>
          <w:rFonts w:ascii="Arial" w:cs="Arial" w:eastAsia="Arial" w:hAnsi="Arial"/>
          <w:sz w:val="18"/>
          <w:szCs w:val="18"/>
          <w:color w:val="FFFFFF"/>
        </w:rPr>
        <w:t>President and Chief Executive Oﬃcer of The Boston Beer Company, Inc.</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Christopher I. “Biz” Stone</w:t>
      </w:r>
    </w:p>
    <w:p>
      <w:pPr>
        <w:spacing w:after="0" w:line="21" w:lineRule="exact"/>
        <w:rPr>
          <w:sz w:val="20"/>
          <w:szCs w:val="20"/>
          <w:color w:val="auto"/>
        </w:rPr>
      </w:pPr>
    </w:p>
    <w:p>
      <w:pPr>
        <w:ind w:left="20" w:right="440"/>
        <w:spacing w:after="0" w:line="317" w:lineRule="auto"/>
        <w:rPr>
          <w:sz w:val="20"/>
          <w:szCs w:val="20"/>
          <w:color w:val="auto"/>
        </w:rPr>
      </w:pPr>
      <w:r>
        <w:rPr>
          <w:rFonts w:ascii="Arial" w:cs="Arial" w:eastAsia="Arial" w:hAnsi="Arial"/>
          <w:sz w:val="19"/>
          <w:szCs w:val="19"/>
          <w:color w:val="FFFFFF"/>
        </w:rPr>
        <w:t>Entrepreneur, Co-Founder of Twitter, Medium, Jelly, and Future Positive</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Cynthia L. Swanson</w:t>
      </w:r>
    </w:p>
    <w:p>
      <w:pPr>
        <w:spacing w:after="0" w:line="21" w:lineRule="exact"/>
        <w:rPr>
          <w:sz w:val="20"/>
          <w:szCs w:val="20"/>
          <w:color w:val="auto"/>
        </w:rPr>
      </w:pPr>
    </w:p>
    <w:p>
      <w:pPr>
        <w:ind w:left="20" w:right="1000"/>
        <w:spacing w:after="0" w:line="317" w:lineRule="auto"/>
        <w:rPr>
          <w:sz w:val="20"/>
          <w:szCs w:val="20"/>
          <w:color w:val="auto"/>
        </w:rPr>
      </w:pPr>
      <w:r>
        <w:rPr>
          <w:rFonts w:ascii="Arial" w:cs="Arial" w:eastAsia="Arial" w:hAnsi="Arial"/>
          <w:sz w:val="19"/>
          <w:szCs w:val="19"/>
          <w:color w:val="FFFFFF"/>
        </w:rPr>
        <w:t>(Retired) Chief Financial Oﬃcer (Europe and Sub Sahara Africa) of PepsiCo</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Jean-Michel Valette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30"/>
          <w:szCs w:val="30"/>
          <w:b w:val="1"/>
          <w:bCs w:val="1"/>
          <w:color w:val="FFFFFF"/>
        </w:rPr>
        <w:t>CORPORATE &amp; INVESTOR INFO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-2202180</wp:posOffset>
            </wp:positionV>
            <wp:extent cx="7543800" cy="98298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Annual Shareholders Meeting:</w:t>
      </w:r>
    </w:p>
    <w:p>
      <w:pPr>
        <w:spacing w:after="0" w:line="17" w:lineRule="exact"/>
        <w:rPr>
          <w:sz w:val="20"/>
          <w:szCs w:val="20"/>
          <w:color w:val="auto"/>
        </w:rPr>
      </w:pPr>
    </w:p>
    <w:p>
      <w:pPr>
        <w:ind w:right="60"/>
        <w:spacing w:after="0" w:line="411" w:lineRule="auto"/>
        <w:rPr>
          <w:sz w:val="20"/>
          <w:szCs w:val="20"/>
          <w:color w:val="auto"/>
        </w:rPr>
      </w:pPr>
      <w:r>
        <w:rPr>
          <w:rFonts w:ascii="Arial" w:cs="Arial" w:eastAsia="Arial" w:hAnsi="Arial"/>
          <w:sz w:val="17"/>
          <w:szCs w:val="17"/>
          <w:color w:val="FFFFFF"/>
        </w:rPr>
        <w:t>May 14, 2025 at 10:00 a.m. ET at the Samuel Adams Boston Taproom located at 60 State Street, Boston MA 02109.</w:t>
      </w:r>
    </w:p>
    <w:p>
      <w:pPr>
        <w:spacing w:after="0" w:line="120"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Stock Exchange Listing:</w:t>
      </w:r>
    </w:p>
    <w:p>
      <w:pPr>
        <w:spacing w:after="0" w:line="17" w:lineRule="exact"/>
        <w:rPr>
          <w:sz w:val="20"/>
          <w:szCs w:val="20"/>
          <w:color w:val="auto"/>
        </w:rPr>
      </w:pPr>
    </w:p>
    <w:p>
      <w:pPr>
        <w:ind w:right="100"/>
        <w:spacing w:after="0" w:line="310" w:lineRule="auto"/>
        <w:rPr>
          <w:sz w:val="20"/>
          <w:szCs w:val="20"/>
          <w:color w:val="auto"/>
        </w:rPr>
      </w:pPr>
      <w:r>
        <w:rPr>
          <w:rFonts w:ascii="Arial" w:cs="Arial" w:eastAsia="Arial" w:hAnsi="Arial"/>
          <w:sz w:val="17"/>
          <w:szCs w:val="17"/>
          <w:color w:val="FFFFFF"/>
        </w:rPr>
        <w:t>The Class A Common Stock of The Boston Beer Company, Inc. is traded on the New York Stock Exchange under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FFFFFF"/>
        </w:rPr>
        <w:t>symbol SAM.</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FFFFFF"/>
        </w:rPr>
        <w:t>Transfer Agent &amp; Registrar, Computershare</w:t>
      </w:r>
    </w:p>
    <w:p>
      <w:pPr>
        <w:spacing w:after="0" w:line="20" w:lineRule="exact"/>
        <w:rPr>
          <w:sz w:val="20"/>
          <w:szCs w:val="20"/>
          <w:color w:val="auto"/>
        </w:rPr>
      </w:pPr>
    </w:p>
    <w:p>
      <w:pPr>
        <w:ind w:right="680"/>
        <w:spacing w:after="0" w:line="408" w:lineRule="auto"/>
        <w:rPr>
          <w:sz w:val="20"/>
          <w:szCs w:val="20"/>
          <w:color w:val="auto"/>
        </w:rPr>
      </w:pPr>
      <w:r>
        <w:rPr>
          <w:rFonts w:ascii="Arial" w:cs="Arial" w:eastAsia="Arial" w:hAnsi="Arial"/>
          <w:sz w:val="17"/>
          <w:szCs w:val="17"/>
          <w:color w:val="FFFFFF"/>
        </w:rPr>
        <w:t>150 Royall Street, Suite 101, Canton, MA 02021 Telephone: 888-877-2890; www.computershare.com</w:t>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Stock Information</w:t>
      </w:r>
    </w:p>
    <w:p>
      <w:pPr>
        <w:spacing w:after="0" w:line="17" w:lineRule="exact"/>
        <w:rPr>
          <w:sz w:val="20"/>
          <w:szCs w:val="20"/>
          <w:color w:val="auto"/>
        </w:rPr>
      </w:pPr>
    </w:p>
    <w:p>
      <w:pPr>
        <w:ind w:right="20"/>
        <w:spacing w:after="0" w:line="302" w:lineRule="auto"/>
        <w:rPr>
          <w:sz w:val="20"/>
          <w:szCs w:val="20"/>
          <w:color w:val="auto"/>
        </w:rPr>
      </w:pPr>
      <w:r>
        <w:rPr>
          <w:rFonts w:ascii="Arial" w:cs="Arial" w:eastAsia="Arial" w:hAnsi="Arial"/>
          <w:sz w:val="17"/>
          <w:szCs w:val="17"/>
          <w:color w:val="FFFFFF"/>
        </w:rPr>
        <w:t>The Company provides copies of its SEC Quarterly Reports on Form 10-Q, Current Reports on Form 8-K, Earnings Press Releases, Proxy Statements &amp; Corporate Governance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FFFFFF"/>
        </w:rPr>
        <w:t>Information free of charge at www.bostonbeer.com.</w:t>
      </w:r>
    </w:p>
    <w:p>
      <w:pPr>
        <w:spacing w:after="0" w:line="294" w:lineRule="exact"/>
        <w:rPr>
          <w:sz w:val="20"/>
          <w:szCs w:val="20"/>
          <w:color w:val="auto"/>
        </w:rPr>
      </w:pPr>
    </w:p>
    <w:p>
      <w:pPr>
        <w:spacing w:after="0" w:line="284" w:lineRule="auto"/>
        <w:rPr>
          <w:sz w:val="20"/>
          <w:szCs w:val="20"/>
          <w:color w:val="auto"/>
        </w:rPr>
      </w:pPr>
      <w:r>
        <w:rPr>
          <w:rFonts w:ascii="Arial" w:cs="Arial" w:eastAsia="Arial" w:hAnsi="Arial"/>
          <w:sz w:val="18"/>
          <w:szCs w:val="18"/>
          <w:color w:val="FFFFFF"/>
        </w:rPr>
        <w:t>You may also write to Investor Relations Department, The Boston Beer Company, Inc., Innovation &amp; Design Building, One Design Center Place, Suite 850, Boston, MA 02210. The news media should direct questions to the Public Relations department at media@bostonbeer.com.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400" w:right="280"/>
        <w:spacing w:after="0" w:line="305" w:lineRule="auto"/>
        <w:rPr>
          <w:sz w:val="20"/>
          <w:szCs w:val="20"/>
          <w:color w:val="auto"/>
        </w:rPr>
      </w:pPr>
      <w:r>
        <w:rPr>
          <w:rFonts w:ascii="Arial" w:cs="Arial" w:eastAsia="Arial" w:hAnsi="Arial"/>
          <w:sz w:val="17"/>
          <w:szCs w:val="17"/>
          <w:color w:val="FFFFFF"/>
        </w:rPr>
        <w:t>Please use this QR code to order your Oﬃcial 40</w:t>
      </w:r>
      <w:r>
        <w:rPr>
          <w:rFonts w:ascii="Arial" w:cs="Arial" w:eastAsia="Arial" w:hAnsi="Arial"/>
          <w:sz w:val="10"/>
          <w:szCs w:val="10"/>
          <w:color w:val="FFFFFF"/>
        </w:rPr>
        <w:t>th</w:t>
      </w:r>
      <w:r>
        <w:rPr>
          <w:rFonts w:ascii="Arial" w:cs="Arial" w:eastAsia="Arial" w:hAnsi="Arial"/>
          <w:sz w:val="17"/>
          <w:szCs w:val="17"/>
          <w:color w:val="FFFFFF"/>
        </w:rPr>
        <w:t xml:space="preserve"> Anniversary painter’s hat by </w:t>
      </w:r>
      <w:r>
        <w:rPr>
          <w:rFonts w:ascii="Arial" w:cs="Arial" w:eastAsia="Arial" w:hAnsi="Arial"/>
          <w:sz w:val="17"/>
          <w:szCs w:val="17"/>
          <w:b w:val="1"/>
          <w:bCs w:val="1"/>
          <w:color w:val="FFFFFF"/>
        </w:rPr>
        <w:t>June 30</w:t>
      </w:r>
      <w:r>
        <w:rPr>
          <w:rFonts w:ascii="Arial" w:cs="Arial" w:eastAsia="Arial" w:hAnsi="Arial"/>
          <w:sz w:val="10"/>
          <w:szCs w:val="10"/>
          <w:b w:val="1"/>
          <w:bCs w:val="1"/>
          <w:color w:val="FFFFFF"/>
        </w:rPr>
        <w:t>th</w:t>
      </w:r>
      <w:r>
        <w:rPr>
          <w:rFonts w:ascii="Arial" w:cs="Arial" w:eastAsia="Arial" w:hAnsi="Arial"/>
          <w:sz w:val="17"/>
          <w:szCs w:val="17"/>
          <w:b w:val="1"/>
          <w:bCs w:val="1"/>
          <w:color w:val="FFFFFF"/>
        </w:rPr>
        <w:t>, 2025</w:t>
      </w:r>
      <w:r>
        <w:rPr>
          <w:rFonts w:ascii="Arial" w:cs="Arial" w:eastAsia="Arial" w:hAnsi="Arial"/>
          <w:sz w:val="17"/>
          <w:szCs w:val="17"/>
          <w:color w:val="FFFFFF"/>
        </w:rPr>
        <w:t xml:space="preserve">. Or, if QR codes aren’t your thing, you can visit: </w:t>
      </w:r>
      <w:r>
        <w:rPr>
          <w:rFonts w:ascii="Arial" w:cs="Arial" w:eastAsia="Arial" w:hAnsi="Arial"/>
          <w:sz w:val="17"/>
          <w:szCs w:val="17"/>
          <w:b w:val="1"/>
          <w:bCs w:val="1"/>
          <w:color w:val="FFFFFF"/>
        </w:rPr>
        <w:t>https://owner.bostonbeer.com</w:t>
      </w:r>
    </w:p>
    <w:p>
      <w:pPr>
        <w:spacing w:after="0" w:line="319" w:lineRule="exact"/>
        <w:rPr>
          <w:sz w:val="20"/>
          <w:szCs w:val="20"/>
          <w:color w:val="auto"/>
        </w:rPr>
      </w:pPr>
    </w:p>
    <w:p>
      <w:pPr>
        <w:sectPr>
          <w:pgSz w:w="11880" w:h="15480" w:orient="portrait"/>
          <w:cols w:equalWidth="0" w:num="2">
            <w:col w:w="4540" w:space="580"/>
            <w:col w:w="4660"/>
          </w:cols>
          <w:pgMar w:left="1100" w:top="1440" w:right="1000" w:bottom="1440" w:gutter="0" w:footer="0" w:header="0"/>
        </w:sectPr>
      </w:pPr>
    </w:p>
    <w:p>
      <w:pPr>
        <w:ind w:left="20"/>
        <w:spacing w:after="0"/>
        <w:rPr>
          <w:sz w:val="20"/>
          <w:szCs w:val="20"/>
          <w:color w:val="auto"/>
        </w:rPr>
      </w:pPr>
      <w:r>
        <w:rPr>
          <w:rFonts w:ascii="Arial" w:cs="Arial" w:eastAsia="Arial" w:hAnsi="Arial"/>
          <w:sz w:val="17"/>
          <w:szCs w:val="17"/>
          <w:color w:val="FFFFFF"/>
        </w:rPr>
        <w:t>Independent advisor for select branded</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consumer companies</w:t>
      </w:r>
    </w:p>
    <w:sectPr>
      <w:pgSz w:w="11880" w:h="15480" w:orient="portrait"/>
      <w:cols w:equalWidth="0" w:num="1">
        <w:col w:w="9780"/>
      </w:cols>
      <w:pgMar w:left="1100" w:top="1440" w:right="100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emdash "/>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Roman"/>
      <w:start w:val="2"/>
    </w:lvl>
  </w:abstractNum>
  <w:abstractNum w:abstractNumId="3">
    <w:nsid w:val="431BD7B7"/>
    <w:multiLevelType w:val="hybridMultilevel"/>
    <w:lvl w:ilvl="0">
      <w:lvlJc w:val="left"/>
      <w:lvlText w:val="z"/>
      <w:numFmt w:val="bullet"/>
      <w:start w:val="1"/>
    </w:lvl>
  </w:abstractNum>
  <w:abstractNum w:abstractNumId="4">
    <w:nsid w:val="3F2DBA31"/>
    <w:multiLevelType w:val="hybridMultilevel"/>
    <w:lvl w:ilvl="0">
      <w:lvlJc w:val="left"/>
      <w:lvlText w:val="z"/>
      <w:numFmt w:val="bullet"/>
      <w:start w:val="1"/>
    </w:lvl>
  </w:abstractNum>
  <w:abstractNum w:abstractNumId="5">
    <w:nsid w:val="7C83E458"/>
    <w:multiLevelType w:val="hybridMultilevel"/>
    <w:lvl w:ilvl="0">
      <w:lvlJc w:val="left"/>
      <w:lvlText w:val="z"/>
      <w:numFmt w:val="bullet"/>
      <w:start w:val="1"/>
    </w:lvl>
  </w:abstractNum>
  <w:abstractNum w:abstractNumId="6">
    <w:nsid w:val="257130A3"/>
    <w:multiLevelType w:val="hybridMultilevel"/>
    <w:lvl w:ilvl="0">
      <w:lvlJc w:val="left"/>
      <w:lvlText w:val="z"/>
      <w:numFmt w:val="bullet"/>
      <w:start w:val="1"/>
    </w:lvl>
  </w:abstractNum>
  <w:abstractNum w:abstractNumId="7">
    <w:nsid w:val="62BBD95A"/>
    <w:multiLevelType w:val="hybridMultilevel"/>
    <w:lvl w:ilvl="0">
      <w:lvlJc w:val="left"/>
      <w:lvlText w:val="z"/>
      <w:numFmt w:val="bullet"/>
      <w:start w:val="1"/>
    </w:lvl>
  </w:abstractNum>
  <w:abstractNum w:abstractNumId="8">
    <w:nsid w:val="436C6125"/>
    <w:multiLevelType w:val="hybridMultilevel"/>
    <w:lvl w:ilvl="0">
      <w:lvlJc w:val="left"/>
      <w:lvlText w:val="(%1)"/>
      <w:numFmt w:val="decimal"/>
      <w:start w:val="2"/>
    </w:lvl>
  </w:abstractNum>
  <w:abstractNum w:abstractNumId="9">
    <w:nsid w:val="628C895D"/>
    <w:multiLevelType w:val="hybridMultilevel"/>
    <w:lvl w:ilvl="0">
      <w:lvlJc w:val="left"/>
      <w:lvlText w:val="(%1)"/>
      <w:numFmt w:val="lowerLetter"/>
      <w:start w:val="2"/>
    </w:lvl>
  </w:abstractNum>
  <w:abstractNum w:abstractNumId="10">
    <w:nsid w:val="333AB105"/>
    <w:multiLevelType w:val="hybridMultilevel"/>
    <w:lvl w:ilvl="0">
      <w:lvlJc w:val="left"/>
      <w:lvlText w:val="z"/>
      <w:numFmt w:val="bullet"/>
      <w:start w:val="1"/>
    </w:lvl>
  </w:abstractNum>
  <w:abstractNum w:abstractNumId="11">
    <w:nsid w:val="721DA317"/>
    <w:multiLevelType w:val="hybridMultilevel"/>
    <w:lvl w:ilvl="0">
      <w:lvlJc w:val="left"/>
      <w:lvlText w:val="(%1)"/>
      <w:numFmt w:val="lowerLetter"/>
      <w:start w:val="4"/>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z"/>
      <w:numFmt w:val="bullet"/>
      <w:start w:val="1"/>
    </w:lvl>
  </w:abstractNum>
  <w:abstractNum w:abstractNumId="14">
    <w:nsid w:val="6763845E"/>
    <w:multiLevelType w:val="hybridMultilevel"/>
    <w:lvl w:ilvl="0">
      <w:lvlJc w:val="left"/>
      <w:lvlText w:val="z"/>
      <w:numFmt w:val="bullet"/>
      <w:start w:val="1"/>
    </w:lvl>
  </w:abstractNum>
  <w:abstractNum w:abstractNumId="15">
    <w:nsid w:val="75A2A8D4"/>
    <w:multiLevelType w:val="hybridMultilevel"/>
    <w:lvl w:ilvl="0">
      <w:lvlJc w:val="left"/>
      <w:lvlText w:val="z"/>
      <w:numFmt w:val="bullet"/>
      <w:start w:val="1"/>
    </w:lvl>
  </w:abstractNum>
  <w:abstractNum w:abstractNumId="16">
    <w:nsid w:val="8EDBDAB"/>
    <w:multiLevelType w:val="hybridMultilevel"/>
    <w:lvl w:ilvl="0">
      <w:lvlJc w:val="left"/>
      <w:lvlText w:val="(%1)"/>
      <w:numFmt w:val="decimal"/>
      <w:start w:val="3"/>
    </w:lvl>
  </w:abstractNum>
  <w:abstractNum w:abstractNumId="17">
    <w:nsid w:val="79838CB2"/>
    <w:multiLevelType w:val="hybridMultilevel"/>
    <w:lvl w:ilvl="0">
      <w:lvlJc w:val="left"/>
      <w:lvlText w:val="%1."/>
      <w:numFmt w:val="decimal"/>
      <w:start w:val="20"/>
    </w:lvl>
  </w:abstractNum>
  <w:abstractNum w:abstractNumId="18">
    <w:nsid w:val="4353D0CD"/>
    <w:multiLevelType w:val="hybridMultilevel"/>
    <w:lvl w:ilvl="0">
      <w:lvlJc w:val="left"/>
      <w:lvlText w:val="%1"/>
      <w:numFmt w:val="upperLetter"/>
      <w:start w:val="1"/>
    </w:lvl>
  </w:abstractNum>
  <w:abstractNum w:abstractNumId="19">
    <w:nsid w:val="B03E0C6"/>
    <w:multiLevelType w:val="hybridMultilevel"/>
    <w:lvl w:ilvl="0">
      <w:lvlJc w:val="left"/>
      <w:lvlText w:val="&amp;"/>
      <w:numFmt w:val="bullet"/>
      <w:start w:val="1"/>
    </w:lvl>
  </w:abstractNum>
  <w:abstractNum w:abstractNumId="20">
    <w:nsid w:val="189A769B"/>
    <w:multiLevelType w:val="hybridMultilevel"/>
    <w:lvl w:ilvl="0">
      <w:lvlJc w:val="left"/>
      <w:lvlText w:val="(%1)"/>
      <w:numFmt w:val="decimal"/>
      <w:start w:val="2"/>
    </w:lvl>
  </w:abstractNum>
  <w:abstractNum w:abstractNumId="21">
    <w:nsid w:val="54E49EB4"/>
    <w:multiLevelType w:val="hybridMultilevel"/>
    <w:lvl w:ilvl="0">
      <w:lvlJc w:val="left"/>
      <w:lvlText w:val="*"/>
      <w:numFmt w:val="bullet"/>
      <w:start w:val="1"/>
    </w:lvl>
    <w:lvl w:ilvl="1">
      <w:lvlJc w:val="left"/>
      <w:lvlText w:val="+"/>
      <w:numFmt w:val="bullet"/>
      <w:start w:val="1"/>
    </w:lvl>
  </w:abstractNum>
  <w:abstractNum w:abstractNumId="22">
    <w:nsid w:val="71F32454"/>
    <w:multiLevelType w:val="hybridMultilevel"/>
    <w:lvl w:ilvl="0">
      <w:lvlJc w:val="left"/>
      <w:lvlText w:val="**"/>
      <w:numFmt w:val="bullet"/>
      <w:start w:val="1"/>
    </w:lvl>
    <w:lvl w:ilvl="1">
      <w:lvlJc w:val="left"/>
      <w:lvlText w:val="+"/>
      <w:numFmt w:val="bullet"/>
      <w:start w:val="1"/>
    </w:lvl>
  </w:abstractNum>
  <w:abstractNum w:abstractNumId="23">
    <w:nsid w:val="2CA88611"/>
    <w:multiLevelType w:val="hybridMultilevel"/>
    <w:lvl w:ilvl="0">
      <w:lvlJc w:val="left"/>
      <w:lvlText w:val="%1."/>
      <w:numFmt w:val="decimal"/>
      <w:start w:val="1"/>
    </w:lvl>
    <w:lvl w:ilvl="1">
      <w:lvlJc w:val="left"/>
      <w:lvlText w:val="(%2)"/>
      <w:numFmt w:val="lowerLetter"/>
      <w:start w:val="1"/>
    </w:lvl>
  </w:abstractNum>
  <w:abstractNum w:abstractNumId="24">
    <w:nsid w:val="836C40E"/>
    <w:multiLevelType w:val="hybridMultilevel"/>
    <w:lvl w:ilvl="0">
      <w:lvlJc w:val="left"/>
      <w:lvlText w:val="%1"/>
      <w:numFmt w:val="decimal"/>
      <w:start w:val="1"/>
    </w:lvl>
    <w:lvl w:ilvl="1">
      <w:lvlJc w:val="left"/>
      <w:lvlText w:val="(%2)"/>
      <w:numFmt w:val="lowerLetter"/>
      <w:start w:val="3"/>
    </w:lvl>
  </w:abstractNum>
  <w:abstractNum w:abstractNumId="25">
    <w:nsid w:val="2901D82"/>
    <w:multiLevelType w:val="hybridMultilevel"/>
    <w:lvl w:ilvl="0">
      <w:lvlJc w:val="left"/>
      <w:lvlText w:val="%1."/>
      <w:numFmt w:val="decimal"/>
      <w:start w:val="5"/>
    </w:lvl>
    <w:lvl w:ilvl="1">
      <w:lvlJc w:val="left"/>
      <w:lvlText w:val="(%2)"/>
      <w:numFmt w:val="lowerLetter"/>
      <w:start w:val="1"/>
    </w:lvl>
  </w:abstractNum>
  <w:abstractNum w:abstractNumId="26">
    <w:nsid w:val="3A95F874"/>
    <w:multiLevelType w:val="hybridMultilevel"/>
    <w:lvl w:ilvl="0">
      <w:lvlJc w:val="left"/>
      <w:lvlText w:val="%1."/>
      <w:numFmt w:val="decimal"/>
      <w:start w:val="1"/>
    </w:lvl>
    <w:lvl w:ilvl="1">
      <w:lvlJc w:val="left"/>
      <w:lvlText w:val="(%2)"/>
      <w:numFmt w:val="lowerLetter"/>
      <w:start w:val="1"/>
    </w:lvl>
  </w:abstractNum>
  <w:abstractNum w:abstractNumId="27">
    <w:nsid w:val="8138641"/>
    <w:multiLevelType w:val="hybridMultilevel"/>
    <w:lvl w:ilvl="0">
      <w:lvlJc w:val="left"/>
      <w:lvlText w:val="%1"/>
      <w:numFmt w:val="decimal"/>
      <w:start w:val="1"/>
    </w:lvl>
    <w:lvl w:ilvl="1">
      <w:lvlJc w:val="left"/>
      <w:lvlText w:val="(%2)"/>
      <w:numFmt w:val="lowerLetter"/>
      <w:start w:val="4"/>
    </w:lvl>
  </w:abstractNum>
  <w:abstractNum w:abstractNumId="28">
    <w:nsid w:val="1E7FF521"/>
    <w:multiLevelType w:val="hybridMultilevel"/>
    <w:lvl w:ilvl="0">
      <w:lvlJc w:val="left"/>
      <w:lvlText w:val="%1."/>
      <w:numFmt w:val="decimal"/>
      <w:start w:val="5"/>
    </w:lvl>
    <w:lvl w:ilvl="1">
      <w:lvlJc w:val="left"/>
      <w:lvlText w:val="(%2)"/>
      <w:numFmt w:val="lowerLetter"/>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9"/>
    </w:lvl>
  </w:abstractNum>
  <w:abstractNum w:abstractNumId="31">
    <w:nsid w:val="6CEAF08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jpe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jpe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jpe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jpe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jpe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jpe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jpe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jpe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jpe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jpe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2025-04-04T08:21:19Z</dcterms:created>
  <dcterms:modified xsi:type="dcterms:W3CDTF">2025-04-04T08:21:19Z</dcterms:modified>
</cp:coreProperties>
</file>