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July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The Boston Beer Company,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0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001-14092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04-3284048</w:t>
      </w:r>
    </w:p>
    <w:p>
      <w:pPr>
        <w:spacing w:after="0" w:line="31" w:lineRule="exact"/>
        <w:rPr>
          <w:sz w:val="24"/>
          <w:szCs w:val="24"/>
          <w:color w:val="auto"/>
        </w:rPr>
      </w:pPr>
    </w:p>
    <w:p>
      <w:pPr>
        <w:sectPr>
          <w:pgSz w:w="11900" w:h="16838" w:orient="portrait"/>
          <w:cols w:equalWidth="0" w:num="3">
            <w:col w:w="4740" w:space="720"/>
            <w:col w:w="2980" w:space="720"/>
            <w:col w:w="2120"/>
          </w:cols>
          <w:pgMar w:left="240" w:top="368" w:right="37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4"/>
          <w:szCs w:val="14"/>
          <w:b w:val="1"/>
          <w:bCs w:val="1"/>
          <w:color w:val="auto"/>
        </w:rPr>
        <w:t>(IRS Employer</w:t>
      </w:r>
    </w:p>
    <w:p>
      <w:pPr>
        <w:jc w:val="center"/>
        <w:ind w:right="11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40"/>
          </w:cols>
          <w:pgMar w:left="240" w:top="368" w:right="379" w:bottom="1440" w:gutter="0" w:footer="0" w:header="0"/>
          <w:type w:val="continuous"/>
        </w:sectPr>
      </w:pPr>
    </w:p>
    <w:p>
      <w:pPr>
        <w:spacing w:after="0" w:line="33"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One Design Center Place, Suite 850, Boston, MA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02210</w:t>
      </w:r>
    </w:p>
    <w:p>
      <w:pPr>
        <w:spacing w:after="0" w:line="50" w:lineRule="exact"/>
        <w:rPr>
          <w:sz w:val="24"/>
          <w:szCs w:val="24"/>
          <w:color w:val="auto"/>
        </w:rPr>
      </w:pPr>
    </w:p>
    <w:p>
      <w:pPr>
        <w:sectPr>
          <w:pgSz w:w="11900" w:h="16838" w:orient="portrait"/>
          <w:cols w:equalWidth="0" w:num="2">
            <w:col w:w="7700" w:space="720"/>
            <w:col w:w="2860"/>
          </w:cols>
          <w:pgMar w:left="240" w:top="368" w:right="37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600" w:space="720"/>
            <w:col w:w="2960"/>
          </w:cols>
          <w:pgMar w:left="240" w:top="368" w:right="379" w:bottom="1440" w:gutter="0" w:footer="0" w:header="0"/>
          <w:type w:val="continuous"/>
        </w:sectPr>
      </w:pPr>
    </w:p>
    <w:p>
      <w:pPr>
        <w:spacing w:after="0" w:line="37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(617) 368-5000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July 27, 2017, The Boston Beer Company, Inc. disclosed financial information for the second quarter of 2017 in an earnings release, a copy of which is set forth in the attached Exhibit 99.</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in this Form 8-K and the Exhibit 99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 unless expressly incorporated by specific reference in such filing.</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99 – Earnings Release of The Boston Beer Company, Inc. dated July 27, 2017.</w:t>
      </w:r>
    </w:p>
    <w:p>
      <w:pPr>
        <w:sectPr>
          <w:pgSz w:w="11900" w:h="16838" w:orient="portrait"/>
          <w:cols w:equalWidth="0" w:num="1">
            <w:col w:w="11360"/>
          </w:cols>
          <w:pgMar w:left="240" w:top="270"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Frank H. Smalla</w:t>
      </w:r>
    </w:p>
    <w:p>
      <w:pPr>
        <w:spacing w:after="0" w:line="23" w:lineRule="exact"/>
        <w:rPr>
          <w:sz w:val="20"/>
          <w:szCs w:val="20"/>
          <w:color w:val="auto"/>
        </w:rPr>
      </w:pPr>
    </w:p>
    <w:p>
      <w:pPr>
        <w:ind w:left="7900" w:right="1640" w:hanging="7892"/>
        <w:spacing w:after="0" w:line="307" w:lineRule="auto"/>
        <w:tabs>
          <w:tab w:leader="none" w:pos="7880" w:val="left"/>
        </w:tabs>
        <w:rPr>
          <w:sz w:val="20"/>
          <w:szCs w:val="20"/>
          <w:color w:val="auto"/>
        </w:rPr>
      </w:pPr>
      <w:r>
        <w:rPr>
          <w:rFonts w:ascii="Arial" w:cs="Arial" w:eastAsia="Arial" w:hAnsi="Arial"/>
          <w:sz w:val="18"/>
          <w:szCs w:val="18"/>
          <w:color w:val="auto"/>
        </w:rPr>
        <w:t>Date: July 27, 2017</w:t>
      </w:r>
      <w:r>
        <w:rPr>
          <w:sz w:val="20"/>
          <w:szCs w:val="20"/>
          <w:color w:val="auto"/>
        </w:rPr>
        <w:tab/>
      </w:r>
      <w:r>
        <w:rPr>
          <w:rFonts w:ascii="Arial" w:cs="Arial" w:eastAsia="Arial" w:hAnsi="Arial"/>
          <w:sz w:val="17"/>
          <w:szCs w:val="17"/>
          <w:color w:val="auto"/>
        </w:rPr>
        <w:t>Frank H. Smalla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-316865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Jennifer Larson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(617) 368-5152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Jessica Paar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(617) 368-5060</w:t>
      </w:r>
    </w:p>
    <w:p>
      <w:pPr>
        <w:spacing w:after="0" w:line="211" w:lineRule="exact"/>
        <w:rPr>
          <w:sz w:val="20"/>
          <w:szCs w:val="20"/>
          <w:color w:val="auto"/>
        </w:rPr>
      </w:pPr>
    </w:p>
    <w:p>
      <w:pPr>
        <w:sectPr>
          <w:pgSz w:w="11900" w:h="16838" w:orient="portrait"/>
          <w:cols w:equalWidth="0" w:num="2">
            <w:col w:w="7180" w:space="720"/>
            <w:col w:w="3520"/>
          </w:cols>
          <w:pgMar w:left="240" w:top="121" w:right="2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BOSTON BEER REPORTS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2017 RESULTS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BOSTON, MA (7/27/17) — The Boston Beer Company, Inc. (NYSE: SAM) reported second quarter 2017 net revenue of $247.9 million, an increase of $3.1 million or 1%, from the same period last year. Net income for the second quarter was $29.1 million, or $2.35 per diluted share, an increase of $2.5 million or $0.29 per diluted share, from the second quarter of 2016. This increase was primarily due to increases in net revenue and an increase in gross margin that were partially offset by increased advertising, promotional and selling expenses.</w:t>
      </w:r>
    </w:p>
    <w:p>
      <w:pPr>
        <w:spacing w:after="0" w:line="187"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Earnings per diluted share for the 26-week period ended July 1, 2017 were $2.79, an increase of $0.21 from the comparable 26-week period in 2016. Net revenue for the 26-week period ended July 1, 2017 was $409.6 million, a decrease of $24.0 million, or 6%, from the comparable 26-week period in 2016.</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second quarter and the 26-week period ended July 1, 2017, the Company recorded a tax benefit of $0.02 per diluted share and $0.30 per diluted share, respectively, resulting from the adoption of the new Accounting Standard “Employee Share-Based Payment Accounting” (“ASU 2016-09”), which was effective for the Company on January 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this release include:</w:t>
      </w:r>
    </w:p>
    <w:p>
      <w:pPr>
        <w:spacing w:after="0" w:line="135"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Depletions decreased 3% and 7% from the comparable 13 and 26 week periods in the prior year.</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full-year 2017 depletion and shipment change of between minus 7% and plus 1% remains unchanged. The 2017 fiscal year includes 52 weeks compared to the 2016 fiscal year, which included 53 weeks.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was 54.1% for the second quarter, an increase from 51.8% in the comparable 13-week period in 2016, and 51.4% for the 26-week period ending July 1, 2017, an increase from 50.4% in the comparable 26-week period in 2016. The Company maintains its full year gross margin target of between 51% and 52%.</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Advertising, promotional and selling expense increased by $4.6 million, or 7%, in the second quarter over the comparable period in 2016 and decreased $1.0 million, or 1%, from the comparable 26-week period in 2016.</w:t>
      </w:r>
    </w:p>
    <w:p>
      <w:pPr>
        <w:spacing w:after="0" w:line="75"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current spending and investment plans, full year 2017 Non-GAAP earnings per diluted share</w:t>
      </w:r>
      <w:r>
        <w:rPr>
          <w:rFonts w:ascii="Arial" w:cs="Arial" w:eastAsia="Arial" w:hAnsi="Arial"/>
          <w:sz w:val="13"/>
          <w:szCs w:val="13"/>
          <w:color w:val="auto"/>
        </w:rPr>
        <w:t>1</w:t>
      </w:r>
      <w:r>
        <w:rPr>
          <w:rFonts w:ascii="Arial" w:cs="Arial" w:eastAsia="Arial" w:hAnsi="Arial"/>
          <w:sz w:val="16"/>
          <w:szCs w:val="16"/>
          <w:color w:val="auto"/>
        </w:rPr>
        <w:t>, which excludes the impact of ASU 2016-09, is now estimated at between $5.00 and $6.20, a narrowing of the range from the previously communicated estimate of $4.20 to $6.20.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See “Outlook” below for additional information regarding non-GAAP forward-looking measures used in this press release.</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Jim Koch, Chairman and Founder of the Company, commented, “We are happy that our total Company depletion trends have significantly improved from earlier in the year, but we remain challenged by the general softening of the craft beer and cider categories and a more competitive retail environment with a lot of options for our drinkers. We are working hard to return to growth through improving our messaging and innovation behind Samuel Adams and Angry Orchard. Our leadership team is making strides to address our challenges. In our search to find a successor to Martin, who announced plans to retire in 2018, our Board continues its process to identify and recruit an exceptional leader who will be able to harness and accelerate the positive steps that we are taking while building and leveraging our unique craft culture. We believe that we are well positioned to meet the longer-term challenges because of the quality of our employees, our beers, our innovation capability and our sales execution strength, coupled with our strong financial position that enables us to invest in growing our brands and creating new growth opportunities.”</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Martin Roper, the Company’s President and CEO stated, “In the second quarter, our depletions decline was primarily due to decreases in our Samuel Adams, Coney Island and Angry Orchard brands that were only partially offset by increases in our Twisted Tea and Truly Spiked &amp; Sparkling brands and a slight benefit from the timing of our fiscal quarter end in relation to the fourth of July holiday. We are encouraged by the improving total Company depletions trends since the first quarter. Twisted Tea continues to grow distribution and pull, and Truly Spiked &amp; Sparkling has developed as one of the leaders in the emerging segment of hard sparkling water. Most of our volume declines for the quarter resulted from the underperformance of our Samuel Adams brand, which, despite volume declines, showed sequential improvement relative to first quarter performance. We are working to improve our Samuel Adams trends by focusing on sales execution, new messaging through media and point of sale and continued innovation. In the second quarter, we saw continued declines in the cider category and in our Angry Orchard brand, but we have maintained our high share of off-premise tracked channels and are focused on turning the category and brand trends around. For the rest of the year we expect to see the continuing impact from the Truly Spiked &amp; Sparkling roll out relative to last year and continued strength in Twisted Tea, and are committed to improving our Samuel Adams and Angry Orchard trends.”</w:t>
      </w:r>
    </w:p>
    <w:p>
      <w:pPr>
        <w:sectPr>
          <w:pgSz w:w="11900" w:h="16838" w:orient="portrait"/>
          <w:cols w:equalWidth="0" w:num="1">
            <w:col w:w="11420"/>
          </w:cols>
          <w:pgMar w:left="240" w:top="274" w:right="239" w:bottom="1440" w:gutter="0" w:footer="0" w:header="0"/>
        </w:sectPr>
      </w:pPr>
    </w:p>
    <w:bookmarkStart w:id="5" w:name="page6"/>
    <w:bookmarkEnd w:id="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Roper continued, “Our priorities for 2017 remain unchanged. Our number one priority is returning both Samuel Adams and Angry Orchard to growth through continued packaging, innovation, promotion and brand communication initiatives, while maintaining Twisted Tea’s momentum. Our second priority is a focus on cost savings and efficiency projects to fund the investments needed to grow our brands. We have adjusted our organization to the new volume environment, while preserving the capability to innovate and return to growth. We believe that the results of these initiatives are starting to show in our reported gross margin improvements and in our operating expenses, and have allowed us to increase our brand investment spend during the quarter. Based on the early success of these efforts, we are maintaining our previously stated goal of increasing our gross margins by about one percentage point per year through 2019, before any mix or volume impacts, while preserving our quality and improving our service levels. Our third priority is long-term innovation, where our current focus is on ensuring that Truly Spiked &amp; Sparkling reaches its full potential, and our long-term intent is to generate a consistent cadence of interesting brand innovations.”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2nd Quarter 2017 Summary of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Depletions decreased 3% from the comparable 13-week period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Shipment volume was approximately 1.1 million barrels, flat to the comparable 13-week period in 2016.</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believes distributor inventory levels at July 1, 2017 were appropriate. Inventory at distributors participating in the Freshest Beer Program as of July 1, 2017 decreased slightly in terms of days of inventory on hand when compared to June 25, 2016. The Company has approximately 78% of its volume on the Freshest Beer Program.</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Gross margin at 54.1% represented an increase from the 51.8% margin realized in the comparable 13-week period in 2016, primarily as a result of lower brewery processing costs per barrel due to cost savings initiatives and increases in revenue per barrel due to pricing and package mix.</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Advertising, promotional and selling expenses increased $4.6 million from the comparable 13-week period in 2016, primarily as a result of higher media spending and salaries and benefits costs partially offset by efficiency driven decreases in point of sale spending and freight to distributors due to lower freight rates.</w:t>
      </w:r>
    </w:p>
    <w:p>
      <w:pPr>
        <w:spacing w:after="0" w:line="18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General and administrative expenses decreased by $2.4 million from the comparable 13-week period in 2016, primarily due to decreases in stock compensation, consulting and legal costs.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Impairment of long-lived assets increased $1.5 million from the comparable 13-week period in 2016, primarily due to the write-down of brewery equipment at the Company’s Pennsylvania and Cincinnati Breweries.</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Year-to-Date 2017 Summary of Results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Depletions decreased 7% from the comparable 26-week period in 2016, reflecting decreases in the Company’s Samuel Adams, Coney Island, and Angry Orchard brands, partially offset by increases in its Twisted Tea and Truly Spiked &amp; Sparkling brands.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Shipment volume was approximately 1.8 million barrels, a 7% decrease from the comparable 26-week period in 2016.</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Gross margin at 51.4% represented an increase from the 50.4% margin realized in the comparable 26-week period in 2016, primarily as a result of increases in revenue per barrel due to pricing and package mix and lower brewery processing costs per barrel due to cost savings initiatives.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Advertising, promotional and selling expenses decreased $1.0 million from the comparable 26-week period in 2016, primarily due to efficiency driven decreases in point of sale spending and decreases in freight to distributors, as a result of lower volume and lower freight rates, which were partially offset by higher salaries and benefits costs and media spending.</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General and administrative expenses decreased $4.9 million from the comparable 26-week period in 2016, primarily due to decreases in stock compensation, consulting and legal costs.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Impairment of long-lived assets increased $1.5 million from the comparable 26-week period in 2016, primarily due to the write-down of brewery equipment at the Company’s Pennsylvania and Cincinnati Breweries.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effective tax rate for the 26-week period ended July 1, 2017 decreased to 29.7% from 36.1% in the comparable 26-week period in 2016. This decrease was primarily due to the tax benefit resulting from the adoption ASU 2016-09, which was effective for the Company on January 1, 2017.</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expects that its July 1, 2017 cash balance of $71.7 million, together with its future operating cash flows and its $150.0 million line of credit, will be sufficient to fund future cash requirements.</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26-week period ended July 1, 2017 and the period from July 2, 2017 through July 21, 2017, the Company repurchased approximately 608,000 shares of its Class A Common Stock for an aggregate purchase price of approximately $88.2 million. As of July 21, 2017, the Company had approximately $85.1 million remaining on the $781.0 million share buyback expenditure limit set by the Board of Directors.</w:t>
      </w:r>
    </w:p>
    <w:p>
      <w:pPr>
        <w:sectPr>
          <w:pgSz w:w="11900" w:h="16838" w:orient="portrait"/>
          <w:cols w:equalWidth="0" w:num="1">
            <w:col w:w="11360"/>
          </w:cols>
          <w:pgMar w:left="240" w:top="27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Depletion estimates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Year-to-date depletions through the 29-week period ended July 22, 2017 are estimated by the Company to have decreased approximately 7% from the comparable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currently projects full year 2017 Non-GAAP earnings per diluted share to be between $5.00 and $6.20, reflecting the uncertain volume outlook. This Non-GAAP projection excludes the impact of ASU 2016-09. The Company’s actual 2017 earnings per share could vary significantly from the current projection. The 2017 fiscal year includes 52 weeks compared to the 2016 fiscal year which included 53 weeks. Underlying the Company’s current 2017 projection are the following full-year estimates and targets:</w:t>
      </w:r>
    </w:p>
    <w:p>
      <w:pPr>
        <w:spacing w:after="0" w:line="9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Depletions and shipments percentage change of between minus 7% and plus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revenue per barrel of between 1% and 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of between 51% and 52%.</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investments in advertising, promotional and selling expenses of between $20 million and $30 million. This does not include any changes in freight costs for the shipment of products to the Company’s distributors.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effective tax rate of approximately 37%, excluding the impact of ASU 2016-09.</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capital spending of between $35 million and $45 million, most of which relates to continued investments in the Company’s breweries. This estimate is a narrowing of the previously communicated range of $30 million to $50 million.</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Non-GAAP effective tax rate and Non-GAAP earnings per diluted share are not defined terms under U.S. generally accepted accounting principles (“GAAP”). These Non-GAAP measures should not be considered in isolation or as a substitute for diluted earnings per share and effective tax rate data prepared in accordance with GAAP, and may not be comparable to calculations of similarly titled measures by other companies. The Company’s projection for its Non-GAAP effective tax rate and Non-GAAP earnings per diluted share exclude the impact of ASU 2016-09, which could be significant and will depend largely upon unpredictable future events outside the Company’s control, including the timing and value realized upon exercise of stock options versus the fair value of those options when granted. Therefore, because of the uncertainty and variability of the impact of ASU 2016-09, the Company is unable to provide, without unreasonable effort, a reconciliation of these Non-GAAP measures on a forward-looking basis.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the Company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Boston Beer Company, Inc. (NYSE: SAM) began in 1984 and today brews more than 60 styles of Samuel Adams beer. Our portfolio of brands also includes Angry Orchard Hard Cider, Twisted Tea, and Truly Spiked &amp; Sparkling, as well as several other craft beer brands brewed by A&amp;S Brewing, our craft beer incubator. For more information, please visit our investor relations website at www.bostonbeer.com, which includes links to all of our respective brand websites.</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Statements made in this press release that state the Company’s or management’s intentions, hopes, beliefs, expectations or predictions of the future are forward-looking statements. It is important to note that the Company’s actual results could differ materially from those projected in such forward-looking statements. Additional information concerning factors that could cause actual results to differ materially from those in the forward-looking statements is contained from time to time in the Company’s SEC filings, including, but not limited to, the Company’s report on Form 10-K for the year ended December 31, 2016 and subsequent filings made prior to or after the date hereof. Copies of these documents may be found on the Company’s website, </w:t>
      </w:r>
      <w:r>
        <w:rPr>
          <w:rFonts w:ascii="Arial" w:cs="Arial" w:eastAsia="Arial" w:hAnsi="Arial"/>
          <w:sz w:val="17"/>
          <w:szCs w:val="17"/>
          <w:i w:val="1"/>
          <w:iCs w:val="1"/>
          <w:color w:val="auto"/>
        </w:rPr>
        <w:t>www.bostonbeer.com</w:t>
      </w:r>
      <w:r>
        <w:rPr>
          <w:rFonts w:ascii="Arial" w:cs="Arial" w:eastAsia="Arial" w:hAnsi="Arial"/>
          <w:sz w:val="17"/>
          <w:szCs w:val="17"/>
          <w:color w:val="auto"/>
        </w:rPr>
        <w:t>, or obtained by contacting the Company or the SEC.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Thursday, July 27, 2017</w:t>
      </w:r>
    </w:p>
    <w:p>
      <w:pPr>
        <w:sectPr>
          <w:pgSz w:w="11900" w:h="16838" w:orient="portrait"/>
          <w:cols w:equalWidth="0" w:num="1">
            <w:col w:w="11060"/>
          </w:cols>
          <w:pgMar w:left="240" w:top="270" w:right="5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BOSTON BEER COMPANY,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Thirteen weeks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July 1,</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25,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July 1,</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w w:val="92"/>
              </w:rPr>
              <w:t>June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Barrels sold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264,664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261,225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437,101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Less excise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16,734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Net revenue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247,930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244,816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409,625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433,643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113,911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117,940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199,262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134,019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126,876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210,363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218,407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Advertising, promotional and selling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67,831</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121,585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Impairment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161,047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165,382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45,288</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45,503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33,653</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shares—Class A 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shares—Class B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33,653</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BOSTON BEER COMPANY,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July 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9340" w:type="dxa"/>
            <w:vAlign w:val="bottom"/>
            <w:shd w:val="clear" w:color="auto" w:fill="CCEEFF"/>
          </w:tcPr>
          <w:p>
            <w:pPr>
              <w:ind w:left="42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71,651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91,035</w:t>
            </w:r>
          </w:p>
        </w:tc>
      </w:tr>
      <w:tr>
        <w:trPr>
          <w:trHeight w:val="202"/>
        </w:trPr>
        <w:tc>
          <w:tcPr>
            <w:tcW w:w="9340" w:type="dxa"/>
            <w:vAlign w:val="bottom"/>
          </w:tcPr>
          <w:p>
            <w:pPr>
              <w:ind w:left="36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$17 and $0 as of July 1, 2017 and December 31, 2016,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34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51,678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36,694</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56,331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52,499</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8,627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8,731</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w:t>
            </w:r>
          </w:p>
        </w:tc>
      </w:tr>
      <w:tr>
        <w:trPr>
          <w:trHeight w:val="223"/>
        </w:trPr>
        <w:tc>
          <w:tcPr>
            <w:tcW w:w="9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190,714</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193,887</w:t>
            </w:r>
          </w:p>
        </w:tc>
        <w:tc>
          <w:tcPr>
            <w:tcW w:w="100" w:type="dxa"/>
            <w:vAlign w:val="bottom"/>
          </w:tcPr>
          <w:p>
            <w:pPr>
              <w:spacing w:after="0"/>
              <w:rPr>
                <w:sz w:val="19"/>
                <w:szCs w:val="19"/>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394,525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408,411</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12,585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9,965</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r>
      <w:tr>
        <w:trPr>
          <w:trHeight w:val="223"/>
        </w:trPr>
        <w:tc>
          <w:tcPr>
            <w:tcW w:w="9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601,507</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615,946</w:t>
            </w:r>
          </w:p>
        </w:tc>
        <w:tc>
          <w:tcPr>
            <w:tcW w:w="10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40" w:type="dxa"/>
            <w:vAlign w:val="bottom"/>
            <w:shd w:val="clear" w:color="auto" w:fill="CCEEFF"/>
          </w:tcPr>
          <w:p>
            <w:pPr>
              <w:ind w:left="31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45,615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40,585</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67,190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60,934</w:t>
            </w: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112,805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101,519</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57,286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57,261</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10,584</w:t>
            </w:r>
          </w:p>
        </w:tc>
      </w:tr>
      <w:tr>
        <w:trPr>
          <w:trHeight w:val="223"/>
        </w:trPr>
        <w:tc>
          <w:tcPr>
            <w:tcW w:w="9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179,843</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169,364</w:t>
            </w:r>
          </w:p>
        </w:tc>
        <w:tc>
          <w:tcPr>
            <w:tcW w:w="100" w:type="dxa"/>
            <w:vAlign w:val="bottom"/>
          </w:tcPr>
          <w:p>
            <w:pPr>
              <w:spacing w:after="0"/>
              <w:rPr>
                <w:sz w:val="19"/>
                <w:szCs w:val="19"/>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A Common Stock, $.01 par value; 22,700,000 shares authorized; 8,929,757 and 9,170,956 issued and outstanding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of July 1, 2017 and December 31, 2016, respectively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02"/>
        </w:trPr>
        <w:tc>
          <w:tcPr>
            <w:tcW w:w="9340" w:type="dxa"/>
            <w:vAlign w:val="bottom"/>
          </w:tcPr>
          <w:p>
            <w:pPr>
              <w:ind w:left="360"/>
              <w:spacing w:after="0" w:line="201" w:lineRule="exact"/>
              <w:rPr>
                <w:sz w:val="20"/>
                <w:szCs w:val="20"/>
                <w:color w:val="auto"/>
              </w:rPr>
            </w:pPr>
            <w:r>
              <w:rPr>
                <w:rFonts w:ascii="Arial" w:cs="Arial" w:eastAsia="Arial" w:hAnsi="Arial"/>
                <w:sz w:val="18"/>
                <w:szCs w:val="18"/>
                <w:color w:val="auto"/>
                <w:w w:val="94"/>
              </w:rPr>
              <w:t>Class B Common Stock, $.01 par value; 4,200,000 shares authorized; 3,097,355 and 3,197,355 issued and outstanding</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340" w:type="dxa"/>
            <w:vAlign w:val="bottom"/>
          </w:tcPr>
          <w:p>
            <w:pPr>
              <w:ind w:left="540"/>
              <w:spacing w:after="0"/>
              <w:rPr>
                <w:sz w:val="20"/>
                <w:szCs w:val="20"/>
                <w:color w:val="auto"/>
              </w:rPr>
            </w:pPr>
            <w:r>
              <w:rPr>
                <w:rFonts w:ascii="Arial" w:cs="Arial" w:eastAsia="Arial" w:hAnsi="Arial"/>
                <w:sz w:val="18"/>
                <w:szCs w:val="18"/>
                <w:color w:val="auto"/>
              </w:rPr>
              <w:t>as of July 1, 2017 and December 31, 2016, respectively</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368,328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349,913</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(1,093)</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(1,103)</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54,309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97,648</w:t>
            </w:r>
          </w:p>
        </w:tc>
      </w:tr>
      <w:tr>
        <w:trPr>
          <w:trHeight w:val="230"/>
        </w:trPr>
        <w:tc>
          <w:tcPr>
            <w:tcW w:w="9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421,664</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446,582</w:t>
            </w:r>
          </w:p>
        </w:tc>
        <w:tc>
          <w:tcPr>
            <w:tcW w:w="100" w:type="dxa"/>
            <w:vAlign w:val="bottom"/>
          </w:tcPr>
          <w:p>
            <w:pPr>
              <w:spacing w:after="0"/>
              <w:rPr>
                <w:sz w:val="20"/>
                <w:szCs w:val="20"/>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601,507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615,946</w:t>
            </w:r>
          </w:p>
        </w:tc>
      </w:tr>
      <w:tr>
        <w:trPr>
          <w:trHeight w:val="20"/>
        </w:trPr>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BOSTON BEER COMPANY,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July 1,</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w w:val="99"/>
              </w:rPr>
              <w:t>June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34,836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25,616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Loss on disposal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Bad debt expense (recovery)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Excess tax benefit from stock-based compensation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(15,001)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Prepaid expenses, income tax receivable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8,580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61,042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(16,721)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Change in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(16,710)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(25,898)</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Class A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(78,180)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14,062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on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 arrangements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sale of investment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(63,716)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(19,384)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91,035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71,651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340"/>
              <w:spacing w:after="0"/>
              <w:rPr>
                <w:sz w:val="20"/>
                <w:szCs w:val="20"/>
                <w:color w:val="auto"/>
              </w:rPr>
            </w:pPr>
            <w:r>
              <w:rPr>
                <w:rFonts w:ascii="Arial" w:cs="Arial" w:eastAsia="Arial" w:hAnsi="Arial"/>
                <w:sz w:val="18"/>
                <w:szCs w:val="18"/>
                <w:color w:val="auto"/>
              </w:rPr>
              <w:t>Income taxes refunded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Increase in accounts payable for purchase of property, plant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340"/>
              <w:spacing w:after="0"/>
              <w:rPr>
                <w:sz w:val="20"/>
                <w:szCs w:val="20"/>
                <w:color w:val="auto"/>
              </w:rPr>
            </w:pPr>
            <w:r>
              <w:rPr>
                <w:rFonts w:ascii="Arial" w:cs="Arial" w:eastAsia="Arial" w:hAnsi="Arial"/>
                <w:sz w:val="18"/>
                <w:szCs w:val="18"/>
                <w:color w:val="auto"/>
              </w:rPr>
              <w:t>Decrease in accounts payable for repurchase of Class A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of The Boston Beer Company’s press releases, including quarterly financial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are available on the Internet at www.bostonbeer.com</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2019-12-06T02:00:14Z</dcterms:created>
  <dcterms:modified xsi:type="dcterms:W3CDTF">2019-12-06T02:00:14Z</dcterms:modified>
</cp:coreProperties>
</file>