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m-20231230.htm"/>
      <w:bookmarkStart w:id="1" w:name="kssam20231230"/>
      <w:bookmarkEnd w:id="0"/>
      <w:bookmarkEnd w:id="1"/>
      <w:r>
        <w:rPr/>
        <w:t> </w:t>
      </w:r>
    </w:p>
    <w:p>
      <w:pPr>
        <w:pStyle w:val="TextBody"/>
        <w:pBdr>
          <w:bottom w:val="doub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9207" w:type="dxa"/>
        <w:jc w:val="left"/>
        <w:tblInd w:w="0" w:type="dxa"/>
        <w:tblLayout w:type="fixed"/>
        <w:tblCellMar>
          <w:top w:w="28" w:type="dxa"/>
          <w:left w:w="28" w:type="dxa"/>
          <w:bottom w:w="28" w:type="dxa"/>
          <w:right w:w="28" w:type="dxa"/>
        </w:tblCellMar>
      </w:tblPr>
      <w:tblGrid>
        <w:gridCol w:w="821"/>
        <w:gridCol w:w="8386"/>
      </w:tblGrid>
      <w:tr>
        <w:trPr/>
        <w:tc>
          <w:tcPr>
            <w:tcW w:w="82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40" w:after="283"/>
              <w:ind w:left="0" w:right="0" w:firstLine="490"/>
              <w:jc w:val="left"/>
              <w:rPr>
                <w:color w:val="000000"/>
              </w:rPr>
            </w:pPr>
            <w:r>
              <w:rPr>
                <w:color w:val="000000"/>
              </w:rPr>
              <w:t>☒</w:t>
            </w:r>
          </w:p>
        </w:tc>
        <w:tc>
          <w:tcPr>
            <w:tcW w:w="8386" w:type="dxa"/>
            <w:tcBorders/>
            <w:vAlign w:val="center"/>
          </w:tcPr>
          <w:p>
            <w:pPr>
              <w:pStyle w:val="TableContents"/>
              <w:pBdr/>
              <w:bidi w:val="0"/>
              <w:spacing w:before="40" w:after="283"/>
              <w:ind w:left="0" w:right="0" w:hanging="490"/>
              <w:jc w:val="left"/>
              <w:rPr>
                <w:rFonts w:ascii="Times New Roman" w:hAnsi="Times New Roman"/>
                <w:b/>
                <w:color w:val="000000"/>
                <w:sz w:val="16"/>
              </w:rPr>
            </w:pPr>
            <w:r>
              <w:rPr>
                <w:rFonts w:ascii="Times New Roman" w:hAnsi="Times New Roman"/>
                <w:b/>
                <w:color w:val="000000"/>
                <w:sz w:val="16"/>
              </w:rPr>
              <w:t>ANNUAL REPORT PURSUANT TO SECTION 13 OR 15 (d)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fiscal year ended December 30, 2023</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OR</w:t>
      </w:r>
    </w:p>
    <w:p>
      <w:pPr>
        <w:pStyle w:val="TextBody"/>
        <w:bidi w:val="0"/>
        <w:jc w:val="left"/>
        <w:rPr/>
      </w:pPr>
      <w:r>
        <w:rPr/>
        <w:t> </w:t>
      </w:r>
    </w:p>
    <w:tbl>
      <w:tblPr>
        <w:tblW w:w="9537" w:type="dxa"/>
        <w:jc w:val="left"/>
        <w:tblInd w:w="0" w:type="dxa"/>
        <w:tblLayout w:type="fixed"/>
        <w:tblCellMar>
          <w:top w:w="28" w:type="dxa"/>
          <w:left w:w="28" w:type="dxa"/>
          <w:bottom w:w="28" w:type="dxa"/>
          <w:right w:w="28" w:type="dxa"/>
        </w:tblCellMar>
      </w:tblPr>
      <w:tblGrid>
        <w:gridCol w:w="821"/>
        <w:gridCol w:w="8716"/>
      </w:tblGrid>
      <w:tr>
        <w:trPr/>
        <w:tc>
          <w:tcPr>
            <w:tcW w:w="82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40" w:after="283"/>
              <w:ind w:left="0" w:right="0" w:firstLine="490"/>
              <w:jc w:val="left"/>
              <w:rPr>
                <w:color w:val="000000"/>
              </w:rPr>
            </w:pPr>
            <w:r>
              <w:rPr>
                <w:color w:val="000000"/>
              </w:rPr>
              <w:t>☐</w:t>
            </w:r>
          </w:p>
        </w:tc>
        <w:tc>
          <w:tcPr>
            <w:tcW w:w="8716" w:type="dxa"/>
            <w:tcBorders/>
            <w:vAlign w:val="center"/>
          </w:tcPr>
          <w:p>
            <w:pPr>
              <w:pStyle w:val="TableContents"/>
              <w:pBdr/>
              <w:bidi w:val="0"/>
              <w:spacing w:before="40" w:after="283"/>
              <w:ind w:left="0" w:right="0" w:hanging="490"/>
              <w:jc w:val="left"/>
              <w:rPr>
                <w:rFonts w:ascii="Times New Roman" w:hAnsi="Times New Roman"/>
                <w:b/>
                <w:color w:val="000000"/>
                <w:sz w:val="16"/>
              </w:rPr>
            </w:pPr>
            <w:r>
              <w:rPr>
                <w:rFonts w:ascii="Times New Roman" w:hAnsi="Times New Roman"/>
                <w:b/>
                <w:color w:val="000000"/>
                <w:sz w:val="16"/>
              </w:rPr>
              <w:t>TRANSITION REPORT PURSUANT TO SECTION 13 OR 15 (d)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 to __________</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1-14092</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THE BOSTON BEER COMPANY,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r>
      <w:tr>
        <w:trPr/>
        <w:tc>
          <w:tcPr>
            <w:tcW w:w="237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Massachusetts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04-3284048</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rFonts w:ascii="Times New Roman" w:hAnsi="Times New Roman"/>
          <w:color w:val="000000"/>
          <w:sz w:val="4"/>
        </w:rPr>
      </w:pPr>
      <w:r>
        <w:rPr>
          <w:rFonts w:ascii="Times New Roman" w:hAnsi="Times New Roman"/>
          <w:color w:val="000000"/>
          <w:sz w:val="4"/>
        </w:rPr>
        <w:t>\</w:t>
      </w:r>
    </w:p>
    <w:p>
      <w:pPr>
        <w:pStyle w:val="TextBody"/>
        <w:bidi w:val="0"/>
        <w:jc w:val="center"/>
        <w:rPr>
          <w:rFonts w:ascii="Times New Roman" w:hAnsi="Times New Roman"/>
          <w:b/>
          <w:color w:val="000000"/>
          <w:sz w:val="16"/>
        </w:rPr>
      </w:pPr>
      <w:r>
        <w:rPr>
          <w:rFonts w:ascii="Times New Roman" w:hAnsi="Times New Roman"/>
          <w:b/>
          <w:color w:val="000000"/>
          <w:sz w:val="16"/>
        </w:rPr>
        <w:t>One Design Center Place, Suite 850, Boston, Massachusetts</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02210</w:t>
      </w:r>
    </w:p>
    <w:p>
      <w:pPr>
        <w:pStyle w:val="TextBody"/>
        <w:bidi w:val="0"/>
        <w:jc w:val="center"/>
        <w:rPr>
          <w:rFonts w:ascii="Times New Roman" w:hAnsi="Times New Roman"/>
          <w:b/>
          <w:color w:val="000000"/>
          <w:sz w:val="16"/>
        </w:rPr>
      </w:pPr>
      <w:r>
        <w:rPr>
          <w:rFonts w:ascii="Times New Roman" w:hAnsi="Times New Roman"/>
          <w:b/>
          <w:color w:val="000000"/>
          <w:sz w:val="16"/>
        </w:rPr>
        <w:t>(Zip Code)</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(617) 368-5000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left"/>
        <w:rPr/>
      </w:pPr>
      <w:r>
        <w:rPr/>
        <w:t> </w:t>
      </w:r>
    </w:p>
    <w:tbl>
      <w:tblPr>
        <w:tblW w:w="6295" w:type="dxa"/>
        <w:jc w:val="left"/>
        <w:tblInd w:w="0" w:type="dxa"/>
        <w:tblLayout w:type="fixed"/>
        <w:tblCellMar>
          <w:top w:w="28" w:type="dxa"/>
          <w:left w:w="28" w:type="dxa"/>
          <w:bottom w:w="28" w:type="dxa"/>
          <w:right w:w="28" w:type="dxa"/>
        </w:tblCellMar>
      </w:tblPr>
      <w:tblGrid>
        <w:gridCol w:w="3046"/>
        <w:gridCol w:w="146"/>
        <w:gridCol w:w="871"/>
        <w:gridCol w:w="146"/>
        <w:gridCol w:w="208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sz w:val="16"/>
              </w:rPr>
            </w:pPr>
            <w:r>
              <w:rPr>
                <w:rFonts w:ascii="Times New Roman" w:hAnsi="Times New Roman"/>
                <w:b/>
                <w:color w:val="000000"/>
                <w:sz w:val="16"/>
              </w:rPr>
              <w:t>Symbol(s)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0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$0.01 par value</w:t>
            </w:r>
          </w:p>
        </w:tc>
        <w:tc>
          <w:tcPr>
            <w:tcW w:w="146" w:type="dxa"/>
            <w:tcBorders/>
            <w:vAlign w:val="center"/>
          </w:tcPr>
          <w:p>
            <w:pPr>
              <w:pStyle w:val="TableContents"/>
              <w:bidi w:val="0"/>
              <w:spacing w:before="0" w:after="283"/>
              <w:jc w:val="center"/>
              <w:rPr/>
            </w:pPr>
            <w:r>
              <w:rPr/>
              <w:t> </w:t>
            </w:r>
          </w:p>
        </w:tc>
        <w:tc>
          <w:tcPr>
            <w:tcW w:w="87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w:t>
            </w:r>
          </w:p>
        </w:tc>
        <w:tc>
          <w:tcPr>
            <w:tcW w:w="146" w:type="dxa"/>
            <w:tcBorders/>
            <w:vAlign w:val="center"/>
          </w:tcPr>
          <w:p>
            <w:pPr>
              <w:pStyle w:val="TableContents"/>
              <w:bidi w:val="0"/>
              <w:spacing w:before="0" w:after="283"/>
              <w:jc w:val="center"/>
              <w:rPr/>
            </w:pPr>
            <w:r>
              <w:rPr/>
              <w:t> </w:t>
            </w:r>
          </w:p>
        </w:tc>
        <w:tc>
          <w:tcPr>
            <w:tcW w:w="20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York Stock Exchange</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Exchange Act. Yes ☐ 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Class A Common Stock ($0.01 par value) held by non-affiliates of the registrant totaled $2,937.59</w:t>
      </w:r>
      <w:r>
        <w:rPr>
          <w:rFonts w:ascii="Times New Roman" w:hAnsi="Times New Roman"/>
          <w:color w:val="000000"/>
          <w:sz w:val="20"/>
        </w:rPr>
        <w:t xml:space="preserve"> </w:t>
      </w:r>
      <w:r>
        <w:rPr>
          <w:rFonts w:ascii="Times New Roman" w:hAnsi="Times New Roman"/>
          <w:color w:val="000000"/>
          <w:sz w:val="16"/>
        </w:rPr>
        <w:t>million (based on the closing price of the Company’s Class A Common Stock on the New York Stock Exchange on June 30, 2023). All of the registrant’s Class B Common Stock ($0.01 par value) is held by an affiliate.</w:t>
      </w:r>
    </w:p>
    <w:p>
      <w:pPr>
        <w:pStyle w:val="TextBody"/>
        <w:bidi w:val="0"/>
        <w:spacing w:before="40" w:after="283"/>
        <w:jc w:val="left"/>
        <w:rPr>
          <w:rFonts w:ascii="Times New Roman" w:hAnsi="Times New Roman"/>
          <w:sz w:val="20"/>
        </w:rPr>
      </w:pPr>
      <w:r>
        <w:rPr>
          <w:rFonts w:ascii="Times New Roman" w:hAnsi="Times New Roman"/>
          <w:color w:val="000000"/>
          <w:sz w:val="16"/>
        </w:rPr>
        <w:t>As of February 23, 2024 there were 9,956,520</w:t>
      </w:r>
      <w:r>
        <w:rPr>
          <w:rFonts w:ascii="Times New Roman" w:hAnsi="Times New Roman"/>
          <w:color w:val="000000"/>
          <w:sz w:val="20"/>
        </w:rPr>
        <w:t xml:space="preserve"> </w:t>
      </w:r>
      <w:r>
        <w:rPr>
          <w:rFonts w:ascii="Times New Roman" w:hAnsi="Times New Roman"/>
          <w:color w:val="000000"/>
          <w:sz w:val="16"/>
        </w:rPr>
        <w:t>shares outstanding of the Company’s Class A Common Stock ($0.01 par value) and 2,068,000</w:t>
      </w:r>
      <w:r>
        <w:rPr>
          <w:rFonts w:ascii="Times New Roman" w:hAnsi="Times New Roman"/>
          <w:color w:val="000000"/>
          <w:sz w:val="20"/>
        </w:rPr>
        <w:t xml:space="preserve"> </w:t>
      </w:r>
      <w:r>
        <w:rPr>
          <w:rFonts w:ascii="Times New Roman" w:hAnsi="Times New Roman"/>
          <w:color w:val="000000"/>
          <w:sz w:val="16"/>
        </w:rPr>
        <w:t>shares outstanding of the Company’s Class B Common Stock ($0.01 par value).</w:t>
      </w:r>
    </w:p>
    <w:p>
      <w:pPr>
        <w:pStyle w:val="TextBody"/>
        <w:bidi w:val="0"/>
        <w:spacing w:before="40" w:after="283"/>
        <w:jc w:val="center"/>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Certain parts of the registrant’s definitive Proxy Statement for its 2024 Annual Meeting to be held on May 7, 2024 are incorporated by reference into Part III of this report.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FORM 10-K</w:t>
      </w:r>
    </w:p>
    <w:p>
      <w:pPr>
        <w:pStyle w:val="TextBody"/>
        <w:bidi w:val="0"/>
        <w:jc w:val="center"/>
        <w:rPr>
          <w:rFonts w:ascii="Times New Roman" w:hAnsi="Times New Roman"/>
          <w:b/>
          <w:color w:val="000000"/>
          <w:sz w:val="20"/>
        </w:rPr>
      </w:pPr>
      <w:r>
        <w:rPr>
          <w:rFonts w:ascii="Times New Roman" w:hAnsi="Times New Roman"/>
          <w:b/>
          <w:color w:val="000000"/>
          <w:sz w:val="20"/>
        </w:rPr>
        <w:t>FOR THE PERIOD ENDED DECEMBER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4"/>
        <w:gridCol w:w="7333"/>
        <w:gridCol w:w="306"/>
        <w:gridCol w:w="1232"/>
      </w:tblGrid>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133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3" w:type="dxa"/>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06" w:type="dxa"/>
            <w:tcBorders/>
            <w:vAlign w:val="center"/>
          </w:tcPr>
          <w:p>
            <w:pPr>
              <w:pStyle w:val="TableContents"/>
              <w:bidi w:val="0"/>
              <w:spacing w:before="0" w:after="283"/>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1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80" w:hanging="0"/>
              <w:jc w:val="right"/>
              <w:rPr/>
            </w:pPr>
            <w:r>
              <w:rPr/>
              <w:t> </w:t>
            </w:r>
          </w:p>
        </w:tc>
        <w:tc>
          <w:tcPr>
            <w:tcW w:w="1232" w:type="dxa"/>
            <w:tcBorders>
              <w:bottom w:val="single" w:sz="4" w:space="0" w:color="000000"/>
            </w:tcBorders>
            <w:tcMar>
              <w:top w:w="0" w:type="dxa"/>
              <w:left w:w="0" w:type="dxa"/>
              <w:right w:w="0" w:type="dxa"/>
            </w:tcMar>
            <w:vAlign w:val="center"/>
          </w:tcPr>
          <w:p>
            <w:pPr>
              <w:pStyle w:val="TableContents"/>
              <w:bidi w:val="0"/>
              <w:spacing w:before="0" w:after="283"/>
              <w:ind w:left="0" w:right="0" w:firstLine="720"/>
              <w:jc w:val="center"/>
              <w:rPr>
                <w:rFonts w:ascii="Times New Roman" w:hAnsi="Times New Roman"/>
                <w:b/>
                <w:color w:val="000000"/>
                <w:sz w:val="16"/>
              </w:rPr>
            </w:pPr>
            <w:r>
              <w:rPr>
                <w:rFonts w:ascii="Times New Roman" w:hAnsi="Times New Roman"/>
                <w:b/>
                <w:color w:val="000000"/>
                <w:sz w:val="16"/>
              </w:rPr>
              <w:t>Page</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w:t>
            </w:r>
          </w:p>
        </w:tc>
        <w:tc>
          <w:tcPr>
            <w:tcW w:w="7333" w:type="dxa"/>
            <w:tcBorders/>
            <w:vAlign w:val="center"/>
          </w:tcPr>
          <w:p>
            <w:pPr>
              <w:pStyle w:val="TableContents"/>
              <w:bidi w:val="0"/>
              <w:spacing w:before="0" w:after="283"/>
              <w:ind w:left="0" w:right="0" w:firstLine="60"/>
              <w:jc w:val="left"/>
              <w:rPr/>
            </w:pPr>
            <w:hyperlink w:anchor="item_1_business">
              <w:r>
                <w:rPr>
                  <w:rStyle w:val="InternetLink"/>
                  <w:rFonts w:ascii="Times New Roman" w:hAnsi="Times New Roman"/>
                  <w:color w:val="0000FF"/>
                  <w:sz w:val="20"/>
                  <w:u w:val="single"/>
                </w:rPr>
                <w:t>Business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1A.</w:t>
            </w:r>
          </w:p>
        </w:tc>
        <w:tc>
          <w:tcPr>
            <w:tcW w:w="7333" w:type="dxa"/>
            <w:tcBorders/>
            <w:vAlign w:val="center"/>
          </w:tcPr>
          <w:p>
            <w:pPr>
              <w:pStyle w:val="TableContents"/>
              <w:bidi w:val="0"/>
              <w:spacing w:before="0" w:after="283"/>
              <w:ind w:left="0" w:right="0" w:firstLine="60"/>
              <w:jc w:val="left"/>
              <w:rPr/>
            </w:pPr>
            <w:hyperlink w:anchor="item_1a_risk_factors">
              <w:r>
                <w:rPr>
                  <w:rStyle w:val="InternetLink"/>
                  <w:rFonts w:ascii="Times New Roman" w:hAnsi="Times New Roman"/>
                  <w:color w:val="0000FF"/>
                  <w:sz w:val="20"/>
                  <w:u w:val="single"/>
                </w:rPr>
                <w:t>Risk Factors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1B.</w:t>
            </w:r>
          </w:p>
        </w:tc>
        <w:tc>
          <w:tcPr>
            <w:tcW w:w="7333" w:type="dxa"/>
            <w:tcBorders/>
            <w:vAlign w:val="center"/>
          </w:tcPr>
          <w:p>
            <w:pPr>
              <w:pStyle w:val="TableContents"/>
              <w:bidi w:val="0"/>
              <w:spacing w:before="0" w:after="283"/>
              <w:ind w:left="0" w:right="0" w:firstLine="60"/>
              <w:jc w:val="left"/>
              <w:rPr/>
            </w:pPr>
            <w:hyperlink w:anchor="item_1b_unresolved_staff_comments">
              <w:r>
                <w:rPr>
                  <w:rStyle w:val="InternetLink"/>
                  <w:rFonts w:ascii="Times New Roman" w:hAnsi="Times New Roman"/>
                  <w:color w:val="0000FF"/>
                  <w:sz w:val="20"/>
                  <w:u w:val="single"/>
                </w:rPr>
                <w:t>Unresolved Staff Comments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25</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1C.</w:t>
            </w:r>
          </w:p>
        </w:tc>
        <w:tc>
          <w:tcPr>
            <w:tcW w:w="7333" w:type="dxa"/>
            <w:tcBorders/>
            <w:vAlign w:val="center"/>
          </w:tcPr>
          <w:p>
            <w:pPr>
              <w:pStyle w:val="TableContents"/>
              <w:bidi w:val="0"/>
              <w:spacing w:before="0" w:after="283"/>
              <w:ind w:left="0" w:right="0" w:firstLine="60"/>
              <w:jc w:val="left"/>
              <w:rPr/>
            </w:pPr>
            <w:hyperlink w:anchor="item_1c_cybersecurity">
              <w:r>
                <w:rPr>
                  <w:rStyle w:val="InternetLink"/>
                  <w:rFonts w:ascii="Times New Roman" w:hAnsi="Times New Roman"/>
                  <w:color w:val="0000FF"/>
                  <w:sz w:val="20"/>
                  <w:u w:val="single"/>
                </w:rPr>
                <w:t>Cybersecurity</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25</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2.</w:t>
            </w:r>
          </w:p>
        </w:tc>
        <w:tc>
          <w:tcPr>
            <w:tcW w:w="7333" w:type="dxa"/>
            <w:tcBorders/>
            <w:vAlign w:val="center"/>
          </w:tcPr>
          <w:p>
            <w:pPr>
              <w:pStyle w:val="TableContents"/>
              <w:bidi w:val="0"/>
              <w:spacing w:before="0" w:after="283"/>
              <w:ind w:left="0" w:right="0" w:firstLine="60"/>
              <w:jc w:val="left"/>
              <w:rPr/>
            </w:pPr>
            <w:hyperlink w:anchor="item_2_properties">
              <w:r>
                <w:rPr>
                  <w:rStyle w:val="InternetLink"/>
                  <w:rFonts w:ascii="Times New Roman" w:hAnsi="Times New Roman"/>
                  <w:color w:val="0000FF"/>
                  <w:sz w:val="20"/>
                  <w:u w:val="single"/>
                </w:rPr>
                <w:t>Properties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3.</w:t>
            </w:r>
          </w:p>
        </w:tc>
        <w:tc>
          <w:tcPr>
            <w:tcW w:w="7333" w:type="dxa"/>
            <w:tcBorders/>
            <w:vAlign w:val="center"/>
          </w:tcPr>
          <w:p>
            <w:pPr>
              <w:pStyle w:val="TableContents"/>
              <w:bidi w:val="0"/>
              <w:spacing w:before="0" w:after="283"/>
              <w:ind w:left="0" w:right="0" w:firstLine="60"/>
              <w:jc w:val="left"/>
              <w:rPr/>
            </w:pPr>
            <w:hyperlink w:anchor="item_3_legal_proceedings">
              <w:r>
                <w:rPr>
                  <w:rStyle w:val="InternetLink"/>
                  <w:rFonts w:ascii="Times New Roman" w:hAnsi="Times New Roman"/>
                  <w:color w:val="0000FF"/>
                  <w:sz w:val="20"/>
                  <w:u w:val="single"/>
                </w:rPr>
                <w:t>Legal Proceedings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28</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4.</w:t>
            </w:r>
          </w:p>
        </w:tc>
        <w:tc>
          <w:tcPr>
            <w:tcW w:w="7333" w:type="dxa"/>
            <w:tcBorders/>
            <w:vAlign w:val="center"/>
          </w:tcPr>
          <w:p>
            <w:pPr>
              <w:pStyle w:val="TableContents"/>
              <w:bidi w:val="0"/>
              <w:spacing w:before="0" w:after="283"/>
              <w:ind w:left="0" w:right="0" w:firstLine="60"/>
              <w:jc w:val="left"/>
              <w:rPr/>
            </w:pPr>
            <w:hyperlink w:anchor="item_4_mine_safety_disclosures">
              <w:r>
                <w:rPr>
                  <w:rStyle w:val="InternetLink"/>
                  <w:rFonts w:ascii="Times New Roman" w:hAnsi="Times New Roman"/>
                  <w:color w:val="0000FF"/>
                  <w:sz w:val="20"/>
                  <w:u w:val="single"/>
                </w:rPr>
                <w:t>Mine Safety Disclosures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60" w:right="0" w:firstLine="60"/>
              <w:jc w:val="right"/>
              <w:rPr>
                <w:rFonts w:ascii="Times New Roman" w:hAnsi="Times New Roman"/>
                <w:color w:val="000000"/>
                <w:sz w:val="20"/>
              </w:rPr>
            </w:pPr>
            <w:r>
              <w:rPr>
                <w:rFonts w:ascii="Times New Roman" w:hAnsi="Times New Roman"/>
                <w:color w:val="000000"/>
                <w:sz w:val="20"/>
              </w:rPr>
              <w:t>28</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80" w:hanging="0"/>
              <w:jc w:val="right"/>
              <w:rPr/>
            </w:pPr>
            <w:r>
              <w:rPr/>
              <w:t> </w:t>
            </w:r>
          </w:p>
        </w:tc>
      </w:tr>
      <w:tr>
        <w:trPr/>
        <w:tc>
          <w:tcPr>
            <w:tcW w:w="133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16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160" w:hanging="0"/>
              <w:jc w:val="right"/>
              <w:rPr/>
            </w:pPr>
            <w:r>
              <w:rPr/>
              <w:t> </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5.</w:t>
            </w:r>
          </w:p>
        </w:tc>
        <w:tc>
          <w:tcPr>
            <w:tcW w:w="7333" w:type="dxa"/>
            <w:tcBorders/>
            <w:vAlign w:val="center"/>
          </w:tcPr>
          <w:p>
            <w:pPr>
              <w:pStyle w:val="TableContents"/>
              <w:bidi w:val="0"/>
              <w:spacing w:before="0" w:after="283"/>
              <w:ind w:left="0" w:right="0" w:firstLine="60"/>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29</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6.</w:t>
            </w:r>
          </w:p>
        </w:tc>
        <w:tc>
          <w:tcPr>
            <w:tcW w:w="7333" w:type="dxa"/>
            <w:tcBorders/>
            <w:vAlign w:val="center"/>
          </w:tcPr>
          <w:p>
            <w:pPr>
              <w:pStyle w:val="TableContents"/>
              <w:bidi w:val="0"/>
              <w:spacing w:before="0" w:after="283"/>
              <w:ind w:left="0" w:right="0" w:firstLine="60"/>
              <w:jc w:val="left"/>
              <w:rPr/>
            </w:pPr>
            <w:hyperlink w:anchor="item_6_selected_consolidated_financial_d">
              <w:r>
                <w:rPr>
                  <w:rStyle w:val="InternetLink"/>
                  <w:rFonts w:ascii="Times New Roman" w:hAnsi="Times New Roman"/>
                  <w:color w:val="0000FF"/>
                  <w:sz w:val="20"/>
                  <w:u w:val="single"/>
                </w:rPr>
                <w:t>[Reserved]</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7.</w:t>
            </w:r>
          </w:p>
        </w:tc>
        <w:tc>
          <w:tcPr>
            <w:tcW w:w="7333" w:type="dxa"/>
            <w:tcBorders/>
            <w:vAlign w:val="center"/>
          </w:tcPr>
          <w:p>
            <w:pPr>
              <w:pStyle w:val="TableContents"/>
              <w:bidi w:val="0"/>
              <w:spacing w:before="0" w:after="283"/>
              <w:ind w:left="0" w:right="0" w:firstLine="60"/>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32</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7A.</w:t>
            </w:r>
          </w:p>
        </w:tc>
        <w:tc>
          <w:tcPr>
            <w:tcW w:w="7333" w:type="dxa"/>
            <w:tcBorders/>
            <w:vAlign w:val="center"/>
          </w:tcPr>
          <w:p>
            <w:pPr>
              <w:pStyle w:val="TableContents"/>
              <w:bidi w:val="0"/>
              <w:spacing w:before="0" w:after="283"/>
              <w:ind w:left="0" w:right="0" w:firstLine="60"/>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39</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8.</w:t>
            </w:r>
          </w:p>
        </w:tc>
        <w:tc>
          <w:tcPr>
            <w:tcW w:w="7333" w:type="dxa"/>
            <w:tcBorders/>
            <w:vAlign w:val="center"/>
          </w:tcPr>
          <w:p>
            <w:pPr>
              <w:pStyle w:val="TableContents"/>
              <w:bidi w:val="0"/>
              <w:spacing w:before="0" w:after="283"/>
              <w:ind w:left="0" w:right="0" w:firstLine="60"/>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9.</w:t>
            </w:r>
          </w:p>
        </w:tc>
        <w:tc>
          <w:tcPr>
            <w:tcW w:w="7333" w:type="dxa"/>
            <w:tcBorders/>
            <w:vAlign w:val="center"/>
          </w:tcPr>
          <w:p>
            <w:pPr>
              <w:pStyle w:val="TableContents"/>
              <w:bidi w:val="0"/>
              <w:spacing w:before="0" w:after="283"/>
              <w:ind w:left="0" w:right="0" w:firstLine="60"/>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71</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9A.</w:t>
            </w:r>
          </w:p>
        </w:tc>
        <w:tc>
          <w:tcPr>
            <w:tcW w:w="7333" w:type="dxa"/>
            <w:tcBorders/>
            <w:vAlign w:val="center"/>
          </w:tcPr>
          <w:p>
            <w:pPr>
              <w:pStyle w:val="TableContents"/>
              <w:bidi w:val="0"/>
              <w:spacing w:before="0" w:after="283"/>
              <w:ind w:left="0" w:right="0" w:firstLine="60"/>
              <w:jc w:val="left"/>
              <w:rPr/>
            </w:pPr>
            <w:hyperlink w:anchor="item_9a_controls_procedures">
              <w:r>
                <w:rPr>
                  <w:rStyle w:val="InternetLink"/>
                  <w:rFonts w:ascii="Times New Roman" w:hAnsi="Times New Roman"/>
                  <w:color w:val="0000FF"/>
                  <w:sz w:val="20"/>
                  <w:u w:val="single"/>
                </w:rPr>
                <w:t>Controls and Procedures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71</w:t>
            </w:r>
          </w:p>
        </w:tc>
      </w:tr>
      <w:tr>
        <w:trPr/>
        <w:tc>
          <w:tcPr>
            <w:tcW w:w="1334" w:type="dxa"/>
            <w:tcBorders/>
            <w:vAlign w:val="center"/>
          </w:tcPr>
          <w:p>
            <w:pPr>
              <w:pStyle w:val="TableContents"/>
              <w:pBdr/>
              <w:bidi w:val="0"/>
              <w:spacing w:before="0" w:after="283"/>
              <w:ind w:left="0" w:right="0" w:hanging="240"/>
              <w:jc w:val="left"/>
              <w:rPr>
                <w:color w:val="000000"/>
              </w:rPr>
            </w:pPr>
            <w:r>
              <w:rPr>
                <w:color w:val="000000"/>
              </w:rPr>
              <w:t>           </w:t>
            </w:r>
            <w:r>
              <w:rPr>
                <w:rFonts w:ascii="Times New Roman" w:hAnsi="Times New Roman"/>
                <w:color w:val="000000"/>
                <w:sz w:val="20"/>
              </w:rPr>
              <w:t>Item 9B.</w:t>
            </w:r>
          </w:p>
        </w:tc>
        <w:tc>
          <w:tcPr>
            <w:tcW w:w="7333" w:type="dxa"/>
            <w:tcBorders/>
            <w:vAlign w:val="center"/>
          </w:tcPr>
          <w:p>
            <w:pPr>
              <w:pStyle w:val="TableContents"/>
              <w:bidi w:val="0"/>
              <w:spacing w:before="0" w:after="283"/>
              <w:ind w:left="0" w:right="0" w:firstLine="60"/>
              <w:jc w:val="left"/>
              <w:rPr/>
            </w:pPr>
            <w:hyperlink w:anchor="item_9b_or_information">
              <w:r>
                <w:rPr>
                  <w:rStyle w:val="InternetLink"/>
                  <w:rFonts w:ascii="Times New Roman" w:hAnsi="Times New Roman"/>
                  <w:color w:val="0000FF"/>
                  <w:sz w:val="20"/>
                  <w:u w:val="single"/>
                </w:rPr>
                <w:t>Other Information</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73</w:t>
            </w:r>
          </w:p>
        </w:tc>
      </w:tr>
      <w:tr>
        <w:trPr/>
        <w:tc>
          <w:tcPr>
            <w:tcW w:w="1334" w:type="dxa"/>
            <w:tcBorders/>
            <w:vAlign w:val="center"/>
          </w:tcPr>
          <w:p>
            <w:pPr>
              <w:pStyle w:val="TableContents"/>
              <w:pBdr/>
              <w:bidi w:val="0"/>
              <w:spacing w:before="0" w:after="283"/>
              <w:ind w:left="0" w:right="0" w:hanging="240"/>
              <w:jc w:val="left"/>
              <w:rPr>
                <w:color w:val="000000"/>
              </w:rPr>
            </w:pPr>
            <w:r>
              <w:rPr>
                <w:color w:val="000000"/>
              </w:rPr>
              <w:t>           </w:t>
            </w:r>
            <w:r>
              <w:rPr>
                <w:rFonts w:ascii="Times New Roman" w:hAnsi="Times New Roman"/>
                <w:color w:val="000000"/>
                <w:sz w:val="20"/>
              </w:rPr>
              <w:t>Item 9C.</w:t>
            </w:r>
          </w:p>
        </w:tc>
        <w:tc>
          <w:tcPr>
            <w:tcW w:w="7333" w:type="dxa"/>
            <w:tcBorders/>
            <w:vAlign w:val="center"/>
          </w:tcPr>
          <w:p>
            <w:pPr>
              <w:pStyle w:val="TableContents"/>
              <w:bidi w:val="0"/>
              <w:spacing w:before="0" w:after="283"/>
              <w:ind w:left="0" w:right="0" w:firstLine="60"/>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60" w:right="0" w:firstLine="60"/>
              <w:jc w:val="right"/>
              <w:rPr>
                <w:rFonts w:ascii="Times New Roman" w:hAnsi="Times New Roman"/>
                <w:color w:val="000000"/>
                <w:sz w:val="20"/>
              </w:rPr>
            </w:pPr>
            <w:r>
              <w:rPr>
                <w:rFonts w:ascii="Times New Roman" w:hAnsi="Times New Roman"/>
                <w:color w:val="000000"/>
                <w:sz w:val="20"/>
              </w:rPr>
              <w:t>73</w:t>
            </w:r>
          </w:p>
        </w:tc>
      </w:tr>
      <w:tr>
        <w:trPr/>
        <w:tc>
          <w:tcPr>
            <w:tcW w:w="1334" w:type="dxa"/>
            <w:tcBorders/>
            <w:vAlign w:val="center"/>
          </w:tcPr>
          <w:p>
            <w:pPr>
              <w:pStyle w:val="TableContents"/>
              <w:bidi w:val="0"/>
              <w:spacing w:before="0" w:after="283"/>
              <w:jc w:val="left"/>
              <w:rPr/>
            </w:pPr>
            <w:r>
              <w:rPr/>
              <w:t> </w:t>
            </w:r>
          </w:p>
        </w:tc>
        <w:tc>
          <w:tcPr>
            <w:tcW w:w="7333"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80" w:hanging="0"/>
              <w:jc w:val="right"/>
              <w:rPr/>
            </w:pPr>
            <w:r>
              <w:rPr/>
              <w:t> </w:t>
            </w:r>
          </w:p>
        </w:tc>
      </w:tr>
      <w:tr>
        <w:trPr/>
        <w:tc>
          <w:tcPr>
            <w:tcW w:w="133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7333"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ind w:left="0" w:right="16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160" w:hanging="0"/>
              <w:jc w:val="right"/>
              <w:rPr/>
            </w:pPr>
            <w:r>
              <w:rPr/>
              <w:t> </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10.</w:t>
            </w:r>
          </w:p>
        </w:tc>
        <w:tc>
          <w:tcPr>
            <w:tcW w:w="7333" w:type="dxa"/>
            <w:tcBorders/>
            <w:vAlign w:val="center"/>
          </w:tcPr>
          <w:p>
            <w:pPr>
              <w:pStyle w:val="TableContents"/>
              <w:bidi w:val="0"/>
              <w:spacing w:before="0" w:after="283"/>
              <w:ind w:left="0" w:right="0" w:firstLine="60"/>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74</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11.</w:t>
            </w:r>
          </w:p>
        </w:tc>
        <w:tc>
          <w:tcPr>
            <w:tcW w:w="7333" w:type="dxa"/>
            <w:tcBorders/>
            <w:vAlign w:val="center"/>
          </w:tcPr>
          <w:p>
            <w:pPr>
              <w:pStyle w:val="TableContents"/>
              <w:bidi w:val="0"/>
              <w:spacing w:before="0" w:after="283"/>
              <w:ind w:left="0" w:right="0" w:firstLine="60"/>
              <w:jc w:val="left"/>
              <w:rPr/>
            </w:pPr>
            <w:hyperlink w:anchor="item_11_executive_compensation">
              <w:r>
                <w:rPr>
                  <w:rStyle w:val="InternetLink"/>
                  <w:rFonts w:ascii="Times New Roman" w:hAnsi="Times New Roman"/>
                  <w:color w:val="0000FF"/>
                  <w:sz w:val="20"/>
                  <w:u w:val="single"/>
                </w:rPr>
                <w:t>Executive Compensation</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74</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12.</w:t>
            </w:r>
          </w:p>
        </w:tc>
        <w:tc>
          <w:tcPr>
            <w:tcW w:w="7333" w:type="dxa"/>
            <w:tcBorders/>
            <w:vAlign w:val="center"/>
          </w:tcPr>
          <w:p>
            <w:pPr>
              <w:pStyle w:val="TableContents"/>
              <w:bidi w:val="0"/>
              <w:spacing w:before="0" w:after="283"/>
              <w:ind w:left="0" w:right="0" w:firstLine="60"/>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74</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13.</w:t>
            </w:r>
          </w:p>
        </w:tc>
        <w:tc>
          <w:tcPr>
            <w:tcW w:w="7333" w:type="dxa"/>
            <w:tcBorders/>
            <w:vAlign w:val="center"/>
          </w:tcPr>
          <w:p>
            <w:pPr>
              <w:pStyle w:val="TableContents"/>
              <w:bidi w:val="0"/>
              <w:spacing w:before="0" w:after="283"/>
              <w:ind w:left="0" w:right="0" w:firstLine="60"/>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74</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14.</w:t>
            </w:r>
          </w:p>
        </w:tc>
        <w:tc>
          <w:tcPr>
            <w:tcW w:w="7333" w:type="dxa"/>
            <w:tcBorders/>
            <w:vAlign w:val="center"/>
          </w:tcPr>
          <w:p>
            <w:pPr>
              <w:pStyle w:val="TableContents"/>
              <w:bidi w:val="0"/>
              <w:spacing w:before="0" w:after="283"/>
              <w:ind w:left="0" w:right="0" w:firstLine="60"/>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60" w:right="0" w:firstLine="60"/>
              <w:jc w:val="right"/>
              <w:rPr>
                <w:rFonts w:ascii="Times New Roman" w:hAnsi="Times New Roman"/>
                <w:color w:val="000000"/>
                <w:sz w:val="20"/>
              </w:rPr>
            </w:pPr>
            <w:r>
              <w:rPr>
                <w:rFonts w:ascii="Times New Roman" w:hAnsi="Times New Roman"/>
                <w:color w:val="000000"/>
                <w:sz w:val="20"/>
              </w:rPr>
              <w:t>74</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80" w:hanging="0"/>
              <w:jc w:val="right"/>
              <w:rPr/>
            </w:pPr>
            <w:r>
              <w:rPr/>
              <w:t> </w:t>
            </w:r>
          </w:p>
        </w:tc>
      </w:tr>
      <w:tr>
        <w:trPr/>
        <w:tc>
          <w:tcPr>
            <w:tcW w:w="133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7333"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ind w:left="0" w:right="16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160" w:hanging="0"/>
              <w:jc w:val="right"/>
              <w:rPr/>
            </w:pPr>
            <w:r>
              <w:rPr/>
              <w:t> </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15.</w:t>
            </w:r>
          </w:p>
        </w:tc>
        <w:tc>
          <w:tcPr>
            <w:tcW w:w="7333" w:type="dxa"/>
            <w:tcBorders/>
            <w:vAlign w:val="center"/>
          </w:tcPr>
          <w:p>
            <w:pPr>
              <w:pStyle w:val="TableContents"/>
              <w:bidi w:val="0"/>
              <w:spacing w:before="0" w:after="283"/>
              <w:ind w:left="0" w:right="0" w:firstLine="60"/>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75</w:t>
            </w:r>
          </w:p>
        </w:tc>
      </w:tr>
      <w:tr>
        <w:trPr/>
        <w:tc>
          <w:tcPr>
            <w:tcW w:w="1334" w:type="dxa"/>
            <w:tcBorders/>
            <w:vAlign w:val="center"/>
          </w:tcPr>
          <w:p>
            <w:pPr>
              <w:pStyle w:val="TableContents"/>
              <w:pBdr/>
              <w:bidi w:val="0"/>
              <w:spacing w:before="0" w:after="283"/>
              <w:ind w:left="480" w:right="0" w:hanging="240"/>
              <w:jc w:val="left"/>
              <w:rPr>
                <w:rFonts w:ascii="Times New Roman" w:hAnsi="Times New Roman"/>
                <w:color w:val="000000"/>
                <w:sz w:val="20"/>
              </w:rPr>
            </w:pPr>
            <w:r>
              <w:rPr>
                <w:rFonts w:ascii="Times New Roman" w:hAnsi="Times New Roman"/>
                <w:color w:val="000000"/>
                <w:sz w:val="20"/>
              </w:rPr>
              <w:t>Item 16.</w:t>
            </w:r>
          </w:p>
        </w:tc>
        <w:tc>
          <w:tcPr>
            <w:tcW w:w="7333" w:type="dxa"/>
            <w:tcBorders/>
            <w:vAlign w:val="center"/>
          </w:tcPr>
          <w:p>
            <w:pPr>
              <w:pStyle w:val="TableContents"/>
              <w:bidi w:val="0"/>
              <w:spacing w:before="0" w:after="283"/>
              <w:ind w:left="0" w:right="0" w:firstLine="60"/>
              <w:jc w:val="left"/>
              <w:rPr/>
            </w:pPr>
            <w:hyperlink w:anchor="item_16_form_10k_summary">
              <w:r>
                <w:rPr>
                  <w:rStyle w:val="InternetLink"/>
                  <w:rFonts w:ascii="Times New Roman" w:hAnsi="Times New Roman"/>
                  <w:color w:val="0000FF"/>
                  <w:sz w:val="20"/>
                  <w:u w:val="single"/>
                </w:rPr>
                <w:t>Form 10-K Summary</w:t>
              </w:r>
            </w:hyperlink>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60" w:right="0" w:firstLine="60"/>
              <w:jc w:val="right"/>
              <w:rPr>
                <w:rFonts w:ascii="Times New Roman" w:hAnsi="Times New Roman"/>
                <w:color w:val="000000"/>
                <w:sz w:val="20"/>
              </w:rPr>
            </w:pPr>
            <w:r>
              <w:rPr>
                <w:rFonts w:ascii="Times New Roman" w:hAnsi="Times New Roman"/>
                <w:color w:val="000000"/>
                <w:sz w:val="20"/>
              </w:rPr>
              <w:t>77</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ind w:left="0" w:right="80" w:hanging="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334"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color w:val="0000FF"/>
                  <w:sz w:val="20"/>
                  <w:u w:val="single"/>
                </w:rPr>
                <w:t>Signatures</w:t>
              </w:r>
            </w:hyperlink>
          </w:p>
        </w:tc>
        <w:tc>
          <w:tcPr>
            <w:tcW w:w="7333" w:type="dxa"/>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06" w:type="dxa"/>
            <w:tcBorders/>
            <w:vAlign w:val="center"/>
          </w:tcPr>
          <w:p>
            <w:pPr>
              <w:pStyle w:val="TableContents"/>
              <w:bidi w:val="0"/>
              <w:spacing w:before="0" w:after="20"/>
              <w:ind w:left="0" w:right="0" w:firstLine="60"/>
              <w:jc w:val="right"/>
              <w:rPr/>
            </w:pPr>
            <w:r>
              <w:rPr/>
              <w:t> </w:t>
            </w:r>
          </w:p>
        </w:tc>
        <w:tc>
          <w:tcPr>
            <w:tcW w:w="1232" w:type="dxa"/>
            <w:tcBorders/>
            <w:tcMar>
              <w:top w:w="0" w:type="dxa"/>
              <w:left w:w="0" w:type="dxa"/>
              <w:bottom w:w="0" w:type="dxa"/>
              <w:right w:w="0" w:type="dxa"/>
            </w:tcMar>
            <w:vAlign w:val="center"/>
          </w:tcPr>
          <w:p>
            <w:pPr>
              <w:pStyle w:val="TableContents"/>
              <w:bidi w:val="0"/>
              <w:spacing w:before="0" w:after="20"/>
              <w:ind w:left="60" w:right="0" w:firstLine="60"/>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w:t>
      </w:r>
    </w:p>
    <w:p>
      <w:pPr>
        <w:pStyle w:val="TextBody"/>
        <w:bidi w:val="0"/>
        <w:jc w:val="left"/>
        <w:rPr/>
      </w:pPr>
      <w:r>
        <w:rPr/>
        <w:t> </w:t>
      </w:r>
    </w:p>
    <w:p>
      <w:pPr>
        <w:pStyle w:val="TextBody"/>
        <w:bidi w:val="0"/>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 "Truly Distilling Co.", “American Fermentation Company”, “General Admission Brewing Co.”, “TeaPot Worldwide”, and “Sun Cruiser Beverage Co.".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Beer produces alcohol beverages, including flavored malt beverages, hard seltzer, beer, and hard cider at Company-owned breweries and its cidery and under contract arrangements at other brewery locations. The four primary Company-owned breweries are focused on production and research and development, including breweries located in Boston, Massachusetts (the “Boston Brewery”), Cincinnati, Ohio (the “Cincinnati Brewery”), Milton, Delaware (the “Milton Brewery”) and Breinigsville, Pennsylvania (the “Pennsylvania Brewery”). These breweries, with the exception of the Pennsylvania Brewery, have tap rooms for retail sales on site. The Company produces a small but growing amount of distilled spirits and spirits based ready to drink beverages (“spirits RTDs”) at the Milton Brewery and other contract brewery locations.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operates three smaller local breweries that are mainly focused on brewing and packaging beers for retail sales on site at tap rooms and gift shops, restaurant activities, developing innovative and traditional beers and in some cases, supporting draft and package accounts in the respective local market areas. These local breweries are located in Boston, Massachusetts (the “Samuel Adams Boston Downtown Tap Room”), Rehoboth, Delaware (“Dogfish Head Brewings and Eats”), Los Angeles, California (the “Angel City Brewery" and "Truly LA”), and Cincinnati, Ohio ("Cincincatti Tap Room").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Company owns an apple orchard and cidery located in Walden, New York (the “Orchard” and “Cidery”), a restaurant in Rehoboth, Delaware (“Chesapeake &amp; Maine”) and a boutique inn in Lewes, Delaware (the “Dogfish Inn”).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on-premise retailers, which include bars, restaurants, stadiums and other 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principal executive offices are located at One Design Center Place, Suite 850, Boston, Massachusetts 02210, and its telephone number is (617) 368-5000.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Industry Background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Most of the Company’s products are sold through off-premise retailers and the Company estimates the size of its markets using third-party metrics from measured off-premise channels, which is standard in the beer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was founded in 1984 as a craft brewery and continues to compete in the craft beer category primarily with its Samuel Adams and Dogfish Head brands. The Company has a strong history of innovation and has internally developed brands outside of the craft beer category that are among the leaders in their respective categories. These brands include Twisted Tea, a flavored malt beverage introduced in 2001, Angry Orchard, a hard cider introduced in 2009, and Truly Hard Seltzer, a hard seltzer introduced in 2016.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flavored malt beverages, hard seltzers, beers, and hard ciders are primarily positioned in the market for High End beer occasions. The Company defines “High End” beers as including hard seltzer and flavored malt beverages, craft beers, domestic specialty beers, and most imported beer and hard cider that are called for by a High End beer drinker occasion. High End beers and beer occasions (the “High End category”) are determined by higher price, quality, image and taste, as compared with regular domestic beers. Boston Beer is one of the largest suppliers in the High End category in the United States.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domestic beer industry, excluding the High End category, has experienced a decline in shipment volume over the last twenty years. The Company believes that this decline is due to declining alcohol consumption per person in the population, drinkers trading up to drink high-quality, more flavorful beers, health and wellness trends and increased competition from wine and spirits companies. The Company estimates that the High End full year percentage volume changes in 2021, 2022 and 2023 were approximately 2%, (3%), and 1%, respectively. These trends are above the United States beer market volume changes in 2021, 2022 and 2023, of (5%), (5%), and (2%),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Before Prohibition, the United States beer industry consisted of hundreds of small breweries that brewed full-flavored beers. After the end of Prohibition, most domestic brewers shifted production to less flavorful, lighter beers, which use lower-cost ingredients, and can be mass-produced to take advantage of economies of scale in production. This shift towards mass-produced beers coincided with consolidation in the beer industry that by 2008 ultimately resulted in the two largest breweries, Anheuser-Busch InBev (“AB InBev”) and Molson Coors Beverage Company (“Molson Coors”), comprising over 90% of all United States domestic beer production. At the same time, during recent years the number of breweries in the United States has increased significantly from approximately 1,500 in 2009 to over 10,000 in 2023. Most of these breweries are craft (small and independent) brewers. The rise of craft breweries along with the growth of imported beers, flavored malt beverages, and hard seltzers has resulted in a decline in the volume of the two largest breweries who now comprise approximately 75% of all United States domestic beer production, excluding imports.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the alcohol industry, at large, is forecasting significant growth in a newly defined category named “Beyond Beer” that includes flavored malt beverages, hard seltzers, spirits RTDs, ciders, and other emerging beverages. The Company believes that the Beyond Beer category in dollars grew approximately 4% in 2022 and 6% in 2023 and is now approximately $9.6 billion at retail and 20% of the combined United States beer market and Beyond Beer category. The Company has approximately a 23% market share of the Beyond Beer category which is the second largest in the category.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Approximately 85% of the Company’s 2023 volume is in the Beyond Beer category. The Company believes that the Beyond Beer category is positioned to increase market share.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Description of the Company’s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business goal is to become the leading supplier in the High End and Beyond Beer categories by creating and offering high quality alcohol beverages. With the support of a large, well-trained sales organization and world-class brewers, the Company strives to achieve this goal by offering consumer-responsive beverages, increasing brand availability and awareness through traditional media and digital advertising, point-of-sale, promotional programs, and drinker education and engagement.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beverages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strategy is to create and offer a world-class variety of traditional and innovative alcohol beverages. The Company’s primary brands which include the Twisted Tea, Truly Hard Seltzer, Samuel Adams, Angry Orchard and Dogfish Head brands are all available nationally. The Twisted Tea brand family has grown each year since the product was first introduced in 2001 and has established a loyal drinker following and has become the largest selling flavored malt beverage brand. In 2016, the Company began national distribution of the Truly Hard Seltzer brand and it maintained its place as one of the leading brands in the hard seltzer category in 2023. The Samuel Adams brand began in 1984 and the brand is recognized as one of the largest and most respected craft beer brands with a particular focus on lagers and seasonal beers. The Angry Orchard brand was launched in 2011 and since 2013, Angry Orchard has been the largest selling hard cider in the United States. The Dogfish Head brand began in 1995 and is recognized as one of the most innovative and respected craft beer and spirits brand with a particular focus on India Pale Ales (“IPAs”) and spirits RTDs. In addition to its primary brands, the Company has two local brewery brands, Angel City</w:t>
      </w:r>
      <w:r>
        <w:rPr>
          <w:rFonts w:ascii="Times New Roman" w:hAnsi="Times New Roman"/>
          <w:color w:val="000000"/>
          <w:sz w:val="13"/>
        </w:rPr>
        <w:t xml:space="preserve">® </w:t>
      </w:r>
      <w:r>
        <w:rPr>
          <w:rFonts w:ascii="Times New Roman" w:hAnsi="Times New Roman"/>
          <w:color w:val="000000"/>
          <w:sz w:val="20"/>
        </w:rPr>
        <w:t>and Coney Island</w:t>
      </w:r>
      <w:r>
        <w:rPr>
          <w:rFonts w:ascii="Times New Roman" w:hAnsi="Times New Roman"/>
          <w:color w:val="000000"/>
          <w:sz w:val="13"/>
        </w:rPr>
        <w:t>®,</w:t>
      </w:r>
      <w:r>
        <w:rPr>
          <w:rFonts w:ascii="Times New Roman" w:hAnsi="Times New Roman"/>
          <w:color w:val="000000"/>
          <w:sz w:val="20"/>
        </w:rPr>
        <w:t xml:space="preserve"> that primarily focus on local and regional distribution.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entered the market for spirits RTDs through its Dogfish Head brand in 2021 followed by its Truly Vodka Soda brand in 2022. The Company is planning to launch additional RTD brands during the first quarter of 2024 which include Truly Tequila Soda brand and Sun Cruiser, a new spirit-based hard tea brand made with vodka.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2021, the Company entered separate licensing agreements with PepsiCo, Inc. (“Pepsi”) and Jim Beam Brands Co. (“Jim Beam”) to develop, market and sell alcohol beverages. During 2022 and 2023, the Company sold products under the brand names ‘Hard Mountain Dew’ under the Pepsi agreements and ‘Sauza Agave Cocktails’ and ‘Jim Beam Kentucky Coolers’ under the Jim Beam agreements. Also, the Company collected royalties under the Jim Beam agreement on Jim Beam shipments of ‘Truly Vodka’ and ‘Twisted Tea Whiskey’. While the Company believes these agreements represent strategic opportunities to increase volume in the longer term, these combined brands represented approximately 2% of net revenue in 2023</w:t>
      </w:r>
      <w:r>
        <w:rPr>
          <w:rFonts w:ascii="Times New Roman" w:hAnsi="Times New Roman"/>
          <w:color w:val="FF0000"/>
          <w:sz w:val="20"/>
        </w:rPr>
        <w: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Twisted Tea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Twisted Tea products generally compete within the flavored malt beverage (“FMB”) category of the beer industry. The Company believes that the FMB category comprises approximately</w:t>
      </w:r>
      <w:r>
        <w:rPr>
          <w:rFonts w:ascii="Times New Roman" w:hAnsi="Times New Roman"/>
          <w:color w:val="FF0000"/>
          <w:sz w:val="20"/>
        </w:rPr>
        <w:t xml:space="preserve"> </w:t>
      </w:r>
      <w:r>
        <w:rPr>
          <w:rFonts w:ascii="Times New Roman" w:hAnsi="Times New Roman"/>
          <w:color w:val="000000"/>
          <w:sz w:val="20"/>
        </w:rPr>
        <w:t>7% of United States beer consumption and that the volume comprising the FMB category grew approximately 9% in 2022 and 16% in 2023. This category is highly competitive due to, among other factors, the presence of large brewers and spirits companies in the category as well as many smaller national and regional competitors and a fast pace of product innovation.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offers over ten styles of flavored malt beverages in the Twisted Tea brand family, most of which are available nationally in both the United States and Canada. The majority of the promotional and distribution efforts for the Twisted Tea brand family are focused on Twisted Tea Original, Twisted Tea Half and Half and variety packs in various standard can packages. During 2023, the Company increased its promotional efforts related to Twisted Tea Light and the style grew over 115% off a relatively small base.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Truly Hard Seltzer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Truly Hard Seltzer brand generally competes within the hard seltzer category that has similar characteristics to the beer industry for reporting and regulatory purposes. This category grew rapidly in the early stages of its development and is highly competitive and includes large international and domestic competitors as well as many smaller national, regional and local craft breweries and hard seltzer companies. Beginning in the latter half of 2021 and continuing into 2023, the category saw sharp declines in volume. The Company believes that the hard seltzer category comprises approximately 6% of United States beer consumption and that the volume comprising the hard seltzer category grew 13% in 2021 and then declined 15% in 2022 and 21% in 2023. This relatively sudden and sharp decline has had a significant impact on the Company's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offers over</w:t>
      </w:r>
      <w:r>
        <w:rPr>
          <w:rFonts w:ascii="Times New Roman" w:hAnsi="Times New Roman"/>
          <w:color w:val="FF0000"/>
          <w:sz w:val="20"/>
        </w:rPr>
        <w:t xml:space="preserve"> </w:t>
      </w:r>
      <w:r>
        <w:rPr>
          <w:rFonts w:ascii="Times New Roman" w:hAnsi="Times New Roman"/>
          <w:color w:val="000000"/>
          <w:sz w:val="20"/>
        </w:rPr>
        <w:t>thirty styles of hard seltzer in the Truly Hard Seltzer brand family, most of which are available nationally in the United States. The majority of the promotional and distribution efforts for the Truly brand family in 2023 were focused on sleek can variety packages which include, Truly Berry Mix Pack, Truly Tropical Mix Pack, Truly Citrus Mix Pack, Truly Lemonade Seltzer Mix Pack, Truly Fruit Punch Mix Pack, and Truly Margarita Style Pack.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early 2024, the Company is launching a new 8% ABV “Truly Unruly” variety pack, which will replace its Truly Margarita Style Pack, and a new Truly Party Pack, which will replace its Truly Tropical Pack.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Samuel Adams and Dogfish Head Beers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Samuel Adams and Dogfish Head beers generally compete within the craft beer and domestic specialty beer category. The Company believes that the category comprises approximately 5% of United States beer consumption and that the volume comprising the category declined approximately 9% in 2022 and 3% in 2023. This category is highly competitive and includes large international and domestic competitors, as well as many smaller national, regional and local craft breweries.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offers over twenty styles of beer in the Samuel Adams brand family and the brand is recognized for helping launch the craft beer industry. Samuel Adams Boston Lager</w:t>
      </w:r>
      <w:r>
        <w:rPr>
          <w:rFonts w:ascii="Times New Roman" w:hAnsi="Times New Roman"/>
          <w:color w:val="000000"/>
          <w:sz w:val="13"/>
        </w:rPr>
        <w:t xml:space="preserve">® </w:t>
      </w:r>
      <w:r>
        <w:rPr>
          <w:rFonts w:ascii="Times New Roman" w:hAnsi="Times New Roman"/>
          <w:color w:val="000000"/>
          <w:sz w:val="20"/>
        </w:rPr>
        <w:t>is the Company’s flagship beer that was introduced in 1984.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Samuel Adams Seasonal program of beers was originally introduced in the late 1980’s and includes various limited availability seasonal beers and variety packs.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majority of the promotional and distribution efforts for the Samuel Adams brand family are focused on Samuel Adams Boston Lager and the Samuel Adams Seasonal program as well as Samuel Adams Just the Haze, a non-alcoholic hazy IPA that was released in early 2021 and Samuel Adams Gold Rush, a non-alcoholic golden lager that was released in early 2023. The two Samuel Adams non-alcoholic beers combined grew over 80% in 2023 and represent over 5% of the brands total volume. Most Samuel Adams beers are available nationally in various bottle, standard can, and keg packages.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Samuel Adams brand also releases a variety of specialty package and draft beers brewed in limited quantities at its Samuel Adams Downtown Boston Tap Room, Samuel Adams Boston Brewery Tap Room, and Samuel Adams Cincinnati Brewery Tap Room.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offers over twenty-five styles of beer in the Dogfish Head brand family. The Dogfish Head brand began in 1995 and it is recognized as an early leader in bringing culinary innovations to the U.S. craft beer market. The majority of the promotional and distribution efforts for the Dogfish Head brand family are focused on continually-hopped Dogfish Head 60 Minute and 90 Minute IPAs, along with seasonal variety packs. These styles are offered in various can, bottle and keg packages. The Dogfish Head brand also releases a variety of specialty package and draft beers brewed in limited quantities at its Dogfish Head Brewings and Eats and Milton Brewery tasting room locations. The Company does not own distribution rights to the Dogfish Head beer and distilled spirits brands outside of the United States and Canada.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Angry Orchard Hard Cider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Angry Orchard ciders compete within the hard cider category that has similar characteristics to the beer industry. The Company believes that the hard cider category comprises approximately 0.6% of United States beer consumption and that the volume comprising the category declined 10% in 2022 and 3% in 2023. This category is small and highly competitive and the competition consists mostly of many small regional and local hard cider companies.</w:t>
      </w:r>
    </w:p>
    <w:p>
      <w:pPr>
        <w:pStyle w:val="TextBody"/>
        <w:bidi w:val="0"/>
        <w:jc w:val="left"/>
        <w:rPr>
          <w:rFonts w:ascii="Times New Roman" w:hAnsi="Times New Roman"/>
          <w:color w:val="000000"/>
          <w:sz w:val="20"/>
        </w:rPr>
      </w:pPr>
      <w:r>
        <w:rPr>
          <w:rFonts w:ascii="Times New Roman" w:hAnsi="Times New Roman"/>
          <w:color w:val="000000"/>
          <w:sz w:val="20"/>
        </w:rPr>
        <w:t>The Company offers over ten styles of hard cider in the Angry Orchard brand family, most of which are available nationally in the United States in various bottle, can, and keg packages. The majority of the promotional and distribution efforts for the Angry Orchard brand family are focused on Angry Orchard Crisp Apple. The Angry Orchard brand also releases a variety of specialty package and draft ciders fermented in limited quantities at its Company-owned Orchard and Cidery in Walden, New York.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Dogfish Head Spirit RTDs, Truly Vodka Soda and Truly Tequila Soda</w:t>
      </w:r>
    </w:p>
    <w:p>
      <w:pPr>
        <w:pStyle w:val="TextBody"/>
        <w:bidi w:val="0"/>
        <w:jc w:val="left"/>
        <w:rPr>
          <w:rFonts w:ascii="Times New Roman" w:hAnsi="Times New Roman"/>
          <w:color w:val="000000"/>
          <w:sz w:val="20"/>
        </w:rPr>
      </w:pPr>
      <w:r>
        <w:rPr>
          <w:rFonts w:ascii="Times New Roman" w:hAnsi="Times New Roman"/>
          <w:color w:val="000000"/>
          <w:sz w:val="20"/>
        </w:rPr>
        <w:t>The Company’s Dogfish Head Distilling Canned Cocktails brand and Truly Vodka and Tequilla Soda brands compete in the spirits RTD category. The Company believes that the spirits RTD category comprises over 11% of the United States Beyond Beer market and that the dollar value comprising the category increased 78% and 54% in 2022 and 2023, respectively. This category is small and highly competitive and includes large international and domestic competitors, as well as many small regional and local craft distilling companies.</w:t>
      </w:r>
    </w:p>
    <w:p>
      <w:pPr>
        <w:pStyle w:val="TextBody"/>
        <w:bidi w:val="0"/>
        <w:jc w:val="left"/>
        <w:rPr>
          <w:rFonts w:ascii="Times New Roman" w:hAnsi="Times New Roman"/>
          <w:color w:val="000000"/>
          <w:sz w:val="20"/>
        </w:rPr>
      </w:pPr>
      <w:r>
        <w:rPr>
          <w:rFonts w:ascii="Times New Roman" w:hAnsi="Times New Roman"/>
          <w:color w:val="000000"/>
          <w:sz w:val="20"/>
        </w:rPr>
        <w:t>The Dogfish Head brand began distilling spirits in 2002 and is considered one of the original craft distilleries. The Company offers over 15 styles of distilled spirits under the Dogfish Head brand in small quantities that are sold in limited markets. In 2021, the Company entered the market for spirits RTDs through its Dogfish Head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offers seven styles of spirits RTDs under the Dogfish Head brand that are available nationally in sleek can and sleek can variety packages.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offers eleven styles of spirits RTDs under the Truly Vodka Soda brand that are available nationally in sleek can and sleek can variety packages. In the second half of 2023, the Company introduced its Truly Tequila Soda variety pack to limited test markets. The Company is planning to launch the Truly Tequila Soda variety pack nationally during the first quarter of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continually evaluates the performance of its beverages and the rationalization of its product lines as a whole. Periodically, the Company discontinues certain styles and packages. For example, during the first half of 2023, the Company discontinued Truly Iced Tea Variety Pack and is planning to discontinue Truly Margarita Style Variety Pack and Truly Tropical Variety Pack during the first half of 2024. Certain styles or brands put on hiatus or discontinued in previous years may be produced for the Company’s variety packs or reintroduced.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Innovations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 proven track record of innovation and building new brands and is committed to maintaining its position as a leading innovator. To that end, the Company continually tests new alcohol beverages and may sell them under various brand labels for evaluation of drinker interest. The Boston Brewery, the Milton Brewery and the Orchard, along with its other larger breweries and brewery tap rooms spend significant time ideating, testing and developing alcohol beverages for the Company’s potential future commercial development and evaluating ingredients and process improvements for existing beverages.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most significant innovations in 2023 were the launches of new styles of its Truly Vodka Soda brand and its launch in limited markets of Truly Tequila Soda and Slingers, a new flavored malt beverage brand. In the first quarter of 2024, the Company is planning to launch Truly Tequila Soda nationally and expand Slingers to more markets. Also, during the first quarter of 2024, the Company is planning to launch two new brands in limited markets. These two new brands are Sun Cruiser, a new vodka based hard tea and General Admission, a new non-alcoholic beer. During the rest of 2024, the Company has plans to add new beverage styles and reformulate existing styles of beverages.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2021, the Company announced that it was establishing a subsidiary to serve as a dedicated research and innovation hub in the federally regulated market of Canada focused on non-alcoholic cannabis beverages. This subsidiary enables the Company to develop and pilot unique cannabis beverages, while cannabis regulations continue to evolve in the United States and worldwide. The Company began selling limited quantities of cannabis beverage products in Canada under the TeaPot brand during the second half of 2022. The Company currently does not have plans to produce or sell any cannabis products outside of Canada.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Sales, Distribution, and Marketing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dictated by the legal and regulatory environment, most all the Company’s sales are made to a network of over 300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traditional and e-commerce retail outlets, where the products are sold to drinkers, and in some limited circumstances to parties who act as sub-distributors. The Company sells its products predominantly in the United States, but also has markets in Canada, Europe, Israel, Australia, New Zealand, the Caribbean, the Pacific Rim, Mexico, and Central and South America.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few exceptions, the Company’s products are not the primary brands in its Distributors’ portfolios. Thus, the Company, in addition to competing with other beverages for a share of the drinker’s business, competes with other beverage companies for a share of the Distributor’s attention, time and selling efforts. During 2023, the Company’s largest individual Distributor accounted for approximately 3% of the Company’s gross sales. The top three individual Distributors collectively accounted for approximately 7% of the Company’s gross sales. In some states and countries, the Company’s contracts with its Distributors may be affected by laws that restrict the enforcement of some contract terms, especially those related to the Company’s right to terminate the relationship.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Historically, most of the Company’s products were shipped within days of packaging, resulting in limited finished goods at the Company’s breweries and third-party production facilities. The Company received most of its orders from Distributors in the first week of a month for products to be shipped the following month. Distributors would carry three to five weeks of packaged inventory and three to four weeks of draft inventory and the Company was able to meet Distributor orders with limited out of stocks.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2019, primarily as a result of higher than anticipated demand for the Truly Hard Seltzer and Twisted Tea brands and supply chain constraints, the Company began to have out of stocks and at times was not able to fully meet Distributor demand, particularly during the peak summer months. In response to these out of stocks, the Company began working with certain Distributors on plans to increase Distributor inventories of packaged inventory of Truly Hard Seltzer and Twisted Tea brands to ensure that drinker demand could be met. Beginning in the second half of 2021, as the hard seltzer category slowed significantly more than industry expectations, both Company inventory and Distributors inventory in terms of days on hand increased above historical levels. In 2021, this resulted in write-offs of excess inventory at the Company’s breweries and warehouses and lower orders as distributors aggressively reduced their inventory levels.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2022, the Company produced and sourced materials for Truly Hard seltzer and some of its newer brands at the upper end of its projections to avoid out of stocks at retail. This led to improved customer service levels and significantly fewer out of stocks but resulted in additional write-offs of excess inventory at the Company’s breweries and warehouses. During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significantly improved its supply chain functions which led to reduced inventories internally and at distributors, while improving customer service levels and significantly reducing write-offs of excess inventory. The Company continues to work on its supply chain transformation initiatives to better manage inventory and further reduce write-offs of excess inventory.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believes distributor inventory as of December 30, 2023 was at an appropriate level for each of its brands and averaged approximately four weeks on hand compared to five weeks on hand at December 31,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Beer has a sales force of over 475 people, which the Company believes is one of the largest in the domestic beer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 the Company’s beverages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engages in media campaigns, including television, digital and social media, radio, billboards, and print. These media efforts are complemented by participation in sponsorships, which currently include the United States Soccer Federation, the Boston Red Sox, and other professional sports teams, the Boston Marathon, local concert and festivals, and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Packaging and Ingredients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Historically, the Company has been successful in obtaining sufficient quantities of the packaging materials and ingredients used in the production of its beverages. During 2020 and 2021, the Company experienced some supply chain constraints in packaging materials, primarily cans, that impacted the Company’s production schedules and increased can costs as a result of using a more expensive can supplier. The Company enters into limited-term supply agreements with certain vendors in order to receive preferential pricing. The Company maintains competitive sources for most all packaging materials and ingredients. In 2023, certain flavorings, crowns and labels were each supplied by a single source; however, the Company believes that, given time to adjust, alternative suppliers are available. The most significant packaging and ingredients include: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Cans</w:t>
      </w:r>
      <w:r>
        <w:rPr>
          <w:rFonts w:ascii="Times New Roman" w:hAnsi="Times New Roman"/>
          <w:color w:val="000000"/>
          <w:sz w:val="20"/>
        </w:rPr>
        <w:t>. Truly Hard Seltzer brand beverages are primarily packaged in sleek cans and Twisted Tea brand beverages are primarily packaged in standard cans. In 2023, approximately 79% of the Company’s total volume was packaged in cans and the Company expects that percentage to increase further in 2024. The demand for cans in the beverage industry significantly increased during 2020 and 2021 and there was a shortage of capacity, as can manufacturers adjusted their supply chains to keep up with the increased demand which had accelerated beginning in 2020 as alcohol consumption shifted from on-premise to off-premise. In 2021, as the Truly brand family and the Twisted brand families grew, the Company experienced supply shortages and these supply shortages impacted the Company’s production schedules and increased can costs as a result of using a more expensive can supplier. During 2022 and 2023, the Company did not have any significant disruptions in its can supply and the Company currently believes that it will have a sufficient supply of cans in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Flavorings and Fruit Juice.</w:t>
      </w:r>
      <w:r>
        <w:rPr>
          <w:rFonts w:ascii="Times New Roman" w:hAnsi="Times New Roman"/>
          <w:color w:val="000000"/>
          <w:sz w:val="20"/>
        </w:rPr>
        <w:t xml:space="preserve"> The Company’s beverages include many unique and proprietary flavors and combinations of flavors and some of these flavorings are single sourced. Truly Hard Seltzer and Twisted Tea brand beverages are particularly reliant on the use of flavorings and a variety of flavors as part of their appeal to drinkers. The Company is working closely with various flavoring and fruit juice suppliers to ensure it has an adequate supply and currently believes that it will have sufficient supply of flavorings and fruit juice in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Cardboard</w:t>
      </w:r>
      <w:r>
        <w:rPr>
          <w:rFonts w:ascii="Times New Roman" w:hAnsi="Times New Roman"/>
          <w:color w:val="000000"/>
          <w:sz w:val="20"/>
        </w:rPr>
        <w:t>. The Company’s beverages are packaged primarily in cardboard wraps, carriers and cardboard shipping cases. During 2020, the Company experienced a disruption to its supply of cardboard wraps which impacted its production schedules. Since 2020, the Company has not had any significant disruptions in its supply of cardboard and the Company currently believes that it will have a sufficient supply of cardboard wraps in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Glass.</w:t>
      </w:r>
      <w:r>
        <w:rPr>
          <w:rFonts w:ascii="Times New Roman" w:hAnsi="Times New Roman"/>
          <w:color w:val="000000"/>
          <w:sz w:val="20"/>
        </w:rPr>
        <w:t xml:space="preserve"> Some of the Company’s beverages are sold in glass bottles. Due to the COVID-19 pandemic during 2020 and 2021, the demand for glass bottles in the beverage industry significantly increased and there was a shortage of capacity, as glass manufacturers needed to adjust their supply chains to keep up with the increased demand. The most recent disruption was during the fourth quarter of 2020, which impacted production schedules. Since 2020, the Company has not had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disruptions in its supply of glass and the Company currently believes that it will have a sufficient supply of glass in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Malt. </w:t>
      </w:r>
      <w:r>
        <w:rPr>
          <w:rFonts w:ascii="Times New Roman" w:hAnsi="Times New Roman"/>
          <w:color w:val="000000"/>
          <w:sz w:val="20"/>
        </w:rPr>
        <w:t>The two-row varieties of barley used in the Company’s malt are mainly grown in the United States and Canada. The 2023 North American barley crop, which will support 2024 malt needs, was generally consistent with historical long-term averages with regard to both quality and quantity. The Company purchased most of the malt used in the production of its beers from four suppliers during 2023. The Company also believes that there are other malt suppliers available that are capable of supplying its needs.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Hops. </w:t>
      </w:r>
      <w:r>
        <w:rPr>
          <w:rFonts w:ascii="Times New Roman" w:hAnsi="Times New Roman"/>
          <w:color w:val="000000"/>
          <w:sz w:val="20"/>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uses hops in various formats including T-90 hop pellets, T-45 hop pellets and CO2 Extract. The Company stores its hops in multiple cold storage warehouses to minimize the impact of a catastrophe at a single site.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purchase commitments with seven primary hop dealers and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as other long term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Variations to usage plans could result in hops shortages for specific beers or an excess of certain hops varieties.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Yeast. </w:t>
      </w:r>
      <w:r>
        <w:rPr>
          <w:rFonts w:ascii="Times New Roman" w:hAnsi="Times New Roman"/>
          <w:color w:val="000000"/>
          <w:sz w:val="20"/>
        </w:rPr>
        <w:t>The Company uses multiple yeast strains for production of its beverages. While some strains are commercially available, other strains are proprietary. Since the proprietary strains cannot be replaced if destroyed, the Company protects these strains by storing multiple cultures of the same strain at different production locations and in several independent laboratories.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Apples.</w:t>
      </w:r>
      <w:r>
        <w:rPr>
          <w:rFonts w:ascii="Times New Roman" w:hAnsi="Times New Roman"/>
          <w:color w:val="000000"/>
          <w:sz w:val="20"/>
        </w:rPr>
        <w:t xml:space="preserve"> The Company uses special varieties and origins of apples in its hard ciders that it believes are important for their flavor profiles. In 2023, these apples were sourced primarily from Europe and the United States and include bittersweet apples from France and culinary apples from Italy, Washington State and New York. Purchases and commitments are denominated in Euros for European apples and US Dollars for American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Quality Assurance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employs a quality assurance team and brewmasters to monitor the Company’s brewing operations and control the production of its beverages both at Company-owned breweries and at the third-party production facilities at which the Company’s products are brewed, fermented or distilled. Extensive tests, tastings and evaluations are typically required to ensure that each batch of the Company’s beverages conforms to the Company’s standards. The Company has on-site quality control labs at each of the Company-owned breweries and supports the smaller tap rooms and local breweries with additional centralized lab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exception of certain specialty and distilled products, the Company includes a clearly legible “freshness” date on every bottle, can and keg of its beverages, in order to ensure that its drinkers enjoy only the freshest products. Boston Beer was the first American brewer to use this practice.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Production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pursue a production strategy that includes production at breweries owned by the Company and breweries and packaging facilities owned by others. The Company made capital investments in 2023 of approximately $63.9 million, most of which represented investments in these breweries. These investments were made to drive efficiencies and cost reductions and support product innovation. Based on its current estimates of future volumes and mix, the Company expects to invest between $90 million and $110 million in 2024 to meet those estimates. Because actual capital investments are highly dependent on meeting demand, the actual amount spent may well be significantly different from the Company’s current expectations.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Pennsylvania Brewery, the Cincinnati Brewery and the Milton Brewery produced most of the Company’s shipment volume from breweries owned by the Company during 2023. The Pennsylvania Brewery is the Company’s largest brewery.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Production and retail activities at the Company's local breweries and tap rooms are mainly for brewing and packaging beers for retail sales on site at tap rooms and gift shops, restaurant activities, developing innovative and traditional beers and in some cases supporting draft and package accounts in the respective local market areas.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Cidery’s production is mainly for developing new types of innovative hard ciders and fermenting and packaging ciders for retail sales on site at the Cidery and supporting draft and package accounts in the local market area.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years ended December 30, 2023 and December 31, 2022, the Company brewed, fermented, and packaged approximately 71% and 65%, respectively, of its volume at Company-owned breweries.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 The Company has made up-front payments that were used for capital improvements at these third-party production facilities that it expenses over the period of the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has a brewing and packaging services agreement with subsidiaries of City Brewing Company, LLC (“City Brewing”). During 2023 and 2022, City Brewing supplied approximately 22% and 26%, respectively, of the Company’s annual shipment volume, respectively. In accordance with the brewing and packaging services agreement, the Company has paid to City Brewing $113.4 million for capital improvements at City Brewing facilities and other pre-payments. During 2022, the Company amended its agreement with City Brewing to ensure access to capacity at a new location and continued access at certain existing locations. The agreement includes a minimum capacity availability commitment by City Brewing and the Company is obligated to meet annual minimum volume commitments and is subject to contractual shortfall fees, if these annual minimum volume commitments are not met. The Company has the contractual right to extend its agreement with City Brewing beyond the December 31, 2024 termination date on an annual basis through December 31, 2035.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has a production agreement with Rauch North America (“Rauch”). The agreement includes a minimum capacity availability commitment by Rauch and the Company is obligated to meet annual minimum volume commitments and is subject to contractual shortfall fees, if these annual minimum volume commitments are not met. Production under the Rauch agreement commenced in early 2022. The initial term of the agreement expires December 31, 2031 with provisions to extend.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current production volume projections, the Company believes that it will fall short of its future annual volume commitments at certain third-party production facilities and will incur shortfall fees. The Company expenses the shortfall fees during the contractual period when such fees are incurred as a component of cost of goods sold. During 2023 and 2022, the Company recorded $9.5 million and $3.0 million, respectively, in shortfall fees. As of December 30, 2023, if volume for the remaining term of the production arrangements was zero, the contractual shortfall fees, with advance notice as specified in the related contractual agreements, would total approximately $106 million over the duration of the contracts which have expiration dates through December 31, 2031. At current volume projections and based on understandings reached with these third-party production facilities, the Company anticipates that it will recognize approximately $41 million of shortfall fees and expects to record those expenses as follows:</w:t>
      </w:r>
    </w:p>
    <w:p>
      <w:pPr>
        <w:pStyle w:val="TextBody"/>
        <w:bidi w:val="0"/>
        <w:jc w:val="left"/>
        <w:rPr/>
      </w:pPr>
      <w:r>
        <w:rPr/>
        <w:t> </w:t>
      </w:r>
    </w:p>
    <w:tbl>
      <w:tblPr>
        <w:tblW w:w="6323" w:type="dxa"/>
        <w:jc w:val="left"/>
        <w:tblInd w:w="0" w:type="dxa"/>
        <w:tblLayout w:type="fixed"/>
        <w:tblCellMar>
          <w:top w:w="28" w:type="dxa"/>
          <w:left w:w="28" w:type="dxa"/>
          <w:bottom w:w="28" w:type="dxa"/>
          <w:right w:w="28" w:type="dxa"/>
        </w:tblCellMar>
      </w:tblPr>
      <w:tblGrid>
        <w:gridCol w:w="3091"/>
        <w:gridCol w:w="146"/>
        <w:gridCol w:w="1175"/>
        <w:gridCol w:w="1720"/>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Expected Shortfall Fees to be Incurred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shortfall fees expected to be incurred</w:t>
            </w:r>
          </w:p>
        </w:tc>
        <w:tc>
          <w:tcPr>
            <w:tcW w:w="146" w:type="dxa"/>
            <w:tcBorders/>
            <w:shd w:fill="CFF0FC" w:val="clear"/>
            <w:vAlign w:val="center"/>
          </w:tcPr>
          <w:p>
            <w:pPr>
              <w:pStyle w:val="TableContents"/>
              <w:bidi w:val="0"/>
              <w:spacing w:before="0" w:after="283"/>
              <w:jc w:val="left"/>
              <w:rPr/>
            </w:pPr>
            <w:r>
              <w:rPr/>
              <w:t> </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expects that the percentage of total production at breweries and packaging facilities owned by others will be approximately 24% in 2024. The Company selects breweries and packaging facilities owned by others with one or more of: (i) sleek can packaging and automated variety packaging capability and capacity; (ii) first-rate quality control capabilities throughout the process; and (iii) the capability of utilizing traditional brewing, fermenting and finishing methods. Under its brewing and packaging arrangements with third parties, the Company is charged a service fee based on units produced at each of the facilities.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international business is supplied by breweries owned by the Company, under third-party production and packaging agreements, and production under license at international locations.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 Company believes that it has alternatives available to it, in the event that production at any of its current locations is interrupted, severe interruptions at the Pennsylvania Brewery, Cincinnati Brewery, or City Brewing facilities would be most problematic, especially in seasonal peak periods. In addition, the Company may not be able to maintain its current economics, if interruptions were to occur, and could face significant delays in starting up replacement production locations. Potential interruptions at breweries include labor issues, governmental actions, quality issues, contractual disputes, machinery failures, operational shutdowns, or natural or other unavoidable catastrophes. The Company would work with available contract brewers to attempt to minimize any potential disruptions.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Beer industry in the United States is highly competitive due to large domestic and international brewers and the increasing number of craft brewers and craft distilleries in this category who distribute similar products that have similar pricing and target drinkers.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two largest brewers in the United States, AB InBev and Molson Coors, participate actively in the High End and Beyond Beer categories, through numerous flavored malt beverages, hard seltzers, beers, and spirit RTDs from existing beer brands or new brands, importing and distributing import brands, and with their own domestic specialty beers, either by developing new brands or by acquiring, in whole or part, existing brands. In addition, AB InBev and Molson Coors have business units headquartered in the United States that are focused exclusively on competing in the High End and Beyond Beer categories. Imported beers, such as Modelo Especial®, Corona®, Heineken®, and Stella Artois®, continue to compete aggressively in the United States and have gained market share over the last ten years. Constellation Brands (owner of the United States Distribution rights to Modelo Especial and Corona) and Heineken may have substantially greater financial resources, marketing strength and distribution networks than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recently, beginning in 2021, large non-alcoholic beverage companies including The Coca-Cola Company (“Coke"), Pepsi, Monster Beverage Corporation (“Monster”), and Arizona Beverage Company (“Arizona") have begun to enter these markets directly or through licensing agreements with alcoholic beverage companies to develop alcohol versions of existing traditional non-alcohol brands. Coke has entered into agreements with Molson Coors to develop, market and sell Topo Chico brand Hard Seltzer, Simply Spiked Lemonade, and Peace Hard Tea. Coke also announced agreements with Constellation Brands to develop, market and sell FRESCA Mixed and with Brown Forman to develop, market and sell Jack Daniel's® Tennessee Whiskey and Coca-Cola® Ready-to-Drink Cocktail. As previously discussed, the Company has entered into an agreement with Pepsi to develop, market and sell Hard Mountain Dew, to take advantage of this trend. Pepsi also entered an agreement in late 2022 with FIFCO USA, a New York based brewery, to develop, market and sell Lipton Hard Iced Tea which launched during the first half of 2023. In addition, Monster acquired CaNarchy Craft Brewery Collective in early 2022 and launched the Beast Unleashed, a new brand of flavored malt beverages in early 2023 which includes Nasty Beast Hard Tea. Arizona, after earlier development and launch in 2020 in Canadian markets, launched Arizona Hard Tea in certain markets in the United States during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Twisted Tea beverages compete generally within the FMB category of the beer industry. FMBs, such as Twisted Tea, Mike’s Hard Lemonade, Smirnoff Ice, Cayman Jack, Beast Unleashed, Bud Light Lime, Redd’s Apple Ale, Seagrams Escapes are typically priced competitively with High End beers. As Twisted Tea has grown, more hard teas have been introduced by competitors. Some of these hard tea competitors currently include Arizona Hard Tea, Arnold Palmer Spiked, Nasty Beast Hard Tea, VooDoo Ranger Hard Charged Tea, Hoop Hard Tea, 2Hoots Hard Tea and Peace Hard Tea. As noted earlier, the FMB category is highly competitive due to, among other factors, the presence of large brewers and spirits companies in the category, the advertising of malt-based spirits brands in channels not available to the parent brands and a fast pace of product innovation.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Truly Hard Seltzer beverages compete primarily within the hard seltzer category of the beer industry. This category grew quickly from 2016 to 2021 and then declined in 2022 and 2023. The hard seltzer category, is highly competitive and includes large international and domestic competitors. Hard seltzers are typically priced competitively with High End beers and may compete for drinkers with beer, wine, spirits, or FMBs. Some of these competitors include Mark Anthony Brands under the brand name “White Claw” "White Claw Surf" and "White Claw Surge."; ABInBev under “Bud Light Seltzer”, and “Michelob Ultra Organic Seltzer”, and Molson Coors under “Vizzy Hard Sparkling Water” and "Topo Chico".</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Truly brand, including Truly Hard Seltzer, Truly Vodka Soda, and Truly Tequila Soda also compete against a sub-category of Spirits RTDs that the Company and the alcohol industry at large categorize as Spirit Seltzer and Soda. The Spirit Seltzer and Soda sub-category generally consists of lower calorie and lower alcohol Spirits RTDs that are similar in flavor and taste to the hard seltzer category beverages but at a higher price. The leading brand in the Spirit Seltzer and Soda category is owned by E&amp;J Gallo Winery under the brand name "High Noon” and other competitors in the category include ABInBev under “Nutrl Vodka Seltzer”, Mark Anthony under "White Claw Vodka Soda" and "Rey Azul Tequila and Soda" and Molson Coors under "Topo Chico Spirited Can Cocktails".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Samuel Adams and Dogfish Head beers compete primarily within the craft beer and domestic specialty beer category of the beer industry. The Company expects competition and innovation among domestic craft brewers to remain strong, as the number of craft brewers continues to grow. The Company estimates there are over 10,000 breweries in operation, up from approximately 1,500 operating breweries in 2009. Most of these new breweries are craft (small and independent) brewers. Also, some existing craft breweries are building more capacity, adding additional local tap rooms, expanding geographically and adding more SKUs and styles.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recent years, there have been numerous announcements of acquisitions of or investments in craft brewers by larger breweries and private equity and other investors. The most significant acquisitions include Heineken’s acquisition of Lagunitas Brewing Company for approximately $1 billion and AB InBev’s and Molson Coors purchase of multiple smaller craft breweries</w:t>
      </w:r>
      <w:r>
        <w:rPr>
          <w:rFonts w:ascii="Times New Roman" w:hAnsi="Times New Roman"/>
          <w:color w:val="FF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Angry Orchard product line competes within the hard cider category. As noted earlier, this category is small and highly competitive and the competitors include mostly small regional and local hard cider companies. Hard ciders are typically priced competitively with High End Beers and may compete for drinkers with beer, wine, spirits, or FMBs. Some of these competitors include "Bold Rock", "Ace" and "2 Towns".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Dogfish Head Canned Cocktails compete in the spirits RTDs category. This category is small and highly competitive and includes large international and domestic competitors, as well as many small regional and local distilling companies. Spirits RTDs are typically priced above High End Beers and may compete for drinkers with beer, wine, spirits, or FMBs. As discussed above, spirits RTDs consist of the sub-category of Spirit Seltzer and Soda. Dogfish Head Canned Cocktails generally competes in the other sub-category of spirits RTDs named Spirits-based Canned Cocktails. Beverages in the Spirits-based Canned Cocktails sub-category generally have more flavor and higher alcohol than spirits RTDs in the sub-category of Spirit Seltzer and Soda. Some of these Spirits-based Canned Cocktails competitors include; ABInBev under the brand name "Cutwater" and Diageo under the brand name "Crown Royal".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beverages competitively with wine and spirits.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competes with other beer and alcoholic beverage companies within a three-tier distribution system. The Company competes for a share of the Distributor’s attention, time and selling efforts. At retail, the Company competes for traditional retail shelf, cold box and tap space, as well as e-commerce placement. From a drinker perspective, competition exists for brand acceptance and loyalty. The principal factors of competition in the market for High End beer and Beyond Beer occasions include product quality and taste, brand advertising and imagery, trade and drinker promotions, pricing, packaging and the development of innovative new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certain competitive advantages over other brewers and competitors, including a long history of awards for product quality, greater available resources and the ability to distribute and promote its products on a more cost-effective basis. Additionally, the Company believes it has competitive advantages over imported beers, including lower transportation costs, higher product quality, a lack of import charges and superior product freshness.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Regulation and Taxation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 Administration, state alcohol regulatory agencies and state and federal environmental agencies.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Governmental entities may levy various taxes, license fees and other similar charges and may require bonds to ensure compliance with applicable laws and regulations. Beginning in 2018, as a result of the “Tax Cuts and Jobs Act”, the Company’s federal excise tax rate on hard seltzer and beer decreased from $18 to $16 per barrel on all barrels below 6 million barrels produced annually. The top tier rate on hard cider (with alcohol by volume of 8.5% or less) is $0.226 per gallon, on hard cider (with non-qualifying fermentable fruits) is $1.07 per gallon, on artificially carbonated wine (hard cider with high CO2 levels) is $3.30 per gallon, and on distilled spirits is $13.50 per proof gallon. States levy excise taxes at varying rates based on the type of beverage and alcohol content. Failure by the Company to comply with applicable federal, state or local laws and regulations could result in higher taxes, penalties, fees and suspension or revocation of permits, licenses or approvals. While there can be no assurance that any such regulatory action would not have a material adverse effect upon the Company or its operating results, the Company is not aware of any infraction affecting any of its licenses or permits that would materially impact its ability to continue its current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Trademarks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has obtained trademark registrations with the United States Patent and Trademark Office for over 400 trademarks, including Samuel Adams®, Sam Adams®, Twisted Tea®, Truly®, Truly Hard Seltzer®, Angry Orchard®, Dogfish Head®, Coney Island®, and Angel City Brewery</w:t>
      </w:r>
      <w:r>
        <w:rPr>
          <w:rFonts w:ascii="Times New Roman" w:hAnsi="Times New Roman"/>
          <w:color w:val="000000"/>
          <w:sz w:val="13"/>
        </w:rPr>
        <w:t>®</w:t>
      </w:r>
      <w:r>
        <w:rPr>
          <w:rFonts w:ascii="Times New Roman" w:hAnsi="Times New Roman"/>
          <w:color w:val="000000"/>
          <w:sz w:val="20"/>
        </w:rPr>
        <w:t>. It also has a number of common law trademarks. Several Company trademarks are also registered or have registrations pending in various foreign countries. The Company regards its trademarks 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Environmental, Health, and Safety Regulations and Operating Considerations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operations are subject to a variety of extensive and changing federal, state and local environmental and occupational health and safety laws, regulations and ordinances that govern activities or operations that may have adverse effects on human health or the environment. Environmental laws, regulations or ordinances may impose liability for the cost of remediation of, and for certain damages resulting from, sites of past releases of hazardous materials. The Company believes that it currently conducts, and in the past has conducted, its activities and operations in substantial compliance with applicable environmental laws, and believes that any costs arising from existing environmental laws will not have a material adverse effect on the Company’s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its efforts to be environmentally responsible, the Company has adopted a number of practices designed to improve recycling, waste reduction, and utilities consumption at its breweries.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adopted various policies and procedures intended to ensure that its facilities meet occupational health and safety requirements. The Company believes that it currently is in compliance with applicable requirements and will continue to endeavor to remain in compliance. In the future, however, new and more restrictive requirements could well be adopted, compliance with which might have a material, adverse financial effect on the Company and its operating results. There can be no assurances that such policies and procedures will be consistently followed and be sufficient to prevent serious accidents.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Among the Company’s key Environmental, Social, and Governance ("ESG") achievements in 2022 was the publication of its inaugural ESG Report entitled Setting the Course for the Future, which is available on the Company’s investor relations website at www.bostonbeer.com. While the Company is just starting its ESG journey, it has long believed in the importance of accurate and transparent reporting on the impact that the Company has on its people, the planet, and its communities. Going forward, the Company intends to share its progress regarding its ESG initiatives in its annual ESG Report, but the Company will continue to share select highlights in its 10-K and annual proxy 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30, 2023, the Company had 2,793 coworkers, of which 169 were represented by unions or similar organizations. The Company’s Executive Leadership Team (“ELT”) is comprised of the Company's CEO and seven of his direct reports who collectively have management responsibility for the Company's primary business areas, including but not limited to brewing, supply chain operations, sales, marketing, finance, legal, and people and culture. The Company’s Board of Directors and the ELT believe that succession planning, talent management, culture, and diversity, equity, and inclusion are critical to the Company’s continued success.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Succession Planning and Talent Management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regularly reviews talent development and succession plans for each of its functional areas to identify and develop a pipeline of talent to maintain business operations. The Company understands the potential costs and risks of bringing in an outside executive officer in today’s environment, and that businesses are often – but not always – more successful in promoting internal candidates. Accordingly, the Board of Directors and the ELT make efforts to identify potential successors for those positions long in advance of any potential positional vacancies, perform skills gap analyses for those internal candidates, and provide training and exposure on those gap areas to those candidates in order to develop better potential successors. The Board of Directors is primarily responsible for succession planning for the CEO, but also participates in succession planning discussions for other executive officer positions. The Company believes that its culture, compensation structure, long-term equity program, and robust training and development program provide motivation for talented leaders to remain with the Company.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Culture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ELT discusses culture with its employees and the Board of Directors on a regular basis. The Company is continuously focused on developing an inclusive and respectful work environment, where all employees at every level should feel empowered to honestly “discuss the undiscussables” with other employees at any level, all the way up to the Chairman and the CEO, without fear of retribution or retaliation. The Chairman teaches this philosophy during orientation to all new employees, and each company-wide meeting has time set aside to discuss the undiscussables. Additionally, each year the Board meets with a set of key senior managers, without the ELT present, so that the Board may seek direct feedback on the Company, its practices, culture, and employee benefits and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fosters a culture of ongoing training and education. Some examples of trainings provided to employees include New Co-Worker Orientation, Respectful and Effective Communications, Leading the Boston Beer Company Way, Selling Skills, Negotiations, and Building Brands. Over the past year, the Company has been particularly focused on delivering a Crucial Conversations class, designed to teach all employees refined skills for having “undiscussable” conversations. Employees also receive beer and cider education training during New Co-Worker Orientation. Then, after having been with the Company for one year, employees are encouraged to participate in further beer and cider education courses where they can train to be certified as industry experts in those areas. The Company believes that it has the most beer industry experts, called “Certified Cicerones,” in the beer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October 2020, the Company rolled out a formal mentoring and leadership program to connect dozens of senior and junior employees across a range of backgrounds with the purpose of diversifying perspectives, building networks, developing capabilities, growing competencies, and cultivating leadership.</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regularly conducts internal engagement surveys of its employee base to help ensure that it is maintaining its culture. In 2023, over 83% of employees participated in the survey, which resulted in high scores in response to the questions related to pride in working for the Company, embodying the Company’s values, the Company’s concern for employee safety, personal well-being, and diversity, and creating a respectful work environment.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Diversity, Equity, and Inclusion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Core to the Company's "Our People" value is Diversity, Equity, and Inclusion (DE&amp;I), which prioritizes building a diverse and fair-minded organization that recognizes and values differences. The Company committed to making Boston Beer a welcoming place to work for all employees, by fostering a culture where everyone feels heard, valued, and respected. These efforts reinforce a workplace that supports and uplifts coworkers to feel accepted, equal, and involved, and to increase diverse representation across our organization. In 2023, the Company set out to accomplish two objectives including hiring an Inclusion and Belonging Program Manager dedicated to supporting the continued efforts in this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are a few accomplishments tied to these objectives: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Prioritized inclusion and belonging to ensure coworkers feel heard, valued, and respected.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Rolled out visible pay ranges for all roles, including open job requisitions.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support DE&amp;I efforts, the Company previously established a “Value 4 Council” (named for the Company's 4th value, ‘our differences make us stronger’). This council, comprised of leaders across all departments, continues to engage in efforts supporting inclusion. To date, the Company has had two cohorts participate on the council and complete 15 hours of allyship training.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promote an inclusive culture across the organization, the Company held six “Fearless Moments” discussion sessions. These sessions, featuring founders Jim Koch and Sam Calagione and facilitated by members of the Company's ELT and Value 4 Council, create a space for coworkers to reflect on the Company's values and their role in creating a community of belonging.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improve its ability to cultivate a more diverse workforce, the Company refreshed its employer brand, prominently updating its public-facing website, www.bostonbeer.com. In 2023, this led to a 9% increase in total job applicants. Within that overall growth, the Company saw an increase in diverse candidates in several demographics in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2022, the Company clearly established an ongoing commitment to pay transparency. Pay transparency is the commitment from Boston Beer to provide coworkers visibility into the BBC’s pay philosophy, how the Company administers pay, and finally the pay range for individual jobs. To deliver on pay ranges, over the course of 8 months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Created ~1,500 unique pay statements for each eligible coworker.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Hosted over 50 comp 101 education sessions to educate on the Company's pay practices with every department.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Held 100+ leadership review sessions to ensure the details were accurate.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Provided deep education to managers to help deliver the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the successful roll-out of pay ranges for existing coworkers, in November 2023, the Company began publicly disclosing salary ranges on job requisitions.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Corporate Social Responsibility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Social Impact Team works with external partners and internal stakeholders across the organization to bring Corporate Social Responsibility initiatives to life for our coworker communities and for its brands. In 2023, the Company invested nearly $3 million into cause-marketing, bringing the total dollars spent since 2016 to more than $23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Beer Benevolence Days are curated one day service projects during which coworkers work together to support non-profit partners in the communities they work and live in. In 2023, Boston Beer coworkers participated in 47 separate Benevolence Days totaling more than 1800 hours with 45 community partners. Some of the projects coworkers supported in 2023 included food &amp; clothing pantry sorting/packing, home building, clearing invasive species from waterways, community beautification, and trail cleanup. In addition, the Social Impact Team hosted onsite Benevolence opportunities at our BeerFest meetings. In Boston, coworkers assembled hygiene kits for 2 New England veterans organizations and at the Delaware BeerFest gathering they penned Veterans Day cards for those staying at a local shelter.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Samuel Adams Brewing the American Dream® program celebrated a milestone 15th year in 2023, surpassing more than $100 million in loans to support small business owners. In partnership with Accion Opportunity Fund, the nation’s largest non-profit micro-lender, as well as other local non-profit partners, the initiative supports small business owners in the food, beverage, and brewing industries through access to business capital, coaching, and new market opportunities. The goal is to help strengthen small businesses, create local jobs, and build vibrant communities. Boston Beer coworkers provide one-on-one coaching for the entrepreneurs in subjects ranging from procurement, sales and marketing. At the Samuel Adams Boston Taproom we launched a series of Brewing The American Dream collaboration beers to bring visibility to small, local breweries.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2023, Dogfish Head’s Beer &amp; Benevolence program invested more than $625,000 into the coastal Delaware community through organizations working to build community, amplify the arts and make positive environmental impact. Some of the 2023 Beer &amp; Benevolence highlights included: 1,800 runners participating in the 2023 Dogfish Dash, raising $70,000 for the Delaware Center for the Inland Bays; our seafood restaurant Chesapeake &amp; Maine contributing 135.5 bushels of shellfish shucks to the Don't Chuck Your Shucks program. These shucks contributed to the 2,700 oyster shell bags that help restore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shorelines and protect marsh edges; and providing support to the Developing Artist Collaboration which provides artists with career development, peer connection and physical spaces.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kicked off a three-year partnership with the newly formed National Black Brewers Association ("NB2A") in 2023, pledging financial support for the organization. The company has coworkers serving on the Advisory Board and the Business Council for the NB2A, whose mission is dedicated to addressing under-representation of Black people in the brewing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Through these actions and others, the BBC Social Impact Team is focused on empowering coworkers, brands and partners to impact the Company's communities through inclusive engagement to deepen connections and make a difference.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submitted the Section 12(a) CEO Certification to the New York Stock Exchange in accordance with the requirements of Section 303A of the NYSE Listed Company Manual. This Annual Report on Form 10-K contains at Exhibits 31.1 and 31.2 the certifications of the Chief Executive Officer and Chief Financial Officer, respectively, in accordance with the requirements of Section 302 of the Sarbanes-Oxley Act of 2002. The Company makes available free of charge copies of its Annual Report on Form 10-K, as well as other reports required to be filed by Section 13(a) or 15(d) of the Securities Exchange Act of 1934, on the Company’s investor relations website at </w:t>
      </w:r>
      <w:r>
        <w:rPr>
          <w:rFonts w:ascii="Times New Roman" w:hAnsi="Times New Roman"/>
          <w:i/>
          <w:color w:val="000000"/>
          <w:sz w:val="20"/>
        </w:rPr>
        <w:t>www.bostonbeer.com</w:t>
      </w:r>
      <w:r>
        <w:rPr>
          <w:rFonts w:ascii="Times New Roman" w:hAnsi="Times New Roman"/>
          <w:color w:val="000000"/>
          <w:sz w:val="20"/>
        </w:rPr>
        <w:t>, or upon written request to Investor Relations, The Boston Beer Company, Inc., One Design Center Place, Suite 850, Boston, Massachusetts 02210.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 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Risks Associated with Our Industry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 faces substantial 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High End and Beyond Beer categories within the United States are highly competitive due to the participation of large domestic and international brewers in the categories and the increasing number of regional and local competitors, who distribute similar products that have similar pricing and target drinkers.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two largest brewers in the United States, AB InBev and Molson Coors, participate actively in the High End and Beyond Beer categories, through numerous launches of new hard seltzers, flavored malt beverages and spirit RTDs from existing brands or new brands, importing and distributing import brands, and with their own domestic specialty beers, either by developing new brands or by acquiring, in whole or part, existing brands. Imported beers, such as Modelo Especial®, Corona®, Heineken®, and Stella Artois®, continue to compete aggressively in the United States and have gained market share over the last ten years. Constellation Brands (owner of the United States distribution rights to Modelo Especial and Corona) and Heineken may have substantially greater financial resources, marketing strength and distribution networks than the Company. The Company anticipates competition will remain strong as some existing beverage companies are building more capacity, expanding geographically and adding more SKUs and styles. The potential for growth in the sales of flavored malt beverages, hard seltzers, craft-brewed domestic beers, imported beers and spirits RTDs is expected to increase the competition in the market for High End beer and Beyond Beer occasions within the United States and, as a result, the Company may well face competitive pricing pressures and the demand for and market share of the Company’s products may fluctuate and possibly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products compete generally with other alcoholic beverages. The Company competes with other beer and beverage companies not only for drinker acceptance and loyalty, but also for traditional retail shelf, cold box and tap space, as well as e-commerce placement and for marketing focus by the Company’s Distributors and their customers, all of which also distribute and sell other alcoholic beverage products. Many of the Company’s competitors, including AB InBev, Molson Coors, Constellation, Heineken and Mark Anthony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2021, large non-alcoholic beverage companies including Coca-Cola Company (“Coke"), Pepsi, Monster Beverage Corporation (“Monster”) and Arizona Beverage Company ("Arizona") have begun to enter these markets directly or through licensing agreements with alcoholic beverage companies to develop alcohol versions of existing traditional non-alcohol brands. Coke has entered into agreements with Molson Coors to develop, market and sell Topo Chico brand Hard Seltzer, Simply Spiked Lemonade and Peace Hard Tea. Coke also announced agreements with Constellation to develop, market and sell FRESCA Mixed, a line of spirits RTDs and with Brown Forman to develop, market and sell Jack Daniel’s® Tennessee Whiskey and Coca-Cola® Ready-to-Drink Cocktail. As previously discussed, the Company has entered into an agreement with Pepsi to develop, market and sell alcohol beverages which include Hard Mountain Dew, to take advantage of this trend. In addition, Monster acquired CANarchy Craft Brewery Collective in early 2022 and launched the Beast Unleashed, a new brand of flavored malt beverages in early 2023 which includes Nasty Beast Hard Tea. Arizona, after earlier development and launch in 2020 in Canadian markets, launched Arizona Hard Tea in certain markets in the United States during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the increased leverage that these larger companies have in distribution and sales and marketing expenses, the costs to the Company of competing could increase. The potential also exists for these large competitors to increase their influence with their Distributors, making it difficult for smaller beverage companies to maintain their market presence or enter new markets. Also, consolidation in the industry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public attitudes and drinker tastes could harm the Company’s business. Regulatory changes in response to public attitudes could adversely affect the Company’s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alcoholic beverage industry has been the subject of considerable societal and political attention for several years, due to public concern over alcohol-related social problems, including driving under the influence, underage drinking and health consequences from the misuse of alcohol, including alcoholism. As an outgrowth of these concerns, the possibility exists that advertising by beer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domestic beer industry, other than the market for High End beer occasions and Beyond Beer occasions, has experienced a decline in shipments over the last ten years. The Company believes that this decline is due to declining alcohol consumption per person in the population, drinkers trading up to drink high quality, more flavorful FMBs, hard seltzers, beers, and spirts RTDs, health and wellness trends and increased competition from wine and spirits companies. If consumption of the Company’s products in general were to come into disfavor among domestic drinkers, or if the domestic alcohol beverage industry were subjected to significant additional societal pressure or governmental regulations, the Company’s business could be materially adversely affected.</w:t>
      </w:r>
    </w:p>
    <w:p>
      <w:pPr>
        <w:pStyle w:val="TextBody"/>
        <w:bidi w:val="0"/>
        <w:jc w:val="left"/>
        <w:rPr>
          <w:rFonts w:ascii="Times New Roman" w:hAnsi="Times New Roman"/>
          <w:color w:val="000000"/>
          <w:sz w:val="20"/>
        </w:rPr>
      </w:pPr>
      <w:r>
        <w:rPr>
          <w:rFonts w:ascii="Times New Roman" w:hAnsi="Times New Roman"/>
          <w:color w:val="000000"/>
          <w:sz w:val="20"/>
        </w:rPr>
        <w:t>Additionally, certain states are considering or have passed laws and regulations that allow the sale and distribution of marijuana. Currently it is not possible to predict the impact of this on sales of alcohol, but it is possible that legal marijuana usage could adversely impact the demand for the Company’s products.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 is dependent on its distributors.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where approximately 95% of its beverages are sold, the Company sells most of its alcohol beverages to independent beer Distributors for distribution to retailers and, ultimately, to drinkers. Although the Company currently has arrangements with over 300 Distributors, sustained growth will require it to maintain such relationships and possibly enter into agreements with additional Distributors. Changes in control or ownership within the current distribution network could lead to less support of the Company’s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assurance can be given that the Company will be able to maintain its current distribution network or secure additional Distributors on terms not less favorable to the Company than its current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Risks Related to the Company's Business and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no assurance that the Company will grow its business in the future or that the Company can adapt to the challenges of the changing competitive environment.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2015 to 2017, the Company experienced a decline in the demand for its products, as craft beer growth rates slowed and the hard cider category declined. From 2018 to 2021, the Company experienced increases in demand for its products, driven by growth in its Truly and Twisted Tea brands, and grew 13%, 22%, 37% and 22% in depletion volume for 2018, 2019, 2020 and 2021, respectively. Beginning in the second half of 2021, the market for hard seltzer products experienced decelerating growth trends, which resulted in a depletion volume decline of 5% in 2022 and 6% in 2023 (5% decline on a 52-week comparable basis). The slowdown in growth trends greatly impacted the Company's volume of production and shipments, as well as its volume projections for the future. The volume reduction also resulted in increased supply chain related costs. These costs include the destruction of excess inventory, provisions for excess and obsolete inventories, property, plant and equipment impairments, write-offs of third-party production prepayments and provisions for costs associated with the termination of various third-party production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targeting a percentage change in shipments and depletion volume of between down single digits to up single digits. The Company’s ability to meet these targets may be affected by an increasing number of competing beverages. The development of new products by the Company to meet these challenges may lead to reduced sales of the Company’s existing brands and there is no guarantee that these new product initiatives will generate stable long term volume. Additionally, changes in the use of media and technology are impacting the economics of how brands are marketed to drinkers and may be diminishing the traditional competitive advantage the Company may have had in buying national media relative to smaller brands. While the Company believes that a combination of innovation, new brand messaging and exploration of new media, and increased investment in sales execution can lead to increased demand, there is no guarantee 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maintain the current levels of distributor and retailer support of its brands, and fund its current brand investment levels, and could potentially require a review of long term organization and brewery needs. Currently, the Company believes it can meet its volume targets in 2024 and return to volume growth in future years, but there is no guarantee its efforts will be successful or profitable.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Company’s inability to react to changes in demand could have a material adverse effect on the Company’s operations or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Despite the depletion volume declines in 2023 of 6% (5% decline on a 52-week comparable basis), since 2017 demand for the Company’s products has grown significantly and its 2023 depletion volume was over two times 2017 volumes. During 2021, the market for hard seltzer products experienced decelerating growth trends which resulted in the annual volume growth rate declining from an increase of 158% in 2020 to 13% in 2021 and then a decrease of 15% in 2022 and 21% in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changes in growth trends in the Company’s business, particularly for the Truly Hard Seltzer Brand, as well as added product complexity, heighten the management challenges that the Company faces. In recent years, the Company has had periods of excess capacity that were nevertheless accompanied by product shortages and service issues. As demand for its products grew from 2017 through the first half of 2021, the Company faced challenges in meeting demand. The challenges were both production constraints, primarily resulting from canning and variety pack capacity limitations, and can supply constraints. During this period, the Company experienced increased inventory obsolescence, operational, and freight costs, as it reacted. In response to these issues, the Company significantly increased its packaging capabilities and tank capacity and added personnel to address these challenges.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a decline in volume over the second half of 2021 through 2023, the Company then incurred additional supply chain related costs associated with downsizing its production model to adjust to reduced demand. In recent periods, the Company has been able to better match its supply chain to meet demand, but a sudden increase could result in a recurrence of challenges in meeting demand and a sudden decrease could result in other incremental costs. There can be no assurance that the Company will effectively address changing consumer demand or manage increasing product complexity, without experiencing similar issues in the future. Planning failures, operating inefficiencies, insufficient employee training,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deficiencies, or other similar issues could well have a material adverse effect on the Company’s business and financial results. Growth or decline in the Company’s revenues, changes in operating procedures, and increased complexity have required significant capital investment. The Company on an overall basis has yet to see any operating cost leverage from these investments and there is no guarantee that it will.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remains reliant on third party-owned breweries, particularly City Brewing Company, LLC, to meet demand and the percentage of its volume produced at Company owned breweries decreased from over 90% in 2017 to approximately 71% in 2023. The Company currently expects that the percentage of total production at Company owned breweries in 2024 will be over 75%. The Company expects its reliance on production at City Brewing Company, LLC to decline from approximately 22% of production in 2023 to approximately 20% of production in 2024.</w:t>
      </w:r>
    </w:p>
    <w:p>
      <w:pPr>
        <w:pStyle w:val="TextBody"/>
        <w:bidi w:val="0"/>
        <w:jc w:val="left"/>
        <w:rPr>
          <w:rFonts w:ascii="Times New Roman" w:hAnsi="Times New Roman"/>
          <w:color w:val="000000"/>
          <w:sz w:val="20"/>
        </w:rPr>
      </w:pPr>
      <w:r>
        <w:rPr>
          <w:rFonts w:ascii="Times New Roman" w:hAnsi="Times New Roman"/>
          <w:color w:val="000000"/>
          <w:sz w:val="20"/>
        </w:rPr>
        <w:t>The Company’s ability to grow and to meet potentially increasing consumer demand will be affected by: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its ability to meet production goals and/or targets at the Company’s owned breweries and third party-owned breweries;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its ability to enter into new brewing contracts with third party-owned breweries on commercially acceptable terms;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disruption or other operating performance issues at the Company’s owned breweries or limits on the availability of suitable production capacity at third party-owned breweries;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its ability to obtain sufficient quantities of certain packaging materials and ingredients, such as cans, flavorings, cardboard wraps and glass bottles from suppliers;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its ability to reduce risk of both over and under supply by improving and automating manual internal processes for demand and production planning.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Company were unable to increase supply to meet increased consumer demand for its products, the Company’s business and financial results could well be adversely affected. Alternatively, if there is a sudden decline in demand for the Company’s products, additional costs and inefficiencies could likely result from efforts to adjust the Company’s production model accordingly.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Company’s advertising and promotional investments may affect the Company’s financial results but not be effective.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made and expects to continue to make, significant advertising and promotional expenditures to enhance its existing brands and promote new brands.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Company is dependent on key packaging suppliers and an increase in packaging costs could harm the Company’s financial results</w:t>
      </w:r>
      <w:r>
        <w:rPr>
          <w:rFonts w:ascii="Times New Roman" w:hAnsi="Times New Roman"/>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demand for packaging materials in the beverage industry has increased and during 2020 and 2021 there was a shortage of capacity, as manufacturers adjusted their supply chains to keep up with the increased demand, caused by the COVID-19 pandemic. Truly Hard Seltzer brand beverages are primarily packaged in sleek cans and Twisted Tea brand beverages are primarily packaged in standard cans. In 2020 and 2021, as the Truly and the Twisted brand families grew significantly and overall demand for cans increased, the Company experienced supply constraints for cans. These supply constraints impacted the Company’s production schedules and increased can cost by having to use a more expensive supplier. These pressures were reduced during 2022 and 2023 and the Company currently believes it will have a sufficient supply of packaging materials for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maintains competitive sources for the supply of packaging materials, such as cans, glass, cardboard wraps and shipping cases. The Company enters into limited-term supply agreements with certain vendors in order to receive preferential pricing. In 2023, certain flavorings, crowns, and labels were each supplied by single sources. Although the Company believes that alternative suppliers are available, the loss of any of the Company’s packaging materials suppliers could, in the short-term, adversely affect the Company’s results of operations, cash flows and financial position until alternative supply arrangements were secured. Additionally, there has been acquisition, change in control and consolidation activity in several of the packaging supplier networks which could potentially lead to further disruption in supply and changes in economics. If packaging costs continue to increase, there is no guarantee that such costs can be fully passed along through increased prices.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entered into long-term supply agreements for certain packaging materials that have shielded it from some cost increases. These contracts have varying lengths and terms and there is no guarantee that the economics of these contracts can be replicated when renewed. The Company’s inability to preserve the current economics on renewal could expose the Company to significant cost increases in future years. Some of these contracts require the Company to make commitments on minimum volume of purchases based on Company forecasts. If the Company's needs decline significantly from its forecasts, the Company would likely incur storage costs for excess production or contractual penalties that might be significant and could have a material adverse impact on the Company's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 is dependent on key ingredient suppliers, including foreign sources; its dependence on foreign sources creates foreign currency exposure for the Company; the Company’s use of natural ingredients creates weather and crop reliability and excess/shortage inventory exposure for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purchases a substantial portion of the ingredients used in its beverages, including its flavorings, fruit juice, malt, hops, apples, and other ingredients, from a limited number of domestic and foreign suppliers. The Company has historically not experienced material difficulties in obtaining timely delivery from its ingredient suppliers and currently believes that it will have sufficient supply of ingredients in 2024. The Company believes that there are alternative sources available for some of the ingredients, but there can be no assurance that the Company would be able to acquire such ingredients from substitute sources on a timely or cost-effective basis, if current suppliers could not adequately fulfill orders. The loss or significant reduction in the capability of a supplier to support the Company’s requirements could, in the short-term, adversely affect the Company’s business and financial results, until alternative supply arrangements were secured.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beverages include many unique and proprietary flavors and combinations of flavors and some of these flavorings are single sourced. Truly Hard Seltzer and Twisted Tea brand beverages are particularly reliant on the use of flavorings and variety of flavors as part of their appeal to drinkers.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purchased most of the malt used in the production of its beer from four suppliers during 2023. Nevertheless, the Company believes that there are other malt vendors available that are capable of supplying part of its needs. The Company is exposed to the quality of the barley crop each year, and significant failure of a crop would adversely affect the Company’s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stores its hops in multiple cold storage warehouses to minimize the impact of a catastrophe at a single site. The performance and availability of the hops, as with any agricultural product, may be materially adversely affected by factors such as adverse weather or pests and there is no guarantee the contracts will be fulfilled completely. The Company has purchase commitments with seven primary hop dealers and attempts to maintain a one to two-year supply of essential hop varieties on-hand in order to limit the risk of an unexpected reduction in supply and procures hops needed for new beers, based on its best estimate of likely short-term demand. The failure of management’s assumptions regarding future sales growth, product mix and hops market conditions to prove accurate could result in future material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 government regulations and legislation affecting agriculture, could affect both price and supply.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new product development can also be constrained by any limited availability of the desired ingredients. Growth rates higher than planned or the introduction of new products requiring special ingredients could create demand for ingredients greater than the Company can source.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contracts for certain hops and apples are payable in Euros, Pounds Sterling and New Zealand dollars, and therefore, the Company is subject to the risk that the Euro, Pound or New Zealand dollar may fluctuate adversely against the U.S. dollar. The Company has, as a practice, not hedged this exposure, although this practice is regularly reviewed.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exposure to foreign exchange rate changes. Significant adverse fluctuations in foreign currency exchange rates may have a material adverse effect on the Company’s business and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Company’s reliance on breweries owned by others and an inability to leverage investment in the Company-owned breweries could have a material adverse effect on the Company’s operations or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2023, the Company produced approximately 71% of its volume at breweries owned by the Company and, as noted above, anticipates producing 75% of its volume at breweries owned by the Company in 2024. While, on balance, the Company views greater reliance on its own breweries favorably, this reliance on its own breweries exposes the Company to capacity constraints and risk of disruption of supply, as these breweries are operating at or close to current capacity in peak months. Management believes that it has alternatives available to it, in the event that production at any of its brewing locations is temporarily interrupted, although as volumes at the Pennsylvania Brewery increase, severe interruptions there would be problematic, particularly during peak seasons. Potential interruptions at breweries include labor issues, governmental action, quality issues, contractual disputes, machinery failures, operational shutdowns, pandemic-related or other staffing shortages, or natural or unavoidable catastrophes. If interruptions were to occur, the Company could face significant delays in starting replacement brewing locations and its operating results could be materially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avail itself of capacity at third-party production facilities. Also as noted above, during 2023, approximately 22% of the Company’s annual shipment volume was brewed and/or packaged under service agreements with City Brewing Company, LLC. In selecting third party breweries for brewing services arrangements, the Company carefully weighs a brewery’s sleek can packaging and automated variety packaging capability and capacity, its quality control capabilities throughout the production process and its ability to utilize traditional brewing, fermenting and finishing methods. To the extent that the Company needs to avail itself of a third-party production services arrangement, it exposes itself to higher than planned costs of operating under such contract arrangements than would apply at the Company-owned breweries, potential lower service levels and reliability than internal production, and potential unexpected declines in the brewing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The Company continues to work at its Company-owned breweries and with its third-party production partners to attempt to minimize any potential disruptions. Nevertheless,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production interruption caused by an acquisition or change of control of City Brewing or a simultaneous interruption at several of the Company’s other production locations would likely cause significant disruption, increased costs and, potentially, lost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At the same time, despite making these expenditures and incurring these costs, if demand were to further increase above current volume estimates, the Company could still face the risk of not being able to meet the increased demand.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attempts to mitigate production and distribution risks through a combination of owned breweries and access to third-party contract facilities, but there is no guarantee that this strategy will be successful, and it might result in short term costs and inefficiencies which could adversely impact our business and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Turnover in Company leadership or other key positions may lead to loss of key knowledge or capability and adversely impact Company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an experienced leadership team with an established track record of business success and innovation in the beverage and consumer goods industries.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and is likely to experience changes in key leadership or key positions regularly. The departure of key leadership personnel can take from the Company significant knowledge and experience. This loss of knowledge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experience can be mitigated through successful succession planning or external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current declining growth environment the Company is facing. Failure to attract and retain the right talent, or to manage the transition of responsibilities resulting from such turnover smoothly, would affect the Company's ability to meet its challenges and may cause the Company to miss performance objectives or financial targets.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 has significantly increased its product offerings and distribution footprint, which increases complexity and could adversely affect the Company’s performance and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significantly increased the number of commercially available flavored malt beverages, hard seltzers, beers, hard ciders, and spirits RTDs that it produces. In the last five years, the Company has developed, introduced and reformulated many new and existing beverage styles under the Twisted Tea, Truly Hard Seltzer, Samuel Adams and Angry Orchard brands. The Dogfish Head brand, acquired in July 2019, currently has over 25 styles of beer, 15 styles of distilled spirits, 7 spirits RTDs, two brewery tap rooms, a restaurant, and a boutique inn. In January 2020, the Company opened the Samuel Adams Tap Room and small brewery in downtown Boston. The Company currently operates 8 retail locations, including seven brewery tap rooms, a cidery tasting room and a restaurant, where its beverages are sold and consumed on-premise. The Company’s most significant innovations in 2023 were the launches of new styles of its Truly Vodka Soda brand and its launch in limited markets of Truly Tequila Soda and Slingers, a new flavored malt beverage brand. In the first quarter of 2024, the Company is planning to launch Truly Tequila Soda nationally and expand Slingers to more markets. Also, during 2024, the Company has plans to add new beverage styles and reformulate existing styles of beverages. During the first quarter of 2024, the Company is launching two new brands in limited markets. These two new brands are Sun Cruiser, a new vodka based hard tea brand and General Admission, a new non-alcoholic beer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additional brands, styles, reformulations and locations, along with the increases in demand for certain existing brands, have added to the complexity of the Company’s product development process, as well as its brewing, fermenting, distilling, packaging, marketing and selling processes, and retail operations. There can be no assurance that the Company will effectively manage such increased complexity, without experiencing coordination issues, operating inefficiencies, supply shortages or control deficiencies. Such inefficiencies or deficiencies could have a material adverse effect on the Company’s business and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drinker attitudes on brand equity and reliance on the Company’s founders in the Samuel Adams and Dogfish Head brand communications may adversely affect demand for the Company’s production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success of the Company's brands depends upon the positive image that drinkers have of those brands and maintaining a good reputation is critical to selling our branded products. Our reputation could be impacted negatively by public perception, adverse publicity, negative comments in social media, or our responses to negative publicity or comments, either by members of the Company or those who may be affiliated with it.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these inherent brand risks, C. James Koch, the founder and Chairman of the Company, as well as the founders of Dogfish Head brand, Samuel Calagione, Founder and Brewer, Dogfish Head Brewery and Mariah Calagione, Founder and Communitarian, Dogfish Head Brewery, are an integral part of the Company’s history, brand equity and current and potential future brand messaging and the Company relies on the positive public perception of these founders. The role of these founders as founders, brewers and leaders of the Company is emphasized as part of the Company’s brand communication and has appeal to some drinkers. If these founders were not available to the Company to continue their active roles, their absence could negatively affect the strength of the Company’s messaging and, accordingly, the Company’s growth prospects. The Company and its brands may also be impacted if drinkers’ perceptions of these founders, including their social or political views, were to change negatively. If any negative changes were to occur, the Company might need to adapt its strategy for communicating its key messages regarding its history, equity, and current and potential future brand messaging. Any such change in the Company’s messaging strategy might have a detrimental impact on the future growth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Company’s operations are subject to certain operating hazards that could result in unexpected costs or product recalls that could harm the Company’s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operations are subject to certain hazards and liability risks faced by all beverage companies, such as potential contamination of ingredients or products by bacteria or other external agents that may be wrongfully or accidentally introduced into products or packaging, or defective packaging and handling. Such occurrences may create bad tasting beverages, or pose health risk to the consumer or risk to the integrity and safety of the packaging. These could result in unexpected costs to the Company and, in the case of a costly product recall, potentially serious damage to the Company’s reputation for product quality, as well as product liability claims.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 relies upon complex information systems and vulnerabilities or disruptions of these systems could expose us to liability and harm our business and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through security breaches. The Company recognizes that many groups on a world-wide basis have experienced increases in security breaches, cyber-attacks, and other hacking activities such as denial of service, malware and ransomware. The Company has dedicated internal and external resources to review and address such threats. However, as with all large information technology systems, the Company’s systems could be penetrated by outside parties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 third parties for supply of software, software and data hosting and telecommunications and networking, and is reliant on those third parties for the quality and integrity of these complex services. Failure by a third-party supplier could have material adverse effects on the Company’s ability to operate.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increase in energy costs could harm the Company’s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Class B shareholder has significant control over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Class A Common Stock is not entitled to any voting rights except for the right as a class to (1) approve certain mergers, charter amendments and by-law amendments and (2) 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and Chairman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 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Company’s acquisition of Dogfish Head included intangible assets that are marked to fair value on an annual basis, which have resulted and could in the future further result in impairment charges that have an adverse impact on the Company’s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 2019, the Company completed its acquisition of Dogfish Head Brewery and various related operations, through the acquisition of all of the equity interests held by certain private entities in Off-Centered Way LLC, the parent holding company of the Dogfish Head Brewery operations. During 2022 and 2023, the Company recorded $27.1 million and $15.8 million, respectively, in non-cash impairment charges for the Dogfish Head brand, as a result of the Company’s annual impairment analysis. The impairment determination was primarily based on the latest forecasts of brand performance which have been below the Company’s projections made on the acquisition date. As of December 30, 2023, the Dogfish Head brand intangible asset was valued at $55.6 million on the Company’s statement of financial position. The Company cannot assure that there will not be further non-cash impairment charges recognized on the Company’s Dogfish Head brand intangible assets that would have a material adverse effect on the Company’s results of operations.</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Risks Related to Law and Regulations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environmental and other regulations, government shutdowns or failure to comply with existing licensing, trade or other regulations could have a material adverse effect on the Company’s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similar to the January 2019 federal government shutdown, could prevent new brands or innovations from getting to market on time or at all. Failure to comply with 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no guarantee that the Company will not face litigation that could harm the Company’s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While the Company has from time to time in the past been involved in material litigation, it is not currently a party to any pending or threatened litigation, the outcome of which would be expected to have a material adverse effect on the Company’s financial condition or the results of its operations. In general, while the Company believes it conducts its business appropriately in accordance with laws, regulations and industry guidelines, claims, whether or not meritorious, could be asserted against the Company that might adversely impact the Company’s results. See Item 3 - Legal Proceedings below</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Risks Related to General Economic Conditions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Company’s operating results and cash flow may be adversely affected by unfavorable economic, financial and societal market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Volatility, uncertainty, and inflation in the financial markets and economic conditions generally may directly or indirectly affect the Company’s performance and operating results in a variety of ways, including: (a) prices for energy, labor, packaging, ingredients, and agricultural products may rise faster than current estimates, including increases resulting from currency fluctuations; (b) the Company’s key suppliers may not be able to fund their capital requirements, resulting in disruption in the supplies of the Company’s raw and packaging materials; (c) the credit risks of the Company’s Distributors may increase; (d) the impact of currency fluctuations on amounts owed to the Company by distributors that pay in foreign currencies; (e) the Company’s credit facility, or portion thereof, may become unavailable at a time when needed by the Company to meet critical needs; (f) overall beer consumption may decline; or (g) drinkers of the Company’s products may change their purchase preferences and frequency, which might result in sales declines.</w:t>
      </w:r>
    </w:p>
    <w:p>
      <w:pPr>
        <w:pStyle w:val="TextBody"/>
        <w:bidi w:val="0"/>
        <w:jc w:val="left"/>
        <w:rPr/>
      </w:pPr>
      <w:r>
        <w:rPr/>
        <w:t> </w:t>
      </w:r>
    </w:p>
    <w:p>
      <w:pPr>
        <w:pStyle w:val="TextBody"/>
        <w:bidi w:val="0"/>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2023 fiscal year, and (3) remain unresolved.</w:t>
      </w:r>
    </w:p>
    <w:p>
      <w:pPr>
        <w:pStyle w:val="TextBody"/>
        <w:bidi w:val="0"/>
        <w:jc w:val="left"/>
        <w:rPr/>
      </w:pPr>
      <w:r>
        <w:rPr/>
        <w:t> </w:t>
      </w:r>
    </w:p>
    <w:p>
      <w:pPr>
        <w:pStyle w:val="TextBody"/>
        <w:bidi w:val="0"/>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faces motivated and persistent cybersecurity threats from a variety of adversaries on a daily basis. As a manufacturing company dispersed across multiple states supported by a global supply chain, the Company recognizes the critical importance of maintaining the safety and security of its networks and systems, as well as ensuring the confidentiality, integrity, and availability of its data. The Company employs a holistic process for overseeing and managing cybersecurity and information security risks which is supported by both management and its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in more detail below, the Company has established policies, standards, processes and practices for assessing, identifying, and managing material risks from cybersecurity threats. The Company has devoted significant financial and personnel resources to implement and maintain security measures to meet regulatory requirements and customer expectations and intends to continue to make significant investments to maintain the security of its data and cybersecurity infrastructure.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cybersecurity program is led by its Chief Information Security Officer (CISO), who reports to its Chief Information Officer (CIO). The CISO is responsible for management of cybersecurity risk and the protection and defense of the Company's networks and systems. The CISO manages a team of cybersecurity professionals with broad experience and expertise, including in incident response, forensics, threat intelligence, vulnerability management, and mitigation. The Company's cybersecurity team has processes in place to assess, identify, manage, and address material cybersecurity threats and incidents. These include, among other things: annual and ongoing security awareness training for employees, mechanisms to detect and monitor unusual network and endpoint activity, integrated threat intelligence, and containment and incident response tools. The cybersecurity team also leverages multiple third-party security programs for full-time monitoring of security stacks and on-demand support to act as force multipliers in the event of severe or critical security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Board of Directors has ultimate oversight of cybersecurity risk and aids in making decisions with respect to company priorities, resource allocations, and oversight structures. The Board of Directors is assisted by the Audit Committee, which regularly reviews the cybersecurity program with management and reports to the Board of Directors. Cybersecurity reviews by the Audit Committee or the Board of Directors generally occur at least once annually, or more frequently as determined to be necessary or advisable.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approach to cybersecurity risk management includes the following key elements: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Multi-Layered Defense and Continuous Monitoring.</w:t>
      </w:r>
      <w:r>
        <w:rPr>
          <w:color w:val="000000"/>
        </w:rPr>
        <w:t xml:space="preserve"> </w:t>
      </w:r>
      <w:r>
        <w:rPr>
          <w:rFonts w:ascii="Times New Roman" w:hAnsi="Times New Roman"/>
          <w:color w:val="000000"/>
          <w:sz w:val="20"/>
        </w:rPr>
        <w:t>The Company works to protect its computing environments and products from cybersecurity threats through multi-layered defenses and apply lessons learned from its defense and monitoring efforts to proactively prevent future attacks. The Company utilizes best-in-class SIEM technologies, data analytics and threat intelligence to detect anomalies and search for cyber threats. The Company's internal cybersecurity team and third-party security services provide comprehensive cyber threat detection and response capabilities and maintain a full-time monitoring system which complements the technology, processes and threat detection techniques we use to monitor, manage and mitigate cybersecurity threats. From time to time, the Company engages third-party consultants or other advisors to assist in assessing, identifying and/or managing cybersecurity threats and also periodically uses its Internal Audit function to conduct additional reviews and assessments.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Third-Party Risk Assessments.</w:t>
      </w:r>
      <w:r>
        <w:rPr>
          <w:color w:val="000000"/>
        </w:rPr>
        <w:t xml:space="preserve"> </w:t>
      </w:r>
      <w:r>
        <w:rPr>
          <w:rFonts w:ascii="Times New Roman" w:hAnsi="Times New Roman"/>
          <w:color w:val="000000"/>
          <w:sz w:val="20"/>
        </w:rPr>
        <w:t>The Company conducts information security assessments before sharing or allowing the hosting of sensitive data in computing environments managed by third parties, and its standard terms and conditions contain contractual provisions requiring certain security protections.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Training and Awareness.</w:t>
      </w:r>
      <w:r>
        <w:rPr>
          <w:color w:val="000000"/>
        </w:rPr>
        <w:t xml:space="preserve"> </w:t>
      </w:r>
      <w:r>
        <w:rPr>
          <w:rFonts w:ascii="Times New Roman" w:hAnsi="Times New Roman"/>
          <w:color w:val="000000"/>
          <w:sz w:val="20"/>
        </w:rPr>
        <w:t>The Company conducts monthly attack simulations across the Company and provide awareness training to our coworkers to help identify, avoid and mitigate cybersecurity threats. Employees with network access participate annually in required training, including spear phishing, malware, access control, and other awareness training. The Company also periodically hosts tabletop exercises with management and other employees to practice rapid cyber incident response;</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Supplier Engagement.</w:t>
      </w:r>
      <w:r>
        <w:rPr>
          <w:color w:val="000000"/>
        </w:rPr>
        <w:t xml:space="preserve"> </w:t>
      </w:r>
      <w:r>
        <w:rPr>
          <w:rFonts w:ascii="Times New Roman" w:hAnsi="Times New Roman"/>
          <w:color w:val="000000"/>
          <w:sz w:val="20"/>
        </w:rPr>
        <w:t>The Company requires its suppliers to comply with its standard information security terms and conditions as a condition of doing business, and requires them to complete information security questionnaires to review and assess any potential cyber-related risks depending on the nature of the services being provided. The Company also monitors supplier network access to its networks and systems.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 Company has experienced minor cybersecurity incidents in the past, to date none have materially affected the Company or its financial position, results of operations and/or cash flows. The Company continues to invest in the cybersecurity and resiliency of its networks and to enhance its internal controls and processes, which are designed to help protect its systems, infrastructure, and the information they contain.</w:t>
      </w:r>
    </w:p>
    <w:p>
      <w:pPr>
        <w:pStyle w:val="TextBody"/>
        <w:bidi w:val="0"/>
        <w:jc w:val="left"/>
        <w:rPr/>
      </w:pPr>
      <w:r>
        <w:rPr/>
        <w:t> </w:t>
      </w:r>
    </w:p>
    <w:p>
      <w:pPr>
        <w:pStyle w:val="TextBody"/>
        <w:bidi w:val="0"/>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maintains its principal corporate offices in approximately 54,200 square feet of leased space located in Boston, Massachusetts, the term of which is set to expire in 2031.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owns approximately 76 acres of land in Breinigsville, Pennsylvania, consisting of two parcels on which the Company’s Pennsylvania Brewery is located. The buildings on this property consist of approximately 1 million square feet of brewery and warehouse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owns approximately 57 acres of land in Milton, Delaware, consisting of the parcels on which the Company’s Milton Brewery is located. The buildings on this property consist of approximately 240,000 square feet of brewery and warehouse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owns approximately 10 acres of land in Cincinnati, Ohio, on which the Company’s Cincinnati Brewery is located, and leases, with an option to purchase, approximately 1 acre of land from the City of Cincinnati which abuts its property. The buildings on this property consist of approximately 128,500 square feet of brewery and warehouse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owns approximately 62 acres of land in Walden, New York, consisting of an apple orchard and buildings, including a small cidery, gift shop, and tour center. The small cidery, gift shop, and tour center on this property consist of approximately 15,000 square feet of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owns approximately 1 acre of land in Lewes, Delaware, on which the Company’s Dogfish Head Inn is located. The buildings on this property consists of approximately 8,400 square feet of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43,000 square feet of space in Boston, Massachusetts, on which it maintains a Samuel Adams brand tap room and tour center. The current term of the lease for this facility will expire in 2034, although it has an option to extend the term for an additional fifteen years in five-year increments.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6,666 square feet of space in Boston, Massachusetts, on which it maintains a research and development site. The current term of the lease for this facility will expire in 2026, although it has an option to extend the term for an additional three years in one-year increments.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48,650 square feet of space in Los Angeles, California, on which it maintains an Angel City and Truly brand tap room, small brewery, and tour center. The current term of the lease for this facility will expire in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9,000 square feet of space in Boston, Massachusetts, on which it maintains a Samuel Adams brand tap room and small brewery. The current term of the lease for this facility will expire in 2028, although it has two options to extend the term for an additional 5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8,900 square feet of space in Cincinnati, Ohio, on which it maintains a Samuel Adams brand tap room and small brewery. The current term of the lease for this facility will expire in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7,100 square feet of space within the retail section of MCU Park in Brooklyn, New York on which it previously maintained a Coney Island brand tap room and small brewery. The current term of the lease for this facility will expire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approximately 4,490 square feet of space in Rehoboth, DE, on which it maintains Dogfish Head Brewings and Eats, a tap room, small brewery, and the Chesapeake &amp; Maine restaurant. The current term of the lease for this facility will expire in 2029.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under a development agreement, has access to approximately 900 square feet of space in Windsor, Ontario, on which it maintains a cannabis research and development facility. The current term of the agreement for this facility will expire in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leases small offices in Burlington, Vermont, Cincinnati, Ohio, Montreal, Quebec, and Toronto, Ontario as well as various warehousing facilities across the United States and Canada.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believes that its facilities are adequate for its current needs and that suitable additional space will be available on commercially acceptable terms as required.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3_legal_proceedings"/>
      <w:bookmarkEnd w:id="7"/>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Litigation. On September 14, 2021, a purported class action lawsuit was filed by an individual shareholder in the United States District Court for the Southern District of New York against the Company and three of its officers. The complaint alleged claims under Sections 10(b) and 20(a) of the Securities Exchange Act of 1934 between April 22, 2021 and September 8, 2021. The plaintiff claimed that defendants made materially false and/or misleading statements or failed to disclose material adverse facts about the Company’s business, operations, and prospects. On October 8, 2021, a nearly identical complaint was filed against the Company by an individual shareholder in the United States District Court for the Southern District of New York. The Court consolidated the two actions and on December 14, 2021 appointed a lead plaintiff, who filed an amended complaint on January 13, 2022. The Company’s Motion to Dismiss the Amended Complaint was granted by the Court on December 5, 2022. The plaintiff filed a notice of appeal on January 5, 2023. After briefing and oral argument on the appeal, the United States Court of Appeals for the Second Circuit affirmed the dismissal on November 22, 2023. The Mandate of the United States Court of Appeals was issued and transmitted to the District Court on December 15,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denies that it breached the terms of the parties’ contract and intends to defend against the Ardagh claims vigorously. On February 23, 2023 and April 4, 2023, Ardagh and the Company engaged in mediation sessions with a neutral, third-party mediator, but were not able to resolve the matter and the litigation will proceed. On May 5, 2023, the Company filed an Answer in response to the Complaint, and Counterclaims against Ardagh. On June 26, 2023, Ardagh filed a Motion to Dismiss Certain Counterclaims and a Motion to Strike Certain Affirmative Defenses, to which the Company filed Oppositions on July 24, 2023. On November 9, 2023, Ardagh filed a Notice of Plaintiff’s Motion for Judgment on the Pleadings on Count II of the Complaint, to which the Company filed an Opposition on November 22, 2023. The parties are currently engaged in the fact discovery phase of the matter and the range of potential outcomes cannot be estimated at this time.</w:t>
      </w:r>
    </w:p>
    <w:p>
      <w:pPr>
        <w:pStyle w:val="TextBody"/>
        <w:bidi w:val="0"/>
        <w:jc w:val="left"/>
        <w:rPr/>
      </w:pPr>
      <w:r>
        <w:rPr/>
        <w:t> </w:t>
      </w:r>
    </w:p>
    <w:p>
      <w:pPr>
        <w:pStyle w:val="TextBody"/>
        <w:bidi w:val="0"/>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part_ii"/>
      <w:bookmarkEnd w:id="9"/>
      <w:r>
        <w:rPr>
          <w:rFonts w:ascii="Times New Roman" w:hAnsi="Times New Roman"/>
          <w:b/>
          <w:color w:val="000000"/>
          <w:sz w:val="20"/>
        </w:rPr>
        <w:t>PART II.</w:t>
      </w:r>
    </w:p>
    <w:p>
      <w:pPr>
        <w:pStyle w:val="TextBody"/>
        <w:bidi w:val="0"/>
        <w:jc w:val="left"/>
        <w:rPr/>
      </w:pPr>
      <w:r>
        <w:rPr/>
        <w:t> </w:t>
      </w:r>
    </w:p>
    <w:p>
      <w:pPr>
        <w:pStyle w:val="TextBody"/>
        <w:bidi w:val="0"/>
        <w:jc w:val="left"/>
        <w:rPr>
          <w:rFonts w:ascii="Times New Roman" w:hAnsi="Times New Roman"/>
          <w:b/>
          <w:color w:val="000000"/>
          <w:sz w:val="20"/>
        </w:rPr>
      </w:pPr>
      <w:bookmarkStart w:id="10" w:name="item_5_market_for_registrants_common_equ"/>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graph set forth below shows the value of an investment of $100 on January 1, 2019 in each of the Company’s stock (“The Boston Beer Company, Inc.”), the Standard &amp; Poor’s 500 Index (“S&amp;P 500 Index”) and the Standard &amp; Poor’s 500 Beverage Index, which consists of producers of alcoholic and non-alcoholic beverages (“S&amp;P 500 Beverages Index”) for the five years ending December 30, 2023.</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Total Return to Shareholders</w:t>
      </w:r>
    </w:p>
    <w:p>
      <w:pPr>
        <w:pStyle w:val="TextBody"/>
        <w:bidi w:val="0"/>
        <w:jc w:val="center"/>
        <w:rPr>
          <w:rFonts w:ascii="Times New Roman" w:hAnsi="Times New Roman"/>
          <w:b/>
          <w:color w:val="000000"/>
          <w:sz w:val="20"/>
        </w:rPr>
      </w:pPr>
      <w:r>
        <w:rPr>
          <w:rFonts w:ascii="Times New Roman" w:hAnsi="Times New Roman"/>
          <w:b/>
          <w:color w:val="000000"/>
          <w:sz w:val="20"/>
        </w:rPr>
        <w:t>(Includes reinvestment of dividends)</w:t>
      </w:r>
    </w:p>
    <w:p>
      <w:pPr>
        <w:pStyle w:val="TextBody"/>
        <w:bidi w:val="0"/>
        <w:jc w:val="left"/>
        <w:rPr/>
      </w:pPr>
      <w:r>
        <w:rPr/>
        <w:t> </w:t>
      </w:r>
    </w:p>
    <w:tbl>
      <w:tblPr>
        <w:tblW w:w="8556" w:type="dxa"/>
        <w:jc w:val="left"/>
        <w:tblInd w:w="0" w:type="dxa"/>
        <w:tblLayout w:type="fixed"/>
        <w:tblCellMar>
          <w:top w:w="28" w:type="dxa"/>
          <w:left w:w="28" w:type="dxa"/>
          <w:bottom w:w="28" w:type="dxa"/>
          <w:right w:w="28" w:type="dxa"/>
        </w:tblCellMar>
      </w:tblPr>
      <w:tblGrid>
        <w:gridCol w:w="2416"/>
        <w:gridCol w:w="146"/>
        <w:gridCol w:w="203"/>
        <w:gridCol w:w="712"/>
        <w:gridCol w:w="146"/>
        <w:gridCol w:w="146"/>
        <w:gridCol w:w="179"/>
        <w:gridCol w:w="736"/>
        <w:gridCol w:w="146"/>
        <w:gridCol w:w="146"/>
        <w:gridCol w:w="186"/>
        <w:gridCol w:w="729"/>
        <w:gridCol w:w="166"/>
        <w:gridCol w:w="146"/>
        <w:gridCol w:w="186"/>
        <w:gridCol w:w="729"/>
        <w:gridCol w:w="166"/>
        <w:gridCol w:w="146"/>
        <w:gridCol w:w="203"/>
        <w:gridCol w:w="712"/>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83"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RETURN PERCENTAGE</w:t>
              <w:br/>
              <w:t>Years Ending</w:t>
            </w:r>
          </w:p>
        </w:tc>
        <w:tc>
          <w:tcPr>
            <w:tcW w:w="211" w:type="dxa"/>
            <w:tcBorders/>
            <w:shd w:fill="FFFFFF" w:val="clear"/>
            <w:vAlign w:val="center"/>
          </w:tcPr>
          <w:p>
            <w:pPr>
              <w:pStyle w:val="TableContents"/>
              <w:bidi w:val="0"/>
              <w:spacing w:before="0" w:after="283"/>
              <w:jc w:val="center"/>
              <w:rPr/>
            </w:pPr>
            <w:r>
              <w:rPr/>
              <w:t> </w:t>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Name / Index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12/28/2019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12/26/2020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12/25/2021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12/30/2023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The Boston Beer Company, Inc.</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S&amp;P 500 Index</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w:t>
            </w:r>
          </w:p>
        </w:tc>
        <w:tc>
          <w:tcPr>
            <w:tcW w:w="211" w:type="dxa"/>
            <w:tcBorders/>
            <w:shd w:fill="FFFFFF" w:val="cle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S&amp;P 500 Beverages Index</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5"/>
        <w:gridCol w:w="146"/>
        <w:gridCol w:w="467"/>
        <w:gridCol w:w="1212"/>
        <w:gridCol w:w="146"/>
        <w:gridCol w:w="146"/>
        <w:gridCol w:w="175"/>
        <w:gridCol w:w="721"/>
        <w:gridCol w:w="146"/>
        <w:gridCol w:w="146"/>
        <w:gridCol w:w="175"/>
        <w:gridCol w:w="721"/>
        <w:gridCol w:w="146"/>
        <w:gridCol w:w="146"/>
        <w:gridCol w:w="175"/>
        <w:gridCol w:w="721"/>
        <w:gridCol w:w="146"/>
        <w:gridCol w:w="146"/>
        <w:gridCol w:w="175"/>
        <w:gridCol w:w="721"/>
        <w:gridCol w:w="146"/>
        <w:gridCol w:w="146"/>
        <w:gridCol w:w="175"/>
        <w:gridCol w:w="721"/>
        <w:gridCol w:w="195"/>
      </w:tblGrid>
      <w:tr>
        <w:trPr/>
        <w:tc>
          <w:tcPr>
            <w:tcW w:w="2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4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INDEXED RETURNS</w:t>
              <w:br/>
              <w:t>Years Ending</w:t>
            </w:r>
          </w:p>
        </w:tc>
        <w:tc>
          <w:tcPr>
            <w:tcW w:w="195" w:type="dxa"/>
            <w:tcBorders/>
            <w:shd w:fill="FFFFFF" w:val="clear"/>
            <w:vAlign w:val="center"/>
          </w:tcPr>
          <w:p>
            <w:pPr>
              <w:pStyle w:val="TableContents"/>
              <w:bidi w:val="0"/>
              <w:spacing w:before="0" w:after="283"/>
              <w:jc w:val="center"/>
              <w:rPr/>
            </w:pPr>
            <w:r>
              <w:rPr/>
              <w:t> </w:t>
            </w:r>
          </w:p>
        </w:tc>
      </w:tr>
      <w:tr>
        <w:trPr/>
        <w:tc>
          <w:tcPr>
            <w:tcW w:w="2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Name / Index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Period 12/30/2018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12/28/2019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12/26/2020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12/25/2021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12/30/2023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The Boston Beer Company, Inc.</w:t>
            </w:r>
          </w:p>
        </w:tc>
        <w:tc>
          <w:tcPr>
            <w:tcW w:w="14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144.71</w:t>
            </w:r>
          </w:p>
        </w:tc>
        <w:tc>
          <w:tcPr>
            <w:tcW w:w="195" w:type="dxa"/>
            <w:tcBorders/>
            <w:shd w:fill="CFF0FC" w:val="clear"/>
            <w:vAlign w:val="center"/>
          </w:tcPr>
          <w:p>
            <w:pPr>
              <w:pStyle w:val="TableContents"/>
              <w:bidi w:val="0"/>
              <w:spacing w:before="0" w:after="283"/>
              <w:jc w:val="left"/>
              <w:rPr/>
            </w:pPr>
            <w:r>
              <w:rPr/>
              <w:t> </w:t>
            </w:r>
          </w:p>
        </w:tc>
      </w:tr>
      <w:tr>
        <w:trPr/>
        <w:tc>
          <w:tcPr>
            <w:tcW w:w="224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S&amp;P 500 Index</w:t>
            </w:r>
          </w:p>
        </w:tc>
        <w:tc>
          <w:tcPr>
            <w:tcW w:w="14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209.00</w:t>
            </w:r>
          </w:p>
        </w:tc>
        <w:tc>
          <w:tcPr>
            <w:tcW w:w="195" w:type="dxa"/>
            <w:tcBorders/>
            <w:shd w:fill="FFFFFF" w:val="clear"/>
            <w:vAlign w:val="center"/>
          </w:tcPr>
          <w:p>
            <w:pPr>
              <w:pStyle w:val="TableContents"/>
              <w:bidi w:val="0"/>
              <w:spacing w:before="0" w:after="283"/>
              <w:jc w:val="left"/>
              <w:rPr/>
            </w:pPr>
            <w:r>
              <w:rPr/>
              <w:t> </w:t>
            </w:r>
          </w:p>
        </w:tc>
      </w:tr>
      <w:tr>
        <w:trPr/>
        <w:tc>
          <w:tcPr>
            <w:tcW w:w="224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S&amp;P 500 Beverages Index</w:t>
            </w:r>
          </w:p>
        </w:tc>
        <w:tc>
          <w:tcPr>
            <w:tcW w:w="14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161.54</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5962650" cy="3619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62650" cy="36195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Class A Common Stock is listed for trading on the New York Stock Exchange under the symbol SAM.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6,875 holders of record of the Company’s Class A Common Stock as of February 23, 2024. Excluded from the number of stockholders of record are stockholders who hold shares in “nominee” or “street” name. The closing price per share of the Company’s Class A Common Stock as of February 23, 2024, as reported under the New York Stock Exchange-Composite Transaction Reporting System, was $354.43.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Class A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30, 2023, the Company had 22,700,000 authorized shares of Class A Common Stock with a par value of $0.01, of which 10,057,950 were issued and outstanding, which includes 24,647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 rights senior to Class A Common Stock, (b) alterations of rights or terms of the Class A or Class B Common Stock as set forth in the Articles of Organization of the Company, (c) certain other amendments of the Articles of Organization of the Company, (d) certain mergers or consolidations with, or acquisitions of, other entities, and (e) sales or dispositions of any significant portion of the Company’s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Class B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30, 2023, the Company had 4,200,000 authorized shares of Class B Common Stock with a par value of $0.01, of which 2,068,000 shares were issued and outstanding. 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 Class B Common Stock is freely convertible into one share of Class A Common Stock, upon request of any Class B holder.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February 23, 2024, C. James Koch, the Company’s Chairman, was the direct holder of record of all of the Company’s issued and outstanding Class B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Repurchases of Class A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 began a share repurchase program. Under this program, the Company's Board of Directors has authorized the repurchase of the Company's Class A Stock. On May 18, 2023, the Board of Directors authorized an increase in the aggregate expenditure limit for the Company’s stock repurchase program by $269.0 million, increasing the limit from $931.0 million to $1.2 billion. The Board of Directors did not specify a date upon which the total authorization would expire and, in the future, can further increase the authorized amount. As of December 30, 2023, the Company had repurchased a cumulative total of approximately 14.1 million shares of its Class A Common Stock for an aggregate purchase price of approximately $933.5 million and had approximately $266.5 million remaining on the $1.2 billion stock repurchase expenditure limit set by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fiscal year 2023, the Company repurchased and subsequently retired 276,045 shares of its Class A Common Stock for an aggregate purchase price of $92.9 million. Additionally, the Company repurchased 1,891 shares of its Class A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for repurchases of unvested investment shares issued under the Investment Share Program of the Company’s Employee Equity Incentive Plan, as illustrated in the table below:</w:t>
      </w:r>
    </w:p>
    <w:p>
      <w:pPr>
        <w:pStyle w:val="TextBody"/>
        <w:bidi w:val="0"/>
        <w:jc w:val="left"/>
        <w:rPr/>
      </w:pPr>
      <w:r>
        <w:rPr/>
        <w:t> </w:t>
      </w:r>
    </w:p>
    <w:tbl>
      <w:tblPr>
        <w:tblW w:w="8579" w:type="dxa"/>
        <w:jc w:val="left"/>
        <w:tblInd w:w="0" w:type="dxa"/>
        <w:tblLayout w:type="fixed"/>
        <w:tblCellMar>
          <w:top w:w="28" w:type="dxa"/>
          <w:left w:w="28" w:type="dxa"/>
          <w:bottom w:w="28" w:type="dxa"/>
          <w:right w:w="28" w:type="dxa"/>
        </w:tblCellMar>
      </w:tblPr>
      <w:tblGrid>
        <w:gridCol w:w="3001"/>
        <w:gridCol w:w="146"/>
        <w:gridCol w:w="195"/>
        <w:gridCol w:w="930"/>
        <w:gridCol w:w="146"/>
        <w:gridCol w:w="146"/>
        <w:gridCol w:w="210"/>
        <w:gridCol w:w="645"/>
        <w:gridCol w:w="146"/>
        <w:gridCol w:w="146"/>
        <w:gridCol w:w="218"/>
        <w:gridCol w:w="1042"/>
        <w:gridCol w:w="146"/>
        <w:gridCol w:w="146"/>
        <w:gridCol w:w="248"/>
        <w:gridCol w:w="877"/>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 of 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Value</w:t>
              <w:br/>
              <w:t>of Shares that</w:t>
              <w:br/>
              <w:t>May Yet be</w:t>
              <w:br/>
              <w:t>Purchased</w:t>
              <w:br/>
              <w:t>Under the</w:t>
              <w:br/>
              <w:t>Plans or</w:t>
              <w:br/>
              <w:t>Programs</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January 1, 2023 - February 4, 2023</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83,007</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February 5, 2023 - March 4, 2023</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76,434</w:t>
            </w:r>
          </w:p>
        </w:tc>
        <w:tc>
          <w:tcPr>
            <w:tcW w:w="19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March 5, 2023 - April 1, 2023</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68,438</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April 2, 2023 - May 6, 2023</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58,841</w:t>
            </w:r>
          </w:p>
        </w:tc>
        <w:tc>
          <w:tcPr>
            <w:tcW w:w="19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May 7, 2023 - June 3, 2023</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320,245</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June 4, 2023 - July 1, 2023</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312,647</w:t>
            </w:r>
          </w:p>
        </w:tc>
        <w:tc>
          <w:tcPr>
            <w:tcW w:w="19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July 2, 2023 - August 5, 2023</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304,250</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August 6, 2023 - September 2, 2023</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300,254</w:t>
            </w:r>
          </w:p>
        </w:tc>
        <w:tc>
          <w:tcPr>
            <w:tcW w:w="19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September 3, 2023 - September 30, 2023</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296,457</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 November 4, 2023</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285,152</w:t>
            </w:r>
          </w:p>
        </w:tc>
        <w:tc>
          <w:tcPr>
            <w:tcW w:w="19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5, 2023 - December 2, 2023</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273,755</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3, 2023 - December 30, 2023</w:t>
            </w:r>
          </w:p>
        </w:tc>
        <w:tc>
          <w:tcPr>
            <w:tcW w:w="146" w:type="dxa"/>
            <w:tcBorders/>
            <w:shd w:fill="FFFFFF" w:val="cle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1" w:name="item_6_selected_consolidated_financial_d"/>
      <w:bookmarkEnd w:id="11"/>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_managements_discussion_analysis_f"/>
      <w:bookmarkEnd w:id="12"/>
      <w:r>
        <w:rPr>
          <w:rFonts w:ascii="Times New Roman" w:hAnsi="Times New Roman"/>
          <w:b/>
          <w:color w:val="000000"/>
          <w:sz w:val="20"/>
        </w:rPr>
        <w:t>Item 7.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elected to omit discussion of the earliest of the three years covered by the consolidated financial statements presented. Refer to Item 7. "Management's Discussion and Analysis of Financial Condition and Results of Operations" located in the Company's Form 10-K for the fiscal year ended December 31, 2022, filed on February 22, 2023, for reference to discussion of the fiscal year ended December 25, 2021, the earliest of the three fiscal years presented.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Introduction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is engaged in the business of producing and selling alcohol beverages primarily in the domestic market and, to a lesser extent, in selected international markets. The Company’s revenues are primarily derived by selling its beverages to Distributors, who in turn sell the products to retailers and drinkers.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Most of the Company’s beverages which include flavored malt beverages, hard seltzers, beers, and hard ciders, are primarily positioned in the market for High End beer occasions. High End beers and beer occasions (the “High End category”) are determined by higher price, quality, image and taste, as compared with regular domestic beers. Boston Beer is one of the largest suppliers in the High End category in the United States. The High End category has seen high single-digit compounded annual growth over the past ten years. The Company believes that the High End category is positioned to increase market share in the total beer category, as drinkers continue to trade up in taste and quality. The Company estimates that the High End full year percentage volume changes in 2021, 2022 and 2023 were approximately 2%, (3%) and 1% respectively. These trends are above the estimated United States beer market volume changes in 2021, 2022 and 2023, of (5%), (5%) and (2%)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 for hard seltzer products has experienced declining annual volume growth rate trends from estimated growth of 158% in 2020 and 13% in 2021 to an estimated decline of 15% in 2022 and 21% in 2023. The decline in volume trends has negatively impacted the Company's volume of depletions, or Distributor sales to retailers, and shipments, as well as its projections for the future. The decline in volume trends resulted in several supply chain related costs recorded during the second half of 2021 and 2022. These costs included provisions for excess and obsolete inventories, property, plant, and equipment impairments, write-offs of third-party production prepayments, and provisions for costs associated with the termination of various third-party production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Depletions of the Company’s beverages for the 52 week fiscal period ended December 30, 2023, decreased approximately 6% from the 53 week fiscal period in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Depletions of the Company’s beverages for the 53 week fiscal period ended December 31, 2022, decreased approximately 5% from the comparable 52 week fiscal period in the prior year.</w:t>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Year Ended December 30, 2023 (52 weeks) Compared to Year Ended December 31, 2022 (53 weeks)</w:t>
      </w:r>
    </w:p>
    <w:p>
      <w:pPr>
        <w:pStyle w:val="TextBody"/>
        <w:bidi w:val="0"/>
        <w:jc w:val="left"/>
        <w:rPr/>
      </w:pPr>
      <w:r>
        <w:rPr/>
        <w:t> </w:t>
      </w:r>
    </w:p>
    <w:tbl>
      <w:tblPr>
        <w:tblW w:w="11444" w:type="dxa"/>
        <w:jc w:val="left"/>
        <w:tblInd w:w="0" w:type="dxa"/>
        <w:tblLayout w:type="fixed"/>
        <w:tblCellMar>
          <w:top w:w="28" w:type="dxa"/>
          <w:left w:w="28" w:type="dxa"/>
          <w:bottom w:w="28" w:type="dxa"/>
          <w:right w:w="28" w:type="dxa"/>
        </w:tblCellMar>
      </w:tblPr>
      <w:tblGrid>
        <w:gridCol w:w="1096"/>
        <w:gridCol w:w="146"/>
        <w:gridCol w:w="196"/>
        <w:gridCol w:w="826"/>
        <w:gridCol w:w="146"/>
        <w:gridCol w:w="146"/>
        <w:gridCol w:w="196"/>
        <w:gridCol w:w="601"/>
        <w:gridCol w:w="146"/>
        <w:gridCol w:w="146"/>
        <w:gridCol w:w="150"/>
        <w:gridCol w:w="526"/>
        <w:gridCol w:w="241"/>
        <w:gridCol w:w="146"/>
        <w:gridCol w:w="196"/>
        <w:gridCol w:w="826"/>
        <w:gridCol w:w="146"/>
        <w:gridCol w:w="146"/>
        <w:gridCol w:w="196"/>
        <w:gridCol w:w="601"/>
        <w:gridCol w:w="146"/>
        <w:gridCol w:w="146"/>
        <w:gridCol w:w="150"/>
        <w:gridCol w:w="526"/>
        <w:gridCol w:w="241"/>
        <w:gridCol w:w="146"/>
        <w:gridCol w:w="196"/>
        <w:gridCol w:w="661"/>
        <w:gridCol w:w="166"/>
        <w:gridCol w:w="146"/>
        <w:gridCol w:w="161"/>
        <w:gridCol w:w="665"/>
        <w:gridCol w:w="241"/>
        <w:gridCol w:w="146"/>
        <w:gridCol w:w="196"/>
        <w:gridCol w:w="481"/>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4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(in thousands, except per barrel)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30</w:t>
              <w:b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w:t>
              <w:b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Barrels sold</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revenue</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revenue</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(81,709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21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21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Advertising, promotional, and selling </w:t>
              <w:br/>
              <w:t>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21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br/>
              <w: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21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of brewery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21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termination costs and other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21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21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income tax provision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21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Net revenue. </w:t>
      </w:r>
      <w:r>
        <w:rPr>
          <w:rFonts w:ascii="Times New Roman" w:hAnsi="Times New Roman"/>
          <w:color w:val="000000"/>
          <w:sz w:val="20"/>
        </w:rPr>
        <w:t>Net revenue decreased by $81.7 million, or 3.9%, to $2,008.6 million for the year ended December 30, 2023, as compared to $2,090.3 million for the year ended December 31, 2022, primarily as a result of lower shipment volume of $129.3 million and $12.6 million of product mix impacts, partially offset by price increases of $60.2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Total shipment volume of 7,678,000 barrels for the year ended December 30, 2023 decreased by 6.2% over 2022 levels of 8,183,000 barrels, reflecting decreases in the Company’s Truly Hard Seltzer, Angry Orchard, Samuel Adams, Dogfish Head and Hard Mountain Dew brands, partially offset by increases in its Twisted Tea brand. On a 52-week comparable basis, shipment volume decreased 5.2%.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Depletions of the Company’s products for the year ended December 30, 2023 decreased by approximately 6% compared to the prior year, reflecting decreases in the Company’s Truly Hard Seltzer, Angry Orchard, Samuel Adams and Dogfish Head brands, partially offset by increases in its Twisted Tea and Hard Mountain Dew brands. On a 52-week comparable basis, depletions decreased 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believes distributor inventory as of December 30, 2023 averaged approximately four weeks on hand and was at an appropriate level for each of its brands.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The net revenue per barrel increased by 2.4% to $261.61 per barrel for the year ended December 30, 2023, as compared to $255.44 per barrel for the year ended December 31, 2022, primarily due to price increases, partially offset by product mix impacts</w:t>
      </w:r>
      <w:r>
        <w:rPr>
          <w:rFonts w:ascii="Times New Roman" w:hAnsi="Times New Roman"/>
          <w:color w:val="FF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Cost of goods sold.</w:t>
      </w:r>
      <w:r>
        <w:rPr>
          <w:rFonts w:ascii="Times New Roman" w:hAnsi="Times New Roman"/>
          <w:color w:val="000000"/>
          <w:sz w:val="20"/>
        </w:rPr>
        <w:t xml:space="preserve"> Cost of goods sold was $150.59 per barrel for the fifty-two weeks ended December 30, 2023, as compared to $150.10 per barrel for the fifty-three weeks ended December 31, 2022. The 2023 increase in cost of goods sold of $0.49, or 0.3% per barrel was primarily due to inflationary cost impacts of $30.0 million, or $3.91 per barrel, increased third-party production shortfall fees of $6.5 million, or $0.85 per barrel, the brewery cost absorption impact due to lower volume of $6.2 million, or $0.80 per barrel, and a contract settlement cost of $4.5 million, or $0.59 per barrel partially offset by contract renegotiations and recipe optimization of $26.6 million, or $3.46 per barrel, and decreases in inventory obsolescence of $14.8 million, or $1.93 per barrel.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Inflationary impacts of $30.0 million consist primarily of increased material costs of $16.0 million, costs of third-party production of $7.6 million, and internal brewery costs of $6.4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Supply chain constraints in package materials, primarily cans, have impacted production schedules and increased can costs, as a result of using a more expensive supplier. During fiscal 2023 and 2022, the additional can costs related to use of this more expensive supplier were zero and $3.6 million, respectively. These supply chain constraints in package materials did not otherwise have a material impact on the Company’s results of operations or capital resources</w:t>
      </w:r>
      <w:r>
        <w:rPr>
          <w:rFonts w:ascii="Times New Roman" w:hAnsi="Times New Roman"/>
          <w:color w:val="FF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$111.01 per barrel for the year ended December 30, 2023, as compared to $105.33 per barrel for the year ended December 31, 2022. Gross margin was 42.4% for the year ended December 30, 2023, as compared to 41.2% for the year ended December 31, 2022. The increase was primarily due price increases, contract renegotiations and recipe optimization and lower inventory obsolescence partially offset by inflationary costs, increased third-party production shortfall fees and brewery cost absorption impact due to lower volume</w:t>
      </w:r>
      <w:r>
        <w:rPr>
          <w:rFonts w:ascii="Times New Roman" w:hAnsi="Times New Roman"/>
          <w:color w:val="FF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Advertising, promotional and selling expenses, decreased $22.4 million, or 3.9%, to $556.0 million for the year ended December 30, 2023, as compared to $578.4 million for the year ended December 31, 2022. The decrease was primarily due to decreased freight to distributors of $50.9 million from lower rates and volumes, partially offset by an increase in brand investments of $28.5 million, mainly driven by higher investments in local marketing and media of $15.9 million and increased salaries and benefits costs of $14.0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Advertising, promotional and selling expenses were 27.7% of net revenue, or $72.41 per barrel, for the year ended December 30, 2023, as compared to 27.7% of net revenue, or $70.68 per barrel, for the year ended December 31, 2022. The Company will invest in advertising and promotional campaigns that it believes are effective, but there is no guarantee that such investment will generate sales growth.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approximately 2% of net sales. The Company may adjust its promotional efforts in the Distributors’ markets, if changes occur in these promotional contribution arrangements, depending on the industry and market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$17.0 million, or 10.8%, to $174.5 million for the year ended December 30, 2023, as compared to $157.5 million for the comparable period in 2022. The increase was primarily due to increased consulting costs of $7.5 million and increased salaries and benefits costs of $4.9 million, mainly due to higher incentive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Impairment of intangible assets.</w:t>
      </w:r>
      <w:r>
        <w:rPr>
          <w:rFonts w:ascii="Times New Roman" w:hAnsi="Times New Roman"/>
          <w:color w:val="000000"/>
          <w:sz w:val="20"/>
        </w:rPr>
        <w:t xml:space="preserve"> Impairment of intangible assets reflects a $16.4 million non-cash impairment charge recorded primarily for the Dogfish Head brand, taken as a result of the Company’s annual impairment analysis as of September 1, 2023. The impairment determination was primarily based on the latest forecasts of brand performance which have been below the Company’s previous projections. In fiscal 2022, the Company recorded an impairment charge of $27.1 million for the Dogfish Head brand. See further discussion in Note H to the Consolidated Financial Statements within Part II, Item 8 of this Form 10-K.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Impairment of brewery assets.</w:t>
      </w:r>
      <w:r>
        <w:rPr>
          <w:rFonts w:ascii="Times New Roman" w:hAnsi="Times New Roman"/>
          <w:color w:val="000000"/>
          <w:sz w:val="20"/>
        </w:rPr>
        <w:t xml:space="preserve"> Impairment of brewery assets of $5.4 million increased by $2.6 million from the prior fiscal year, due to higher write-offs of equipment at Company-owned breweries.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Contract termination costs and other.</w:t>
      </w:r>
      <w:r>
        <w:rPr>
          <w:rFonts w:ascii="Times New Roman" w:hAnsi="Times New Roman"/>
          <w:color w:val="000000"/>
          <w:sz w:val="20"/>
        </w:rPr>
        <w:t xml:space="preserve"> Contract termination costs decreased by $5.4 million primarily due to costs incurred during fiscal year 2022 resulting from negotiations with a supplier that terminated a production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provision.</w:t>
      </w:r>
      <w:r>
        <w:rPr>
          <w:rFonts w:ascii="Times New Roman" w:hAnsi="Times New Roman"/>
          <w:color w:val="000000"/>
          <w:sz w:val="20"/>
        </w:rPr>
        <w:t xml:space="preserve"> The Company’s effective tax rate for fiscal 2023 was a tax provision of 30.2% compared to 26.4% in fiscal 2022, primarily due to an increase in non-deductible officer compensation.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and investment in the Company’s business through capital expenditures.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and restricted cash increased to $298.5 million as of December 30, 2023 from $180.6 million as of December 31, 2022, primarily reflecting cash provided by operating activities and proceeds from the exercise of stock options and sale of investment shares, partially offset by repurchases of Class A common stock and purchases of property, plant,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consists of net income, adjusted for certain non-cash items, such as depreciation and amortization, impairment of intangible assets, stock-based compensation expense, other non-cash items included in operating results, and changes in operating assets and liabilities, such as accounts receivable, inventory, prepaid expenses and other current assets, accounts payable, and accrued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for the year ended December 30, 2023 was $265.2 million and consisted of net income of $76.3 million, non-cash items of $124.0 million, and an inflow of $64.9 million from a net decrease in operating assets and liabilities. The inventory decrease of $31.5 million is due to improvements in supply chain process resulting in lower inventory levels and lower volumes. The third-party production prepayments decrease of $27.8 million is due to expensing of these prepayments over the respective contract terms. The accrued expenses and other current liabilities increase of $13.9 million is primarily due to increases in accrued incentive compensation compared to the prior year. The accounts receivable increase of $10.3 million is primarily due timing of shipments in the month of December compared to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for the year ended December 31, 2022 was $199.9 million and consisted of net income of $67.3 million, non-cash items of $142.4 million and outflows of $9.7 million from net increases in operating assets and liabilities. The change is primarily due to a net decrease in operating assets and liabilities in fiscal 2023 compared to a net increase in fiscal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$62.4 million in investing activities during the year ended December 30, 2023, as compared to $88.5 million during the year ended December 31, 2022. Investing activities during both periods primarily consisted of capital investments made mostly in the Company’s breweries to drive efficiencies and cost reductions and support product innovation and potential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financing activities was $84.8 million during the year ended December 30, 2023, as compared to $2.8 million provided by during the year ended December 31, 2022. The change is primarily due to $92.9 million in repurchases of Class A common stock in fiscal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year 2023, the Company repurchased and subsequently retired 276,045 shares of its Class A Common Stock, respectively, for an aggregate purchase price of $92.9 million. As of December 30, 2023, the Company had repurchased a cumulative total of approximately 14.1 million shares of its Class A Common Stock for an aggregate purchase price of approximately $933.5 million and had approximately $266.5 million remaining on the $1.2 billion stock repurchase expenditure limit set by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its cash balance as of December 30, 2023 of $298.5 million and future operating cash flows, along with its $150.0 million credit facility agreement, will be sufficient to fund future cash requirements. Refer to Note K of the Notes to the Consolidated Financial Statements within Part II, Item 8 of this Form 10-K for further details of the terms of the credit facility agreement. As of the date of this filing, the Company was not in violation of any of its covenants to the lender under the credit facility.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 assumptions that the Company believes to be reasonable under the circumstances. Actual results may differ from the Company’s estimates.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Excess or Expired Inventory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$19.3 million, $35.9 million, and $62.6 million in fiscal years 2023, 2022, and 2021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Valuation of Property, Plant,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value of property, plant, and equipment, net of accumulated depreciation, at December 30, 2023 was $642.5 million. 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$5.0 million, $2.6 million and $18.5 million in fiscal years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Valuation of Goodwill and Indefinite Lived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annual goodwill impairment evaluation analysis conducted at the end of fiscal August indicated that the fair value of the Company’s goodwill was substantially greater than the carrying value and accordingly there was no impairment to record during fiscal 2023.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intangible assets consist primarily of a trademark and customer relationships obtained through the Company’s Dogfish Head acquisition. Customer relationships are amortized over their estimated useful lives. The Dogfish Head trademark which was determined to have an indefinite useful life is not amortized. The guidance for indefinite lived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judgment is required to estimate the fair value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and the after-tax royalty savings expected from ownership of the trademark. The assumptions and projections used in the estimate of fair value are consistent with recent trends and represent the projections used in the Company’s current strategic operating plans which include reductions in revenues from the Dogfish Head beer products which were partially offset with revenue growth from the new Dogfish Head canned cocktails products that were launched in 2021. These assumptions reflect management’s estimates of future economic and competitive conditions and consider many factors including macroeconomic conditions, industry growth rates, and competitive activities and are, therefore, subject to change as a result of changing market conditions. If these estimates or their related assumptions change in the future, we may be required to recognize an additional impairment charge for the asset. The recognition of any resulting impairment charge could have a material adverse impact on the Company's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performed a sensitivity analysis on its significant assumptions used in the Dogfish Head trademark fair value calculation and determined the following</w:t>
      </w:r>
      <w:r>
        <w:rPr>
          <w:rFonts w:ascii="Times New Roman" w:hAnsi="Times New Roman"/>
          <w:color w:val="000000"/>
          <w:sz w:val="24"/>
        </w:rPr>
        <w: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decrease in the annual forecasted revenue growth rate of 1.0% would result in a 5.2% decrease to the current fair value of $55.6 million.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 increase in the discount rate of 1.5% would result in a 11.7% decrease to the current fair value of $55.6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and Classification of Customer Programs and Incentives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30, 2023 and December 31, 2022, the Company had deferred revenue of $8.9 million and $6.8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30, 2023, and December 31, 2022, the stale beer reserve was $8.2 million and $5.6 million, respectively. These amounts are included in accrued expenses and other current liabilities in the accompanying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$106.4 million, $95.9 million and $126.1 million in fiscal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2023, 2022, and 2021, respectively.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promotional discount programs are entered into with Distributors for certain periods of time. Amounts paid to Distributors in connection with these programs in fiscal years 2023, 2022, and 2021 were $62.6 million, $54.8 million and $72.7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2023, 2022, and 2021 were $43.8 million, $41.1 million and $53.4 million, respectively. In fiscal years 2023, 2022, and 2021, the Company recorded certain of these costs in the total amount of $31.4 million, $29.9 million and $42.0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accounts for share-based awards in accordance with ASC Topic 718, </w:t>
      </w:r>
      <w:r>
        <w:rPr>
          <w:rFonts w:ascii="Times New Roman" w:hAnsi="Times New Roman"/>
          <w:i/>
          <w:color w:val="000000"/>
          <w:sz w:val="20"/>
        </w:rPr>
        <w:t xml:space="preserve">Compensation – Stock Compensation </w:t>
      </w:r>
      <w:r>
        <w:rPr>
          <w:rFonts w:ascii="Times New Roman" w:hAnsi="Times New Roman"/>
          <w:color w:val="000000"/>
          <w:sz w:val="20"/>
        </w:rPr>
        <w:t>(“ASC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$17.0 million, $14.0 million and $18.6 million in fiscal years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N for further discussion of the application of the option-pricing models.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High End category and the Beyond Beer category within the United States are highly competitive due to large domestic and international brewers and the increasing number of craft brewers in this category who distribute similar products that have similar pricing and target drinkers. The Company believes that its pricing 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anticipates competition among domestic craft brewers will remain strong, as the number of craft brewers continues to grow. The Company also increasingly competes with wine and spirits companies, some of which have significantly greater resources than the Company. This competitive environment may affect the Company’s overall performance within the High End category. As the market matures and the High End category continues to consolidate, the Company believes that companies that are well-positioned in terms of brand equity, marketing and distribution will have greater success than those who do not. With its over 300 Distributors nationwide and the Company’s sales force of over 475 people, as well as a commitment to maintaining its innovation capability, brand equity and quality, the Company believes it is well positioned to compete in the High End Beer category.</w:t>
      </w:r>
    </w:p>
    <w:p>
      <w:pPr>
        <w:pStyle w:val="TextBody"/>
        <w:bidi w:val="0"/>
        <w:jc w:val="left"/>
        <w:rPr/>
      </w:pPr>
      <w:r>
        <w:rPr/>
        <w:t> </w:t>
      </w:r>
    </w:p>
    <w:p>
      <w:pPr>
        <w:pStyle w:val="TextBody"/>
        <w:bidi w:val="0"/>
        <w:jc w:val="left"/>
        <w:rPr>
          <w:rFonts w:ascii="Times New Roman" w:hAnsi="Times New Roman"/>
          <w:b/>
          <w:color w:val="000000"/>
          <w:sz w:val="20"/>
        </w:rPr>
      </w:pPr>
      <w:bookmarkStart w:id="13" w:name="item_7a_quantitative_qualitative_disclos"/>
      <w:bookmarkEnd w:id="13"/>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hops purchase contracts, as described in Note M to the Consolidated Financial Statements within Part II, Item 8 of this Form 10-K, and makes purchases of other ingredients, equipment, and machinery and payments for commissions and marketing services to an international sales agent denominated in foreign currencies. The cost of these commitments changes as foreign exchange rates fluctuate. Currently, it is not the Company’s policy to hedge against foreign currency fluctuations.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interest rate for borrowings under the Company’s credit facility is based on the applicable secured overnight financing rate ("SOFR") plus 1.1%, and therefore, subjects the Company to fluctuations in such rates. At December 30, 2023, the applicable SOFR was 5.4%. As of December 30, 2023, the Company had no amounts outstanding under its current line of credit.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Sensitivity Analysis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applies a sensitivity analysis to reflect the impact of a 10% hypothetical adverse change in the foreign currency exchange rates. A potential adverse fluctuation in foreign currency exchange rates could negatively impact future cash flows by approximately $1.8 million as of December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_8_financial_statements_supplementar"/>
      <w:bookmarkEnd w:id="14"/>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report_independent_registered_public_acc"/>
      <w:bookmarkEnd w:id="15"/>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Shareholders and the Board of Directors of The Boston Beer Company,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The Boston Beer Company, Inc. and subsidiaries (the "Company") as of December 30, 2023 and December 31, 2022, the related consolidated statements of comprehensive income, stockholders’ equity, and cash flows, for each of the three years in the period ended December 30, 2023, and the related notes. In our opinion, the financial statements present fairly, in all material respects, the financial position of The Boston Beer Company, Inc. and subsidiaries as of December 30, 2023 and December 31, 2022, and the results of its operations and its cash flows for each of the three years in the period ended December 30, 2023,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30,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27, 2024, expressed an unqualified opinion on the Company's internal control over financial reporting.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it relates.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Dogfish Head Trademark Intangible — Refer to Notes B, H, and N to the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an indefinite lived intangible asset consisting of the Dogfish Head Trademark (the “trademark”). The Company's evaluation of the trademark for impairment involves the comparison of the fair value to its' carrying value. Management estimates the fair value of the trademark annually on its elected assessment date which is September 1st of each fiscal year, or more often if impairment indicators are present, using the relief-from-royalty method, which is a discounted cash flow method. The determination of fair value requires management to make significant estimates and assumptions related to forecasted revenues, including growth rates, the royalty rate, and the discount rate used to estimate the fair value of the trademark asset. Changes in these assumptions could have a significant impact on the fair value of the trademark and the amount of any impairment charge. As of December 30, 2023, the carrying value of the trademark was $55.6 million. During the year ended December 30, 2023, the Company recognized an impairment charge of $15.8 million related to the trademark, since its fair value was lower than its carrying value.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identified the valuation of the trademark as a critical audit matter because of the significant judgments and assumptions management makes in estimating the fair value of the trademark. This required a high degree of auditor judgment and an increased extent of effort when performing audit procedures to evaluate the reasonableness of management’s forecasted revenues, the selection of the royalty rate and the selection of the discount rate, including the need to involve our fair value specialists.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procedures related to the forecasted revenues, the selected royalty rate, and the selected discount rate utilized in estimating the fair value of the trademark included the following, among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tested the effectiveness of controls over management’s trademark impairment evaluation, including those over the determination of the fair value of the trademark, such as controls related to management’s forecasts of future revenue, and the selection of the royalty rate and the discount rate.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evaluated management’s ability to accurately forecast revenues by comparing actual revenues to management’s historical forecasts.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evaluated the reasonableness of management’s forecasts by comparing forecasted revenues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business strategies and growth plans including consideration of the effects of new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Historical results and trends;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Industry reports.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With the assistance of our fair value specialists, we evaluated the reasonableness of the valuation methodology and management’s assumptions including the royalty rate and the discount rate by: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Testing the source information underlying the determination of the royalty rate, the discount rate, and the mathematical accuracy of the calculations.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Developing a range of independent estimates for the discount rate and comparing those to the discount rate selected by management.</w:t>
      </w:r>
    </w:p>
    <w:p>
      <w:pPr>
        <w:pStyle w:val="TextBody"/>
        <w:bidi w:val="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Deloitte &amp; Touche LLP</w:t>
            </w:r>
          </w:p>
        </w:tc>
      </w:tr>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Massachusetts</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16" w:name="consolidated_statements_comprehensive_in"/>
      <w:bookmarkEnd w:id="16"/>
      <w:r>
        <w:rPr>
          <w:rFonts w:ascii="Times New Roman" w:hAnsi="Times New Roman"/>
          <w:b/>
          <w:color w:val="000000"/>
          <w:sz w:val="20"/>
        </w:rPr>
        <w:t>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left"/>
        <w:rPr/>
      </w:pPr>
      <w:r>
        <w:rPr/>
        <w:t> </w:t>
      </w:r>
    </w:p>
    <w:tbl>
      <w:tblPr>
        <w:tblW w:w="8582" w:type="dxa"/>
        <w:jc w:val="left"/>
        <w:tblInd w:w="0" w:type="dxa"/>
        <w:tblLayout w:type="fixed"/>
        <w:tblCellMar>
          <w:top w:w="28" w:type="dxa"/>
          <w:left w:w="28" w:type="dxa"/>
          <w:bottom w:w="28" w:type="dxa"/>
          <w:right w:w="28" w:type="dxa"/>
        </w:tblCellMar>
      </w:tblPr>
      <w:tblGrid>
        <w:gridCol w:w="3916"/>
        <w:gridCol w:w="146"/>
        <w:gridCol w:w="210"/>
        <w:gridCol w:w="885"/>
        <w:gridCol w:w="166"/>
        <w:gridCol w:w="146"/>
        <w:gridCol w:w="210"/>
        <w:gridCol w:w="885"/>
        <w:gridCol w:w="166"/>
        <w:gridCol w:w="146"/>
        <w:gridCol w:w="210"/>
        <w:gridCol w:w="885"/>
        <w:gridCol w:w="6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25,</w:t>
              <w:br/>
              <w:t>2021</w:t>
            </w:r>
          </w:p>
        </w:tc>
        <w:tc>
          <w:tcPr>
            <w:tcW w:w="611" w:type="dxa"/>
            <w:tcBorders/>
            <w:shd w:fill="FFFFFF"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2,133,292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2,222,667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2,196,650</w:t>
            </w:r>
          </w:p>
        </w:tc>
        <w:tc>
          <w:tcPr>
            <w:tcW w:w="61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excise taxes</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2,008,625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2,057,622</w:t>
            </w:r>
          </w:p>
        </w:tc>
        <w:tc>
          <w:tcPr>
            <w:tcW w:w="61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 sold</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1,259,830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852,369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861,986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797,792</w:t>
            </w:r>
          </w:p>
        </w:tc>
        <w:tc>
          <w:tcPr>
            <w:tcW w:w="61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Advertising, promotional, and selling expenses</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606,994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Impairment of intangible assets</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Impairment of brewery assets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Contract termination costs and other</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789,795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7,997</w:t>
            </w:r>
          </w:p>
        </w:tc>
        <w:tc>
          <w:tcPr>
            <w:tcW w:w="61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income (expense), net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expense, net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income tax provision</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6,909</w:t>
            </w:r>
          </w:p>
        </w:tc>
        <w:tc>
          <w:tcPr>
            <w:tcW w:w="61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common share - basic</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common share - diluted</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common shares - basic</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common shares - diluted</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61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Defined benefit plans liability adjustment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tbl>
      <w:tblPr>
        <w:tblW w:w="9470" w:type="dxa"/>
        <w:jc w:val="left"/>
        <w:tblInd w:w="0" w:type="dxa"/>
        <w:tblLayout w:type="fixed"/>
        <w:tblCellMar>
          <w:top w:w="28" w:type="dxa"/>
          <w:left w:w="28" w:type="dxa"/>
          <w:bottom w:w="28" w:type="dxa"/>
          <w:right w:w="28" w:type="dxa"/>
        </w:tblCellMar>
      </w:tblPr>
      <w:tblGrid>
        <w:gridCol w:w="6186"/>
        <w:gridCol w:w="146"/>
        <w:gridCol w:w="218"/>
        <w:gridCol w:w="922"/>
        <w:gridCol w:w="166"/>
        <w:gridCol w:w="146"/>
        <w:gridCol w:w="210"/>
        <w:gridCol w:w="885"/>
        <w:gridCol w:w="591"/>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180,560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 receivable</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423,269</w:t>
            </w:r>
          </w:p>
        </w:tc>
        <w:tc>
          <w:tcPr>
            <w:tcW w:w="59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667,909</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right-of-use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43,768</w:t>
            </w:r>
          </w:p>
        </w:tc>
        <w:tc>
          <w:tcPr>
            <w:tcW w:w="59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112,529</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76,324</w:t>
            </w:r>
          </w:p>
        </w:tc>
        <w:tc>
          <w:tcPr>
            <w:tcW w:w="59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Third-party production prepayments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61,339</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1,420,773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84,248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111,153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204,267</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96,592</w:t>
            </w:r>
          </w:p>
        </w:tc>
        <w:tc>
          <w:tcPr>
            <w:tcW w:w="59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352,224</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(See Note M)</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A Common Stock, $0.01</w:t>
            </w:r>
            <w:r>
              <w:rPr>
                <w:rFonts w:ascii="Times New Roman" w:hAnsi="Times New Roman"/>
                <w:color w:val="000000"/>
                <w:sz w:val="20"/>
              </w:rPr>
              <w:t> </w:t>
            </w:r>
            <w:r>
              <w:rPr>
                <w:rFonts w:ascii="Times New Roman" w:hAnsi="Times New Roman"/>
                <w:color w:val="000000"/>
                <w:sz w:val="16"/>
              </w:rPr>
              <w:t>par value; 22,700,000</w:t>
            </w:r>
            <w:r>
              <w:rPr>
                <w:rFonts w:ascii="Times New Roman" w:hAnsi="Times New Roman"/>
                <w:color w:val="000000"/>
                <w:sz w:val="20"/>
              </w:rPr>
              <w:t> </w:t>
            </w:r>
            <w:r>
              <w:rPr>
                <w:rFonts w:ascii="Times New Roman" w:hAnsi="Times New Roman"/>
                <w:color w:val="000000"/>
                <w:sz w:val="16"/>
              </w:rPr>
              <w:t>shares authorized; 10,033,303</w:t>
              <w:br/>
              <w:t>   and 10,238,009</w:t>
            </w:r>
            <w:r>
              <w:rPr>
                <w:rFonts w:ascii="Times New Roman" w:hAnsi="Times New Roman"/>
                <w:color w:val="000000"/>
                <w:sz w:val="20"/>
              </w:rPr>
              <w:t> </w:t>
            </w:r>
            <w:r>
              <w:rPr>
                <w:rFonts w:ascii="Times New Roman" w:hAnsi="Times New Roman"/>
                <w:color w:val="000000"/>
                <w:sz w:val="16"/>
              </w:rPr>
              <w:t>issued and outstanding as of December 30, 2023 and</w:t>
              <w:br/>
              <w:t>   December 31, 2022, respectively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B Common Stock, $0.01</w:t>
            </w:r>
            <w:r>
              <w:rPr>
                <w:rFonts w:ascii="Times New Roman" w:hAnsi="Times New Roman"/>
                <w:color w:val="000000"/>
                <w:sz w:val="20"/>
              </w:rPr>
              <w:t> </w:t>
            </w:r>
            <w:r>
              <w:rPr>
                <w:rFonts w:ascii="Times New Roman" w:hAnsi="Times New Roman"/>
                <w:color w:val="000000"/>
                <w:sz w:val="16"/>
              </w:rPr>
              <w:t>par value; 4,200,000</w:t>
            </w:r>
            <w:r>
              <w:rPr>
                <w:rFonts w:ascii="Times New Roman" w:hAnsi="Times New Roman"/>
                <w:color w:val="000000"/>
                <w:sz w:val="20"/>
              </w:rPr>
              <w:t> </w:t>
            </w:r>
            <w:r>
              <w:rPr>
                <w:rFonts w:ascii="Times New Roman" w:hAnsi="Times New Roman"/>
                <w:color w:val="000000"/>
                <w:sz w:val="16"/>
              </w:rPr>
              <w:t>shares authorized; 2,068,000</w:t>
              <w:br/>
              <w:t>   issued and outstanding at December 30, 2023 and December 31, 2022</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59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629,515</w:t>
            </w:r>
          </w:p>
        </w:tc>
        <w:tc>
          <w:tcPr>
            <w:tcW w:w="59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439,121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1,420,773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sz w:val="20"/>
        </w:rPr>
      </w:pPr>
      <w:bookmarkStart w:id="18" w:name="consolidated_statements_stockholders_equ"/>
      <w:bookmarkEnd w:id="18"/>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Years Ended December 30, 2023, December 31, 2022, and December 25, 2021</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10712" w:type="dxa"/>
        <w:jc w:val="left"/>
        <w:tblInd w:w="0" w:type="dxa"/>
        <w:tblLayout w:type="fixed"/>
        <w:tblCellMar>
          <w:top w:w="28" w:type="dxa"/>
          <w:left w:w="28" w:type="dxa"/>
          <w:bottom w:w="28" w:type="dxa"/>
          <w:right w:w="28" w:type="dxa"/>
        </w:tblCellMar>
      </w:tblPr>
      <w:tblGrid>
        <w:gridCol w:w="1081"/>
        <w:gridCol w:w="146"/>
        <w:gridCol w:w="149"/>
        <w:gridCol w:w="617"/>
        <w:gridCol w:w="166"/>
        <w:gridCol w:w="146"/>
        <w:gridCol w:w="262"/>
        <w:gridCol w:w="504"/>
        <w:gridCol w:w="166"/>
        <w:gridCol w:w="146"/>
        <w:gridCol w:w="170"/>
        <w:gridCol w:w="596"/>
        <w:gridCol w:w="166"/>
        <w:gridCol w:w="146"/>
        <w:gridCol w:w="311"/>
        <w:gridCol w:w="455"/>
        <w:gridCol w:w="166"/>
        <w:gridCol w:w="146"/>
        <w:gridCol w:w="196"/>
        <w:gridCol w:w="691"/>
        <w:gridCol w:w="166"/>
        <w:gridCol w:w="146"/>
        <w:gridCol w:w="376"/>
        <w:gridCol w:w="840"/>
        <w:gridCol w:w="166"/>
        <w:gridCol w:w="146"/>
        <w:gridCol w:w="196"/>
        <w:gridCol w:w="691"/>
        <w:gridCol w:w="166"/>
        <w:gridCol w:w="146"/>
        <w:gridCol w:w="198"/>
        <w:gridCol w:w="838"/>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26, 2020</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956,967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 and restricted</w:t>
              <w:br/>
              <w:t>   shares activities</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(6,729</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18,615</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from Class B to Class A</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Defined benefit plans liability adjustment, net of tax of ($20)</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ASU 2019-12</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25, 2021</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983,409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 and restricted</w:t>
              <w:br/>
              <w:t>   shares activities</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13,988</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Defined benefit plans liability adjustment, net of tax of ($95)</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and retirement of Class A Common Stock</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(93,805</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 and restricted</w:t>
              <w:br/>
              <w:t>   shares activities</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9,811</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16,971</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Defined benefit plans liability adjustment, net of tax of $1</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30, 2023</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1,077,929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sz w:val="20"/>
        </w:rPr>
      </w:pPr>
      <w:bookmarkStart w:id="19" w:name="consolidated_statements_cash_flows"/>
      <w:bookmarkEnd w:id="1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6"/>
        <w:gridCol w:w="346"/>
        <w:gridCol w:w="222"/>
        <w:gridCol w:w="783"/>
        <w:gridCol w:w="366"/>
        <w:gridCol w:w="346"/>
        <w:gridCol w:w="222"/>
        <w:gridCol w:w="783"/>
        <w:gridCol w:w="366"/>
        <w:gridCol w:w="346"/>
        <w:gridCol w:w="210"/>
        <w:gridCol w:w="806"/>
        <w:gridCol w:w="813"/>
      </w:tblGrid>
      <w:tr>
        <w:trPr/>
        <w:tc>
          <w:tcPr>
            <w:tcW w:w="4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44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25,</w:t>
              <w:br/>
              <w:t>2021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provided by operating activities:</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center"/>
              <w:rPr/>
            </w:pPr>
            <w:r>
              <w:rPr/>
              <w:t> </w:t>
            </w:r>
          </w:p>
        </w:tc>
        <w:tc>
          <w:tcPr>
            <w:tcW w:w="36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center"/>
              <w:rPr/>
            </w:pPr>
            <w:r>
              <w:rPr/>
              <w:t> </w:t>
            </w:r>
          </w:p>
        </w:tc>
        <w:tc>
          <w:tcPr>
            <w:tcW w:w="813" w:type="dxa"/>
            <w:tcBorders/>
            <w:shd w:fill="CFF0FC" w:val="clear"/>
            <w:vAlign w:val="center"/>
          </w:tcPr>
          <w:p>
            <w:pPr>
              <w:pStyle w:val="TableContents"/>
              <w:bidi w:val="0"/>
              <w:spacing w:before="0" w:after="283"/>
              <w:ind w:left="0" w:right="0" w:firstLine="200"/>
              <w:jc w:val="center"/>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88,141</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81,356</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72,096</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Impairment of intangible asset</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16,426</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27,100</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color w:val="000000"/>
              </w:rPr>
            </w:pPr>
            <w:r>
              <w:rPr>
                <w:color w:val="000000"/>
              </w:rPr>
              <w:t>—</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Impairment of brewery assets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18,499</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Change in right-of-use assets</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7,678</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7,972</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8,018</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16,971</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13,988</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18,615</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(10,871</w:t>
            </w:r>
          </w:p>
        </w:tc>
        <w:tc>
          <w:tcPr>
            <w:tcW w:w="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9,097</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(5,225</w:t>
            </w:r>
          </w:p>
        </w:tc>
        <w:tc>
          <w:tcPr>
            <w:tcW w:w="813"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non-cash expense (income)</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8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receivable</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(10,340</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23,071</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Inventories</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31,500</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(21,224</w:t>
            </w:r>
          </w:p>
        </w:tc>
        <w:tc>
          <w:tcPr>
            <w:tcW w:w="813"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income tax receivable, and other current assets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13,979</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38,652</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(49,073</w:t>
            </w:r>
          </w:p>
        </w:tc>
        <w:tc>
          <w:tcPr>
            <w:tcW w:w="813"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Third-party production prepayments</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27,758</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26,955</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(16,635</w:t>
            </w:r>
          </w:p>
        </w:tc>
        <w:tc>
          <w:tcPr>
            <w:tcW w:w="813"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(5,849</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(14,031</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(5,699</w:t>
            </w:r>
          </w:p>
        </w:tc>
        <w:tc>
          <w:tcPr>
            <w:tcW w:w="813"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w:t>
            </w:r>
          </w:p>
        </w:tc>
        <w:tc>
          <w:tcPr>
            <w:tcW w:w="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(27,361</w:t>
            </w:r>
          </w:p>
        </w:tc>
        <w:tc>
          <w:tcPr>
            <w:tcW w:w="813"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other current liabilities, and other liabilities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13,884</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(50,632</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35,290</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operating activities</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265,151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199,945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56,297</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used in investing activities:</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of property, plant, and equipment</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(64,087</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(90,582</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(147,919</w:t>
            </w:r>
          </w:p>
        </w:tc>
        <w:tc>
          <w:tcPr>
            <w:tcW w:w="813"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sale of property, plant, and equipment</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investing activities</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investing activities</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(88,506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(146,617</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(used in) provided by financing activities:</w:t>
            </w:r>
          </w:p>
        </w:tc>
        <w:tc>
          <w:tcPr>
            <w:tcW w:w="3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center"/>
              <w:rPr/>
            </w:pPr>
            <w:r>
              <w:rPr/>
              <w:t> </w:t>
            </w:r>
          </w:p>
        </w:tc>
        <w:tc>
          <w:tcPr>
            <w:tcW w:w="36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center"/>
              <w:rPr/>
            </w:pPr>
            <w:r>
              <w:rPr/>
              <w:t> </w:t>
            </w:r>
          </w:p>
        </w:tc>
        <w:tc>
          <w:tcPr>
            <w:tcW w:w="36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16" w:type="dxa"/>
            <w:gridSpan w:val="2"/>
            <w:tcBorders/>
            <w:shd w:fill="FFFFFF" w:val="clear"/>
            <w:vAlign w:val="center"/>
          </w:tcPr>
          <w:p>
            <w:pPr>
              <w:pStyle w:val="TableContents"/>
              <w:bidi w:val="0"/>
              <w:spacing w:before="0" w:after="283"/>
              <w:jc w:val="center"/>
              <w:rPr/>
            </w:pPr>
            <w:r>
              <w:rPr/>
              <w:t> </w:t>
            </w:r>
          </w:p>
        </w:tc>
        <w:tc>
          <w:tcPr>
            <w:tcW w:w="813" w:type="dxa"/>
            <w:tcBorders/>
            <w:shd w:fill="FFFFFF" w:val="clear"/>
            <w:vAlign w:val="center"/>
          </w:tcPr>
          <w:p>
            <w:pPr>
              <w:pStyle w:val="TableContents"/>
              <w:bidi w:val="0"/>
              <w:spacing w:before="0" w:after="283"/>
              <w:ind w:left="0" w:right="0" w:firstLine="200"/>
              <w:jc w:val="center"/>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Repurchases and retirement of Class A common stock</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(92,877</w:t>
            </w:r>
          </w:p>
        </w:tc>
        <w:tc>
          <w:tcPr>
            <w:tcW w:w="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color w:val="000000"/>
              </w:rPr>
            </w:pPr>
            <w:r>
              <w:rPr>
                <w:color w:val="000000"/>
              </w:rPr>
              <w:t>—</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and sale of investment shares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11,723</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7,946</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10,465</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cash paid on finance leases and notes payable</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8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 of tax withholding on stock-based payment awards and investment shares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(3,474</w:t>
            </w:r>
          </w:p>
        </w:tc>
        <w:tc>
          <w:tcPr>
            <w:tcW w:w="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(15,536</w:t>
            </w:r>
          </w:p>
        </w:tc>
        <w:tc>
          <w:tcPr>
            <w:tcW w:w="8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Line of credit borrowings</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color w:val="000000"/>
              </w:rPr>
            </w:pPr>
            <w:r>
              <w:rPr>
                <w:color w:val="000000"/>
              </w:rPr>
              <w:t>—</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Line of credit repayments</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(84,842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cash and cash equivalents and restricted cash</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117,931</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114,239</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(96,961</w:t>
            </w:r>
          </w:p>
        </w:tc>
        <w:tc>
          <w:tcPr>
            <w:tcW w:w="8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180,560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66,321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163,282</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end of period</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298,491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180,560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66,321</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200"/>
              <w:jc w:val="right"/>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 (payments) refunds, net</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(35,728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28,144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(41,221</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amounts included in measurement of lease liabilities</w:t>
            </w:r>
          </w:p>
        </w:tc>
        <w:tc>
          <w:tcPr>
            <w:tcW w:w="346" w:type="dxa"/>
            <w:tcBorders/>
            <w:shd w:fill="CFF0FC" w:val="clear"/>
            <w:vAlign w:val="center"/>
          </w:tcPr>
          <w:p>
            <w:pPr>
              <w:pStyle w:val="TableContents"/>
              <w:bidi w:val="0"/>
              <w:spacing w:before="0" w:after="283"/>
              <w:ind w:left="0" w:right="0" w:firstLine="200"/>
              <w:jc w:val="left"/>
              <w:rPr/>
            </w:pPr>
            <w:r>
              <w:rPr/>
              <w:t> </w:t>
            </w:r>
          </w:p>
        </w:tc>
        <w:tc>
          <w:tcPr>
            <w:tcW w:w="1005" w:type="dxa"/>
            <w:gridSpan w:val="2"/>
            <w:tcBorders/>
            <w:shd w:fill="CFF0FC" w:val="clear"/>
            <w:vAlign w:val="center"/>
          </w:tcPr>
          <w:p>
            <w:pPr>
              <w:pStyle w:val="TableContents"/>
              <w:bidi w:val="0"/>
              <w:spacing w:before="0" w:after="283"/>
              <w:ind w:left="200" w:right="0" w:firstLine="200"/>
              <w:jc w:val="left"/>
              <w:rPr/>
            </w:pPr>
            <w:r>
              <w:rPr/>
              <w:t> </w:t>
            </w:r>
          </w:p>
        </w:tc>
        <w:tc>
          <w:tcPr>
            <w:tcW w:w="36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1005" w:type="dxa"/>
            <w:gridSpan w:val="2"/>
            <w:tcBorders/>
            <w:shd w:fill="CFF0FC" w:val="clear"/>
            <w:vAlign w:val="center"/>
          </w:tcPr>
          <w:p>
            <w:pPr>
              <w:pStyle w:val="TableContents"/>
              <w:bidi w:val="0"/>
              <w:spacing w:before="0" w:after="283"/>
              <w:ind w:left="200" w:right="0" w:firstLine="200"/>
              <w:jc w:val="left"/>
              <w:rPr/>
            </w:pPr>
            <w:r>
              <w:rPr/>
              <w:t> </w:t>
            </w:r>
          </w:p>
        </w:tc>
        <w:tc>
          <w:tcPr>
            <w:tcW w:w="36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016"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cash outflows from operating leases</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10,495</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cash outflows from finance leases</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Financing cash outflows from finance leases</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Right-of-use-assets obtained in exchange for operating lease obligations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Right-of-use-assets obtained in exchange for finance lease obligations</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accounts payable and accrued expenses for purchases of property, plant, and equipment</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(15,824</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5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financing activity – accrued excise taxes on share repurchases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cash equivalents and restricted cash</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jc w:val="right"/>
              <w:rPr/>
            </w:pPr>
            <w:r>
              <w:rPr/>
              <w:t> </w:t>
            </w:r>
          </w:p>
        </w:tc>
      </w:tr>
      <w:tr>
        <w:trPr/>
        <w:tc>
          <w:tcPr>
            <w:tcW w:w="45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4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25,</w:t>
              <w:br/>
              <w:t>2021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298,491</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180,560</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26,853</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cash, cash equivalents and restricted cash shown in the statements of cash flows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298,491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180,560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66,321</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20" w:name="notes_to_consolidated_financial_statemen"/>
      <w:bookmarkEnd w:id="20"/>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December 30,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Organization and 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 "Truly Distilling Co.", “American Fermentation Company”, “General Admission Brewing Co.”, “TeaPot Worldwide”, and “Sun Cruiser Beverage Co.".</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Summary of Significant Accounting Policies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Fiscal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fiscal year is a fifty-two or fifty-three-week period ending on the last Saturday in December. The 2023 and 2021 fiscal years consisted of fifty-two weeks, while the 2022 fiscal year was fifty-three weeks.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and its subsidiaries, all of which are wholly-owned. All intercompany transactions and balances have been eliminated in consolidation.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United States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the Company bases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the Company believes involve the most significant application of judgment or involve complex estimations are inventories and associated reserves, revenue reserves, assumptions surrounding the recoverability of long-lived assets, and income taxes.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at December 30, 2023 and December 31, 2022 included cash on-hand and money market instruments that are highly liquid investments. Cash and cash equivalents are carried at cost, which approximates fair value.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accounts receivable primarily consist of trade receivables. The Company records an allowance for credit losses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allowances for credit losses as of December 30, 2023 and December 31, 2022 are adequate, but actual losses could exceed the recorded allowance.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cash equivalents, restricted cash, and trade receivables. The Company places its cash equivalents with high credit quality financial institutions. As of December 30, 2023, the Company’s cash and cash equivalents were primarily invested in a “Triple A” rated money market fund.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sells primarily to a network of independent wholesalers in the United States and to a network of foreign wholesalers, importers or other agencies (collectively referred to as “Distributors”). In 2023, 2022, and 2021, sales to foreign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Distributors were approximately 4% of total sales. Receivables arising from the Company's sales are not collateralized; however, credit risk is minimized as a result of the large and diverse nature of the Company’s customer base. There were no individual customer accounts receivable balances outstanding at December 30, 2023 or December 31, 2022 that were in excess of 10% of the gross accounts receivable balance on those dates. No individual customers represented more than 10% of the Company’s revenues in fiscal years 2023, 2022, or 2021.</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Financial Instruments and Fair Value of Financial Instruments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primary financial instruments at December 30, 2023 and December 31, 2022 consisted of cash equivalents, restricted cash, accounts receivable, and accounts payable. The Company determines the fair value of its financial assets and liabilities in accordance with Financial Accounting Standards Board (“FASB”) Accounting Standards Codification (“ASC”) Topic 820, </w:t>
      </w:r>
      <w:r>
        <w:rPr>
          <w:rFonts w:ascii="Times New Roman" w:hAnsi="Times New Roman"/>
          <w:i/>
          <w:color w:val="000000"/>
          <w:sz w:val="20"/>
        </w:rPr>
        <w:t xml:space="preserve">Fair Value Measurements and Disclosures </w:t>
      </w:r>
      <w:r>
        <w:rPr>
          <w:rFonts w:ascii="Times New Roman" w:hAnsi="Times New Roman"/>
          <w:color w:val="000000"/>
          <w:sz w:val="20"/>
        </w:rPr>
        <w:t>(“ASC 820”). The Company believes that the carrying amount of its cash equivalents, restricted cash, accounts receivable, and accounts payable approximates fair value due to the short-term nature of these assets and liabilities. The Company is not exposed to significant interest, currency or credit risks arising from these financial assets and liabilities.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Inventories and Provision for Excess or Expired Inventory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consist of raw materials and packaging materials, work in process and finished goods. Raw materials, which principally consist of flavorings, hops, malt, fruit juices,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$19.3 million, $35.9 million, and $62.6 million in fiscal years 2023, 2022, and 2021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are stated at cost or fair value as of the date of acquisition. Expenditures for repairs and maintenance are expensed as incurred. Major renewals and betterments that extend the life of the property are capitalized. Depreciation is computed using the straight-line method based upon the estimated useful lives of the underlying assets as follows:</w:t>
      </w:r>
    </w:p>
    <w:p>
      <w:pPr>
        <w:pStyle w:val="TextBody"/>
        <w:bidi w:val="0"/>
        <w:jc w:val="left"/>
        <w:rPr/>
      </w:pPr>
      <w:r>
        <w:rPr/>
        <w:t> </w:t>
      </w:r>
    </w:p>
    <w:tbl>
      <w:tblPr>
        <w:tblW w:w="9692" w:type="dxa"/>
        <w:jc w:val="left"/>
        <w:tblInd w:w="0" w:type="dxa"/>
        <w:tblLayout w:type="fixed"/>
        <w:tblCellMar>
          <w:top w:w="28" w:type="dxa"/>
          <w:left w:w="28" w:type="dxa"/>
          <w:bottom w:w="28" w:type="dxa"/>
          <w:right w:w="28" w:type="dxa"/>
        </w:tblCellMar>
      </w:tblPr>
      <w:tblGrid>
        <w:gridCol w:w="3151"/>
        <w:gridCol w:w="6541"/>
      </w:tblGrid>
      <w:tr>
        <w:trPr/>
        <w:tc>
          <w:tcPr>
            <w:tcW w:w="315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Kegs</w:t>
            </w:r>
          </w:p>
        </w:tc>
        <w:tc>
          <w:tcPr>
            <w:tcW w:w="6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315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equipment</w:t>
            </w:r>
          </w:p>
        </w:tc>
        <w:tc>
          <w:tcPr>
            <w:tcW w:w="6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to 5 years</w:t>
            </w:r>
          </w:p>
        </w:tc>
      </w:tr>
      <w:tr>
        <w:trPr/>
        <w:tc>
          <w:tcPr>
            <w:tcW w:w="315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6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7 years</w:t>
            </w:r>
          </w:p>
        </w:tc>
      </w:tr>
      <w:tr>
        <w:trPr/>
        <w:tc>
          <w:tcPr>
            <w:tcW w:w="315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plant equipment</w:t>
            </w:r>
          </w:p>
        </w:tc>
        <w:tc>
          <w:tcPr>
            <w:tcW w:w="6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20 years</w:t>
            </w:r>
          </w:p>
        </w:tc>
      </w:tr>
      <w:tr>
        <w:trPr/>
        <w:tc>
          <w:tcPr>
            <w:tcW w:w="315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6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the remaining term of the lease or estimated useful life of the asset</w:t>
            </w:r>
          </w:p>
        </w:tc>
      </w:tr>
      <w:tr>
        <w:trPr/>
        <w:tc>
          <w:tcPr>
            <w:tcW w:w="315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building improvements</w:t>
            </w:r>
          </w:p>
        </w:tc>
        <w:tc>
          <w:tcPr>
            <w:tcW w:w="6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 to 20 years, or the remaining useful life of the building, whichever is shorter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$5.0 million, $2.6 million and $18.5 million in fiscal years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consists of one operating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annual goodwill impairment evaluation analysis conducted at the end of fiscal August indicated that the fair value of the Company’s goodwill was substantially greater than the carrying value and accordingly there was no impairment to record during fiscal 2023.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intangible assets consist primarily of a trademark and customer relationships obtained through the Company’s Dogfish Head acquisition. Customer relationships are amortized over their estimated useful lives. The Dogfish Head trademark which was determined to have an indefinite useful life is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judgment is required to estimate the fair value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the tax rate and other factors. These assumptions reflect management’s estimates of future economic and competitive conditions and consider many factors including macroeconomic conditions, industry growth rates, and competitive activities. The assumptions and projections used in the estimate of fair value are consistent with those used in current operating plans and the Company believes they are reasonable.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Refundable Deposits on Kegs and Pallets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distributes its packaged flavored malt beverages, hard seltzers, beers, and hard ciders primarily in cans and glass bottles and its draft beer in kegs and such cans, bottles, and kegs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certain pallets, which is included in current liabilities in the Company’s balance sheets. Upon return of the kegs and pallets to the Company, the deposit is refunded to the Distributor.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experienced some loss of kegs and pallets and anticipates that some loss will occur in future periods due to the significant volume of kegs and pallets handled by each Distributor and retailer, the homogeneous nature of kegs and pallets owned by most brewers, and the relatively small deposit collected for each keg when compared with its market value. The Company believes that this is an industry-wide issue and that the Company’s loss experience is not atypical. The Company believes that the loss of kegs and pallets, after considering the forfeiture of related deposits, has not been material to the financial statements. The Company uses internal records, records maintained by Distributors, records maintained by other third-party vendors and historical information to estimate the physical count of kegs and pallets held by Distributors. These estimates affect the amount recorded as property, plant and equipment and current liabilities as of the date of the financial statements. The actual liability for refundable deposits could differ from these estimates. For the year ended December 30, 2023, the Company decreased its liability for refundable deposits by $0.7 million. For the year ended December 31, 2022, the Company decreased its liability for refundable deposits, gross property, plant, and equipment and related accumulated depreciation by $0.4 million, $1.0 million and $1.0 million, respectively. As of December 30, 2023, and December 31 2022, the Company’s balance sheet includes $13.3 million and $13.0 million, respectively, in refundable deposits on kegs and pallets and $0.7 million and $1.0 million, respectively, in kegs, net of accumulated depreciation.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provides for deferred taxes using an asset and liability approach that requires the recognition of deferred tax assets and liabilities for the expected future tax consequences of events that have been recognized in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consolidated financial statements or tax returns. This results in differences between the book and tax basis of the Company’s assets, liabilities and carry-forwards, such as tax credits. In estimating future tax consequences, all expected future events, other than enactment of changes in the tax laws or rates, are generally considered. Valuation allowances are provided when recovery of deferred tax assets does not meet the more likely than not standards as defined in ASC Topic 740, </w:t>
      </w:r>
      <w:r>
        <w:rPr>
          <w:rFonts w:ascii="Times New Roman" w:hAnsi="Times New Roman"/>
          <w:i/>
          <w:color w:val="000000"/>
          <w:sz w:val="20"/>
        </w:rPr>
        <w:t>Income Taxes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calculation of the Company’s uncertain tax positions involves dealing with uncertainties in the application of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w:t>
      </w:r>
      <w:r>
        <w:rPr>
          <w:rFonts w:ascii="Times New Roman" w:hAnsi="Times New Roman"/>
          <w:i/>
          <w:color w:val="000000"/>
          <w:sz w:val="20"/>
        </w:rPr>
        <w:t>Income Taxes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Organization for Economic Co-operation and Development/G20 Inclusive Framework on Base Erosion and Profit Shifting has introduced rules to establish a global minimum tax rate of 15%, commonly referred to as the Pillar Two rules. Numerous foreign countries have enacted legislation to implement the Pillar Two rules, effective beginning in 2024, or are expected to enact similar legislation. The Company is currently evaluating the potential impacts that Pillar Two may have on future periods and will continue to monitor the implementation of the Pillar Two rules in the jurisdictions in which it operates.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 and Classification of Customer Programs and Incentives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years 2023, 2022, and 2021 approximately 94%, 95%, and 95%, respectively, of the Company’s revenue was from shipments of its products to domestic Distributors and 4% from shipments to international Distributors, primarily located in Canada. Approximately 2%, 1%, and 1% of the Company’s revenue was from retail beer, cider, food and merchandise sales at the Company’s retail locations during fiscal years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30, 2023 and December 31, 2022, the Company had deferred revenue of $8.9 million and $6.8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30, 2023, and December 31, 2022, the stale beer reserve was $8.2 million and $5.6 million, respectively. These amounts are included in accrued expenses and other current liabilities in the accompanying consolidated balance sheets. Provision for stale beer recorded as reductions to revenue totaled $18.8 million, $19.6 million, and $9.5 million in fiscal years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$106.4 million, $95.9 million and $126.1 million in fiscal years 2023, 2022, and 2021, respectively.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promotional discount programs are entered into with Distributors for certain periods of time. Amounts paid to Distributors in connection with these programs in fiscal years 2023, 2022, and 2021 were $62.6 million, $54.8 million and $72.7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2023, 2022, and 2021 were $43.8 million, $41.1 million and $53.4 million, respectively. In fiscal years 2023, 2022, and 2021, the Company recorded certain of these costs in the total amount of $31.4 million, $29.9 million and $42.0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Excise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responsible for compliance with TTB regulations, including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of Goods Sold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expenses are included in cost of goods sold in the accompanying consolidated statements of comprehensive income: raw material costs, packaging material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Shipping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Costs incurred for the shipping of products to customers are included in advertising, promotional and selling expenses in the accompanying consolidated statements of comprehensive income. The Company incurred shipping costs of $114.7 million, $165.5 million, and $166.6 million in fiscal years 2023, 2022, and 2021,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Advertising, Promotional, and Selling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expenses are included in advertising, promotional and selling expenses in the accompanying consolidated statements of comprehensive income: media advertising and production costs, sales and brand related expenses, sales and brand salary and benefit expenses, stock compensation, meals, travel and entertainment expenses, promotional activity expenses, shipping costs related to shipments of finished goods from manufacturing locations to distributor locations and point-of-sale items. Total advertising and sales promotional expenditures of $233.5 million, $226.7 million, and $291.3 million were included in advertising, promotional and selling expenses in the accompanying consolidated statements of comprehensive income for fiscal years 2023, 2022, and 2021,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expenses are included in general and administrative expenses in the accompanying consolidated statements of comprehensive income: general and administrative salary and benefit expenses, stock compensation, insurance costs, consulting and professional service fees, rent and utility expenses, meals, travel and entertainment expenses for general and administrative employees, and other general and administrative overhead costs.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accounts for share-based awards in accordance with ASC Topic 718, </w:t>
      </w:r>
      <w:r>
        <w:rPr>
          <w:rFonts w:ascii="Times New Roman" w:hAnsi="Times New Roman"/>
          <w:i/>
          <w:color w:val="000000"/>
          <w:sz w:val="20"/>
        </w:rPr>
        <w:t xml:space="preserve">Compensation – Stock Compensation </w:t>
      </w:r>
      <w:r>
        <w:rPr>
          <w:rFonts w:ascii="Times New Roman" w:hAnsi="Times New Roman"/>
          <w:color w:val="000000"/>
          <w:sz w:val="20"/>
        </w:rPr>
        <w:t>(“ASC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$17.0 million, $14.0 million and $18.6 million in fiscal years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O for further discussion of the application of the option-pricing models.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Net Income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per share is calculated by dividing net income by the weighted-average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2023, the FASB issued ASU 2023-07—</w:t>
      </w:r>
      <w:r>
        <w:rPr>
          <w:rFonts w:ascii="Times New Roman" w:hAnsi="Times New Roman"/>
          <w:i/>
          <w:color w:val="000000"/>
          <w:sz w:val="20"/>
        </w:rPr>
        <w:t>Segment Reporting</w:t>
      </w:r>
      <w:r>
        <w:rPr>
          <w:rFonts w:ascii="Times New Roman" w:hAnsi="Times New Roman"/>
          <w:color w:val="000000"/>
          <w:sz w:val="20"/>
        </w:rPr>
        <w:t xml:space="preserve"> (Topic 280): </w:t>
      </w:r>
      <w:r>
        <w:rPr>
          <w:rFonts w:ascii="Times New Roman" w:hAnsi="Times New Roman"/>
          <w:i/>
          <w:color w:val="000000"/>
          <w:sz w:val="20"/>
        </w:rPr>
        <w:t>Improvements to Reportable Segment Disclosures</w:t>
      </w:r>
      <w:r>
        <w:rPr>
          <w:rFonts w:ascii="Times New Roman" w:hAnsi="Times New Roman"/>
          <w:color w:val="000000"/>
          <w:sz w:val="20"/>
        </w:rPr>
        <w:t>. This ASU was issued to improve reportable segment disclosure requirements, primarily through enhanced disclosures about significant segment expenses. This ASU applies to all public entities that are required to report segment information in accordance with Topic 280, Segment Reporting. ASU 2023-07 is effective for fiscal years beginning after December 15, 2023, and interim periods within fiscal years beginning after December 15, 2024. Early adoption is permitted and the standard should be applied retrospectively. ASU 2023-07 will be effective for the Company's fiscal year ending December 28, 2024. The Company does not anticipate the adoption of this ASU will have a material impact on its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2023, the FASB issued ASU 2023-09—</w:t>
      </w:r>
      <w:r>
        <w:rPr>
          <w:rFonts w:ascii="Times New Roman" w:hAnsi="Times New Roman"/>
          <w:i/>
          <w:color w:val="000000"/>
          <w:sz w:val="20"/>
        </w:rPr>
        <w:t>Income Taxes</w:t>
      </w:r>
      <w:r>
        <w:rPr>
          <w:rFonts w:ascii="Times New Roman" w:hAnsi="Times New Roman"/>
          <w:color w:val="000000"/>
          <w:sz w:val="20"/>
        </w:rPr>
        <w:t xml:space="preserve"> (Topic 740): </w:t>
      </w:r>
      <w:r>
        <w:rPr>
          <w:rFonts w:ascii="Times New Roman" w:hAnsi="Times New Roman"/>
          <w:i/>
          <w:color w:val="000000"/>
          <w:sz w:val="20"/>
        </w:rPr>
        <w:t>Improvements to Income Tax Disclosures</w:t>
      </w:r>
      <w:r>
        <w:rPr>
          <w:rFonts w:ascii="Times New Roman" w:hAnsi="Times New Roman"/>
          <w:color w:val="000000"/>
          <w:sz w:val="20"/>
        </w:rPr>
        <w:t xml:space="preserve">. This ASU was issued to address investor requests for more transparency about income tax information through improvements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income tax disclosure primarily related to the rate reconciliation and income taxes paid information, and to improve the effectiveness of income tax disclosures. This ASU is effective for public entities for annual periods beginning after December 15, 2024. Early adoption is permitted. ASU 2023-09 will be effective for the Company in the first quarter of its fiscal year ending December 27, 2025. The Company is currently evaluating the impact the adoption of this ASU will have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consisted of the following as of:</w:t>
      </w:r>
    </w:p>
    <w:p>
      <w:pPr>
        <w:pStyle w:val="TextBody"/>
        <w:bidi w:val="0"/>
        <w:jc w:val="left"/>
        <w:rPr/>
      </w:pPr>
      <w:r>
        <w:rPr/>
        <w:t> </w:t>
      </w:r>
    </w:p>
    <w:tbl>
      <w:tblPr>
        <w:tblW w:w="4805" w:type="dxa"/>
        <w:jc w:val="left"/>
        <w:tblInd w:w="0" w:type="dxa"/>
        <w:tblLayout w:type="fixed"/>
        <w:tblCellMar>
          <w:top w:w="28" w:type="dxa"/>
          <w:left w:w="28" w:type="dxa"/>
          <w:bottom w:w="28" w:type="dxa"/>
          <w:right w:w="28" w:type="dxa"/>
        </w:tblCellMar>
      </w:tblPr>
      <w:tblGrid>
        <w:gridCol w:w="1741"/>
        <w:gridCol w:w="146"/>
        <w:gridCol w:w="252"/>
        <w:gridCol w:w="888"/>
        <w:gridCol w:w="146"/>
        <w:gridCol w:w="146"/>
        <w:gridCol w:w="242"/>
        <w:gridCol w:w="853"/>
        <w:gridCol w:w="3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2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inventory: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Raw materials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Work in process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Finished goods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inventory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148,450</w:t>
            </w:r>
          </w:p>
        </w:tc>
        <w:tc>
          <w:tcPr>
            <w:tcW w:w="391" w:type="dxa"/>
            <w:tcBorders/>
            <w:shd w:fill="CFF0FC"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 term inventory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inventory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30, 2023 and December 31, 2022, the Company has recorded inventory obsolescence reserves of $7.6 million and $22.0 million, respectively. The reduction in inventory obsolescence reserves was primarily driven by the destruction of previously reserved inventory and improved supply chain processes that resulted in less obsolescence in fiscal 2023.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 Prepaid Expenses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as of: </w:t>
      </w:r>
    </w:p>
    <w:p>
      <w:pPr>
        <w:pStyle w:val="TextBody"/>
        <w:bidi w:val="0"/>
        <w:jc w:val="left"/>
        <w:rPr/>
      </w:pPr>
      <w:r>
        <w:rPr/>
        <w:t> </w:t>
      </w:r>
    </w:p>
    <w:tbl>
      <w:tblPr>
        <w:tblW w:w="6390" w:type="dxa"/>
        <w:jc w:val="left"/>
        <w:tblInd w:w="0" w:type="dxa"/>
        <w:tblLayout w:type="fixed"/>
        <w:tblCellMar>
          <w:top w:w="28" w:type="dxa"/>
          <w:left w:w="28" w:type="dxa"/>
          <w:bottom w:w="28" w:type="dxa"/>
          <w:right w:w="28" w:type="dxa"/>
        </w:tblCellMar>
      </w:tblPr>
      <w:tblGrid>
        <w:gridCol w:w="3571"/>
        <w:gridCol w:w="146"/>
        <w:gridCol w:w="269"/>
        <w:gridCol w:w="826"/>
        <w:gridCol w:w="146"/>
        <w:gridCol w:w="146"/>
        <w:gridCol w:w="269"/>
        <w:gridCol w:w="826"/>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taxes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software and consulting fees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4,549</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insurance</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advertising, promotional and selling costs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8,878</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 Property, Plant,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consisted of the following as of:</w:t>
      </w:r>
    </w:p>
    <w:p>
      <w:pPr>
        <w:pStyle w:val="TextBody"/>
        <w:bidi w:val="0"/>
        <w:jc w:val="left"/>
        <w:rPr/>
      </w:pPr>
      <w:r>
        <w:rPr/>
        <w:t> </w:t>
      </w:r>
    </w:p>
    <w:tbl>
      <w:tblPr>
        <w:tblW w:w="5590" w:type="dxa"/>
        <w:jc w:val="left"/>
        <w:tblInd w:w="0" w:type="dxa"/>
        <w:tblLayout w:type="fixed"/>
        <w:tblCellMar>
          <w:top w:w="28" w:type="dxa"/>
          <w:left w:w="28" w:type="dxa"/>
          <w:bottom w:w="28" w:type="dxa"/>
          <w:right w:w="28" w:type="dxa"/>
        </w:tblCellMar>
      </w:tblPr>
      <w:tblGrid>
        <w:gridCol w:w="2731"/>
        <w:gridCol w:w="146"/>
        <w:gridCol w:w="210"/>
        <w:gridCol w:w="885"/>
        <w:gridCol w:w="166"/>
        <w:gridCol w:w="146"/>
        <w:gridCol w:w="210"/>
        <w:gridCol w:w="885"/>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Machinery and plant equipment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760,895</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and building improvements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237,561</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Leasehold improvements</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75,260</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Kegs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58,492</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 equipment and furniture</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36,935</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25,777</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 under construction</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gross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1,236,243</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667,909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depreciation expense related to these assets of $87.9 million, $81.1 million, and $71.8 million, in fiscal years 2023, 2022, and 2021,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Impairment of Assets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evaluates its assets for impairment when events indicate that an asset or asset group may have suffered impairment. During fiscal years 2023, 2022, and 2021, the Company recorded impairment charges on brewery assets classified as property, plant, and equipment of</w:t>
      </w:r>
      <w:r>
        <w:rPr>
          <w:rFonts w:ascii="Times New Roman" w:hAnsi="Times New Roman"/>
          <w:color w:val="FF0000"/>
          <w:sz w:val="20"/>
        </w:rPr>
        <w:t xml:space="preserve"> </w:t>
      </w:r>
      <w:r>
        <w:rPr>
          <w:rFonts w:ascii="Times New Roman" w:hAnsi="Times New Roman"/>
          <w:color w:val="000000"/>
          <w:sz w:val="20"/>
        </w:rPr>
        <w:t>$5.0 million, $2.6 million, and $18.5 million, respectively. The increase in impairment charges during fiscal year 2021 relates to write-downs of equipment related to the slowdown of the hard seltzer category.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various lease agreements in place for facilities and equipment. Terms of these leases include, in some instances, scheduled rent increases, renewals, purchase options, and maintenance costs, and vary by lease. These lease obligations expire at various dates through 2034. As the rate implicit in each lease is not readily determinable, the Company uses its incremental borrowing rate based on information available at lease commencement to determine the present value of the lease payments. Leases with an initial term of 12 months or less (“short-term leases”) are not recorded on the balance sheet and are recognized on a straight-line basis over the lease term. Total right-of-use ("ROU") assets and lease liabilities were as follows at:</w:t>
      </w:r>
    </w:p>
    <w:p>
      <w:pPr>
        <w:pStyle w:val="TextBody"/>
        <w:bidi w:val="0"/>
        <w:jc w:val="left"/>
        <w:rPr/>
      </w:pPr>
      <w:r>
        <w:rPr/>
        <w:t> </w:t>
      </w:r>
    </w:p>
    <w:tbl>
      <w:tblPr>
        <w:tblW w:w="8512" w:type="dxa"/>
        <w:jc w:val="left"/>
        <w:tblInd w:w="0" w:type="dxa"/>
        <w:tblLayout w:type="fixed"/>
        <w:tblCellMar>
          <w:top w:w="28" w:type="dxa"/>
          <w:left w:w="28" w:type="dxa"/>
          <w:bottom w:w="28" w:type="dxa"/>
          <w:right w:w="28" w:type="dxa"/>
        </w:tblCellMar>
      </w:tblPr>
      <w:tblGrid>
        <w:gridCol w:w="2046"/>
        <w:gridCol w:w="146"/>
        <w:gridCol w:w="3256"/>
        <w:gridCol w:w="146"/>
        <w:gridCol w:w="280"/>
        <w:gridCol w:w="860"/>
        <w:gridCol w:w="146"/>
        <w:gridCol w:w="146"/>
        <w:gridCol w:w="269"/>
        <w:gridCol w:w="826"/>
        <w:gridCol w:w="3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2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0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Right-of-use assets</w:t>
            </w:r>
          </w:p>
        </w:tc>
        <w:tc>
          <w:tcPr>
            <w:tcW w:w="146" w:type="dxa"/>
            <w:tcBorders/>
            <w:shd w:fill="CFF0FC" w:val="clear"/>
            <w:vAlign w:val="center"/>
          </w:tcPr>
          <w:p>
            <w:pPr>
              <w:pStyle w:val="TableContents"/>
              <w:bidi w:val="0"/>
              <w:spacing w:before="0" w:after="283"/>
              <w:jc w:val="left"/>
              <w:rPr/>
            </w:pPr>
            <w:r>
              <w:rPr/>
              <w:t> </w:t>
            </w:r>
          </w:p>
        </w:tc>
        <w:tc>
          <w:tcPr>
            <w:tcW w:w="3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0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assets</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right-of-use assets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43,768</w:t>
            </w:r>
          </w:p>
        </w:tc>
        <w:tc>
          <w:tcPr>
            <w:tcW w:w="391" w:type="dxa"/>
            <w:tcBorders/>
            <w:shd w:fill="FFFFFF" w:val="clear"/>
            <w:vAlign w:val="center"/>
          </w:tcPr>
          <w:p>
            <w:pPr>
              <w:pStyle w:val="TableContents"/>
              <w:bidi w:val="0"/>
              <w:spacing w:before="0" w:after="283"/>
              <w:jc w:val="left"/>
              <w:rPr/>
            </w:pPr>
            <w:r>
              <w:rPr/>
              <w:t> </w:t>
            </w:r>
          </w:p>
        </w:tc>
      </w:tr>
      <w:tr>
        <w:trPr/>
        <w:tc>
          <w:tcPr>
            <w:tcW w:w="20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assets</w:t>
            </w:r>
          </w:p>
        </w:tc>
        <w:tc>
          <w:tcPr>
            <w:tcW w:w="146" w:type="dxa"/>
            <w:tcBorders/>
            <w:shd w:fill="CFF0FC" w:val="clear"/>
            <w:vAlign w:val="center"/>
          </w:tcPr>
          <w:p>
            <w:pPr>
              <w:pStyle w:val="TableContents"/>
              <w:bidi w:val="0"/>
              <w:spacing w:before="0" w:after="283"/>
              <w:jc w:val="left"/>
              <w:rPr/>
            </w:pPr>
            <w:r>
              <w:rPr/>
              <w:t> </w:t>
            </w:r>
          </w:p>
        </w:tc>
        <w:tc>
          <w:tcPr>
            <w:tcW w:w="3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w:t>
            </w:r>
          </w:p>
        </w:tc>
        <w:tc>
          <w:tcPr>
            <w:tcW w:w="391" w:type="dxa"/>
            <w:tcBorders/>
            <w:shd w:fill="CFF0FC" w:val="clear"/>
            <w:vAlign w:val="center"/>
          </w:tcPr>
          <w:p>
            <w:pPr>
              <w:pStyle w:val="TableContents"/>
              <w:bidi w:val="0"/>
              <w:spacing w:before="0" w:after="283"/>
              <w:jc w:val="left"/>
              <w:rPr/>
            </w:pPr>
            <w:r>
              <w:rPr/>
              <w:t> </w:t>
            </w:r>
          </w:p>
        </w:tc>
      </w:tr>
      <w:tr>
        <w:trPr/>
        <w:tc>
          <w:tcPr>
            <w:tcW w:w="20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Liabilities</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0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w:t>
            </w:r>
          </w:p>
        </w:tc>
        <w:tc>
          <w:tcPr>
            <w:tcW w:w="146" w:type="dxa"/>
            <w:tcBorders/>
            <w:shd w:fill="CFF0FC" w:val="clear"/>
            <w:vAlign w:val="center"/>
          </w:tcPr>
          <w:p>
            <w:pPr>
              <w:pStyle w:val="TableContents"/>
              <w:bidi w:val="0"/>
              <w:spacing w:before="0" w:after="283"/>
              <w:jc w:val="left"/>
              <w:rPr/>
            </w:pPr>
            <w:r>
              <w:rPr/>
              <w:t> </w:t>
            </w:r>
          </w:p>
        </w:tc>
        <w:tc>
          <w:tcPr>
            <w:tcW w:w="3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Finance lease liabilities</w:t>
            </w:r>
          </w:p>
        </w:tc>
        <w:tc>
          <w:tcPr>
            <w:tcW w:w="146" w:type="dxa"/>
            <w:tcBorders/>
            <w:shd w:fill="CFF0FC" w:val="clear"/>
            <w:vAlign w:val="center"/>
          </w:tcPr>
          <w:p>
            <w:pPr>
              <w:pStyle w:val="TableContents"/>
              <w:bidi w:val="0"/>
              <w:spacing w:before="0" w:after="283"/>
              <w:jc w:val="left"/>
              <w:rPr/>
            </w:pPr>
            <w:r>
              <w:rPr/>
              <w:t> </w:t>
            </w:r>
          </w:p>
        </w:tc>
        <w:tc>
          <w:tcPr>
            <w:tcW w:w="3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391" w:type="dxa"/>
            <w:tcBorders/>
            <w:shd w:fill="CFF0FC" w:val="clear"/>
            <w:vAlign w:val="center"/>
          </w:tcPr>
          <w:p>
            <w:pPr>
              <w:pStyle w:val="TableContents"/>
              <w:bidi w:val="0"/>
              <w:spacing w:before="0" w:after="283"/>
              <w:jc w:val="left"/>
              <w:rPr/>
            </w:pPr>
            <w:r>
              <w:rPr/>
              <w:t> </w:t>
            </w:r>
          </w:p>
        </w:tc>
      </w:tr>
      <w:tr>
        <w:trPr/>
        <w:tc>
          <w:tcPr>
            <w:tcW w:w="20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vAlign w:val="center"/>
          </w:tcPr>
          <w:p>
            <w:pPr>
              <w:pStyle w:val="TableContents"/>
              <w:bidi w:val="0"/>
              <w:spacing w:before="0" w:after="283"/>
              <w:jc w:val="left"/>
              <w:rPr/>
            </w:pPr>
            <w:r>
              <w:rPr/>
              <w:t> </w:t>
            </w:r>
          </w:p>
        </w:tc>
        <w:tc>
          <w:tcPr>
            <w:tcW w:w="3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Finance lease liabilities</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gross value and accumulated depreciation of ROU assets related to finance leases were as follows at:</w:t>
      </w:r>
    </w:p>
    <w:p>
      <w:pPr>
        <w:pStyle w:val="TextBody"/>
        <w:bidi w:val="0"/>
        <w:jc w:val="left"/>
        <w:rPr/>
      </w:pPr>
      <w:r>
        <w:rPr/>
        <w:t> </w:t>
      </w:r>
    </w:p>
    <w:tbl>
      <w:tblPr>
        <w:tblW w:w="4855" w:type="dxa"/>
        <w:jc w:val="left"/>
        <w:tblInd w:w="0" w:type="dxa"/>
        <w:tblLayout w:type="fixed"/>
        <w:tblCellMar>
          <w:top w:w="28" w:type="dxa"/>
          <w:left w:w="28" w:type="dxa"/>
          <w:bottom w:w="28" w:type="dxa"/>
          <w:right w:w="28" w:type="dxa"/>
        </w:tblCellMar>
      </w:tblPr>
      <w:tblGrid>
        <w:gridCol w:w="1951"/>
        <w:gridCol w:w="146"/>
        <w:gridCol w:w="291"/>
        <w:gridCol w:w="849"/>
        <w:gridCol w:w="166"/>
        <w:gridCol w:w="146"/>
        <w:gridCol w:w="279"/>
        <w:gridCol w:w="816"/>
        <w:gridCol w:w="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value</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w:t>
            </w:r>
          </w:p>
        </w:tc>
        <w:tc>
          <w:tcPr>
            <w:tcW w:w="21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amortization</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Carrying value</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Components of lease cost for the fiscal year-ended are as follows at:</w:t>
      </w:r>
    </w:p>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21"/>
        <w:gridCol w:w="146"/>
        <w:gridCol w:w="314"/>
        <w:gridCol w:w="826"/>
        <w:gridCol w:w="146"/>
        <w:gridCol w:w="146"/>
        <w:gridCol w:w="269"/>
        <w:gridCol w:w="826"/>
        <w:gridCol w:w="146"/>
        <w:gridCol w:w="146"/>
        <w:gridCol w:w="269"/>
        <w:gridCol w:w="826"/>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4" w:type="dxa"/>
            <w:gridSpan w:val="10"/>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25,</w:t>
              <w:b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cost:</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right-of-use assets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Variable lease costs not included in liability</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lease cost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cost:</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right-of-use assets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on lease liabilities</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finance lease cost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Additionally, during 2023 and 2022, the Company recorded impairment charges on right-of use assets of</w:t>
      </w:r>
      <w:r>
        <w:rPr>
          <w:rFonts w:ascii="Times New Roman" w:hAnsi="Times New Roman"/>
          <w:color w:val="FF0000"/>
          <w:sz w:val="20"/>
        </w:rPr>
        <w:t xml:space="preserve"> </w:t>
      </w:r>
      <w:r>
        <w:rPr>
          <w:rFonts w:ascii="Times New Roman" w:hAnsi="Times New Roman"/>
          <w:color w:val="000000"/>
          <w:sz w:val="20"/>
        </w:rPr>
        <w:t>$0.4 million and $0.2 million, respectively, included within impairment of brewery assets within the Company's consolidated statements of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as of December 30, 2023 are as follows:</w:t>
      </w:r>
    </w:p>
    <w:p>
      <w:pPr>
        <w:pStyle w:val="TextBody"/>
        <w:bidi w:val="0"/>
        <w:jc w:val="left"/>
        <w:rPr/>
      </w:pPr>
      <w:r>
        <w:rPr/>
        <w:t> </w:t>
      </w:r>
    </w:p>
    <w:tbl>
      <w:tblPr>
        <w:tblW w:w="8642" w:type="dxa"/>
        <w:jc w:val="left"/>
        <w:tblInd w:w="0" w:type="dxa"/>
        <w:tblLayout w:type="fixed"/>
        <w:tblCellMar>
          <w:top w:w="28" w:type="dxa"/>
          <w:left w:w="28" w:type="dxa"/>
          <w:bottom w:w="28" w:type="dxa"/>
          <w:right w:w="28" w:type="dxa"/>
        </w:tblCellMar>
      </w:tblPr>
      <w:tblGrid>
        <w:gridCol w:w="3976"/>
        <w:gridCol w:w="146"/>
        <w:gridCol w:w="210"/>
        <w:gridCol w:w="646"/>
        <w:gridCol w:w="166"/>
        <w:gridCol w:w="146"/>
        <w:gridCol w:w="310"/>
        <w:gridCol w:w="815"/>
        <w:gridCol w:w="166"/>
        <w:gridCol w:w="146"/>
        <w:gridCol w:w="262"/>
        <w:gridCol w:w="594"/>
        <w:gridCol w:w="152"/>
        <w:gridCol w:w="152"/>
        <w:gridCol w:w="755"/>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 Term</w:t>
              <w:br/>
              <w:t>in Years</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755" w:type="dxa"/>
            <w:tcBorders/>
            <w:shd w:fill="FFFFFF" w:val="cle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imputed interest (based on 3.5% weighted-average</w:t>
              <w:br/>
              <w:t>   discount rate)</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 Goodwill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No impairment of goodwill was recorded in any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The Company's annual impairment testing occurs as of September 1 each year. During fiscal 2023, the Company evaluated the continuing negative trends of the Dogfish Head brand, including slower growth rates resulting from increased competition and updated its long-term financial forecasts for the Dogfish Head brand. These updated forecasts for the brand included reductions in revenues from the continuing negative trends in the brands’ beer products and the overall slowing craft beer industry sector which were partially offset by increases in revenues from the brands’ emerging canned cocktail products. As a result of performing this assessment, the Dogfish Head trademark asset with a carrying value of $71.4 million was written down to its estimated fair value of $55.6 million, resulting in an impairment of $15.8 million which was recorded during the third quarter of 2023. Additionally during the third quarter of 2023, an impairment of $0.6 million was recorded on other intangible assets. During fiscal 2022, an impairment of $27.1 million was recorded to reduce the carrying value of the Dogfish Head trademark asset from $98.5 million to $71.4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intangible assets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9"/>
        <w:gridCol w:w="146"/>
        <w:gridCol w:w="317"/>
        <w:gridCol w:w="622"/>
        <w:gridCol w:w="146"/>
        <w:gridCol w:w="146"/>
        <w:gridCol w:w="196"/>
        <w:gridCol w:w="601"/>
        <w:gridCol w:w="146"/>
        <w:gridCol w:w="146"/>
        <w:gridCol w:w="275"/>
        <w:gridCol w:w="806"/>
        <w:gridCol w:w="166"/>
        <w:gridCol w:w="146"/>
        <w:gridCol w:w="258"/>
        <w:gridCol w:w="795"/>
        <w:gridCol w:w="146"/>
        <w:gridCol w:w="146"/>
        <w:gridCol w:w="196"/>
        <w:gridCol w:w="601"/>
        <w:gridCol w:w="146"/>
        <w:gridCol w:w="146"/>
        <w:gridCol w:w="334"/>
        <w:gridCol w:w="747"/>
        <w:gridCol w:w="166"/>
        <w:gridCol w:w="146"/>
        <w:gridCol w:w="196"/>
        <w:gridCol w:w="601"/>
        <w:gridCol w:w="193"/>
      </w:tblGrid>
      <w:tr>
        <w:trPr/>
        <w:tc>
          <w:tcPr>
            <w:tcW w:w="1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3" w:type="dxa"/>
            <w:tcBorders/>
            <w:shd w:fill="FFFFFF" w:val="clear"/>
            <w:vAlign w:val="center"/>
          </w:tcPr>
          <w:p>
            <w:pPr>
              <w:pStyle w:val="TableContents"/>
              <w:bidi w:val="0"/>
              <w:spacing w:before="0" w:after="283"/>
              <w:jc w:val="center"/>
              <w:rPr/>
            </w:pPr>
            <w:r>
              <w:rPr/>
              <w:t> </w:t>
            </w:r>
          </w:p>
        </w:tc>
      </w:tr>
      <w:tr>
        <w:trPr/>
        <w:tc>
          <w:tcPr>
            <w:tcW w:w="15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r>
      <w:tr>
        <w:trPr/>
        <w:tc>
          <w:tcPr>
            <w:tcW w:w="15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2,914</w:t>
            </w:r>
          </w:p>
        </w:tc>
        <w:tc>
          <w:tcPr>
            <w:tcW w:w="193" w:type="dxa"/>
            <w:tcBorders/>
            <w:shd w:fill="CFF0FC" w:val="clear"/>
            <w:vAlign w:val="center"/>
          </w:tcPr>
          <w:p>
            <w:pPr>
              <w:pStyle w:val="TableContents"/>
              <w:bidi w:val="0"/>
              <w:spacing w:before="0" w:after="283"/>
              <w:jc w:val="left"/>
              <w:rPr/>
            </w:pPr>
            <w:r>
              <w:rPr/>
              <w:t> </w:t>
            </w:r>
          </w:p>
        </w:tc>
      </w:tr>
      <w:tr>
        <w:trPr/>
        <w:tc>
          <w:tcPr>
            <w:tcW w:w="15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146" w:type="dxa"/>
            <w:tcBorders/>
            <w:shd w:fill="FFFFFF" w:val="clear"/>
            <w:vAlign w:val="center"/>
          </w:tcPr>
          <w:p>
            <w:pPr>
              <w:pStyle w:val="TableContents"/>
              <w:bidi w:val="0"/>
              <w:spacing w:before="0" w:after="283"/>
              <w:jc w:val="left"/>
              <w:rPr/>
            </w:pPr>
            <w:r>
              <w:rPr/>
              <w:t> </w:t>
            </w:r>
          </w:p>
        </w:tc>
        <w:tc>
          <w:tcPr>
            <w:tcW w:w="939"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Indefinite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73,410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intangible assets</w:t>
            </w:r>
          </w:p>
        </w:tc>
        <w:tc>
          <w:tcPr>
            <w:tcW w:w="146" w:type="dxa"/>
            <w:tcBorders/>
            <w:shd w:fill="CFF0FC" w:val="clear"/>
            <w:vAlign w:val="center"/>
          </w:tcPr>
          <w:p>
            <w:pPr>
              <w:pStyle w:val="TableContents"/>
              <w:bidi w:val="0"/>
              <w:spacing w:before="0" w:after="283"/>
              <w:jc w:val="left"/>
              <w:rPr/>
            </w:pPr>
            <w:r>
              <w:rPr/>
              <w:t> </w:t>
            </w:r>
          </w:p>
        </w:tc>
        <w:tc>
          <w:tcPr>
            <w:tcW w:w="93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was approximately $253,000 in fiscal 2023, 2022, and 2021. The Company expects to record amortization expense as follows over the subsequent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538" w:type="dxa"/>
        <w:jc w:val="left"/>
        <w:tblInd w:w="0" w:type="dxa"/>
        <w:tblLayout w:type="fixed"/>
        <w:tblCellMar>
          <w:top w:w="28" w:type="dxa"/>
          <w:left w:w="28" w:type="dxa"/>
          <w:bottom w:w="28" w:type="dxa"/>
          <w:right w:w="28" w:type="dxa"/>
        </w:tblCellMar>
      </w:tblPr>
      <w:tblGrid>
        <w:gridCol w:w="2446"/>
        <w:gridCol w:w="146"/>
        <w:gridCol w:w="484"/>
        <w:gridCol w:w="127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amortization to be recorded</w:t>
            </w:r>
          </w:p>
        </w:tc>
        <w:tc>
          <w:tcPr>
            <w:tcW w:w="146" w:type="dxa"/>
            <w:tcBorders/>
            <w:shd w:fill="CFF0FC" w:val="cle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Third-Party Production Prepayments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fiscal years 2023, 2022, and 2021 the Company brewed and packaged approximately 71%, 65%, and 56%, respectively, of its volume at Company-owned breweries. The Company brewed and packaged approximately 22%, 26% and 32% of its volume across various City Brewing Company, LLC locations for fiscal 2023, 2022, and 2021, respectively.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 The Company has made up-front payments that were used for capital improvements at these third-party production facilities that it expenses over the period of the contracts. Under these production arrangements, there are minimum production quantities and the Company is obligated to pay shortfall fees for production quantity below those thresholds.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2021, the Company amended its master transaction agreement with City Brewing Company, LLC ("City Brewing") to ensure access to capacity at a new location and continued access at certain existing locations. The amendment became effective during the second quarter of fiscal year 2021, upon the closing of the purchase of the new location by City Brewing.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third-party production prepayments were $33.6 million and $61.3 million as of December 30, 2023 and December 31, 2022, respectively. The Company will expense the total prepaid amount of $33.6 million as of December 30, 2023, all of which relates to the master transaction agreement described above and other agreements with City Brewing, as a component of cost of goods sold over the contractual period ending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current production volume projections, the Company believes that it will fall short of its future annual volume commitments at certain third-party production facilities, including those that are part of the master transaction agreement described above, and will incur shortfall fees. The Company expenses the shortfall fees during the contractual period when such fees are incurred as a component of cost of goods sold. During 2023 and 2022, the Company recorded $9.5 million and $3.0 million, respectively, in shortfall fees. As of December 30, 2023, if volume for the remaining term of the production arrangements was zero, the contractual shortfall fees, with advance notice as specified in the related contractual agreements, would total approximately $106 million over the duration of the contracts which have expiration dates through December 31, 2031. At current volume projections and based on understandings reached with these third-party production facilities, the Company anticipates that it will recognize approximately $41 million of shortfall fees and expects to record those expenses as follows:</w:t>
      </w:r>
    </w:p>
    <w:p>
      <w:pPr>
        <w:pStyle w:val="TextBody"/>
        <w:bidi w:val="0"/>
        <w:jc w:val="left"/>
        <w:rPr/>
      </w:pPr>
      <w:r>
        <w:rPr/>
        <w:t> </w:t>
      </w:r>
    </w:p>
    <w:tbl>
      <w:tblPr>
        <w:tblW w:w="6323" w:type="dxa"/>
        <w:jc w:val="left"/>
        <w:tblInd w:w="0" w:type="dxa"/>
        <w:tblLayout w:type="fixed"/>
        <w:tblCellMar>
          <w:top w:w="28" w:type="dxa"/>
          <w:left w:w="28" w:type="dxa"/>
          <w:bottom w:w="28" w:type="dxa"/>
          <w:right w:w="28" w:type="dxa"/>
        </w:tblCellMar>
      </w:tblPr>
      <w:tblGrid>
        <w:gridCol w:w="3091"/>
        <w:gridCol w:w="146"/>
        <w:gridCol w:w="1175"/>
        <w:gridCol w:w="1720"/>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Expected Shortfall Fees to be Incurred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shortfall fees expected to be incurred</w:t>
            </w:r>
          </w:p>
        </w:tc>
        <w:tc>
          <w:tcPr>
            <w:tcW w:w="146" w:type="dxa"/>
            <w:tcBorders/>
            <w:shd w:fill="CFF0FC" w:val="clear"/>
            <w:vAlign w:val="center"/>
          </w:tcPr>
          <w:p>
            <w:pPr>
              <w:pStyle w:val="TableContents"/>
              <w:bidi w:val="0"/>
              <w:spacing w:before="0" w:after="283"/>
              <w:jc w:val="left"/>
              <w:rPr/>
            </w:pPr>
            <w:r>
              <w:rPr/>
              <w:t> </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23, 2023, the Company amended its master transaction agreement with City Brewing to include a provision that required the Company, upon 30 days notice, to loan City Brewing $20 million for the purpose of buying packaging equipment at its Irwindale location. Notice was given by City Brewing on December 1, 2023. The Company and City Brewing entered into a Loan and Security agreement on January 2, 2024 at which time payment of $20 million was made by the Company to City Brewing. Repayment of the loan plus an agreed investment return combined total $22.4 million, subject to applicable maximum interest laws, and shall be credited to the Company through reductions of shortfall fees, subject to annual repayment limits and through other payments or credits should owed shortfall fees be lower than these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repayment limits. The annual repayment limits are $3.0 million in 2024, $7.5 million in 2025 and $10.0 million in 2026 and thereafter.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 Accrued Expenses and Other Current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as of:</w:t>
      </w:r>
    </w:p>
    <w:p>
      <w:pPr>
        <w:pStyle w:val="TextBody"/>
        <w:bidi w:val="0"/>
        <w:jc w:val="left"/>
        <w:rPr/>
      </w:pPr>
      <w:r>
        <w:rPr/>
        <w:t> </w:t>
      </w:r>
    </w:p>
    <w:tbl>
      <w:tblPr>
        <w:tblW w:w="6450" w:type="dxa"/>
        <w:jc w:val="left"/>
        <w:tblInd w:w="0" w:type="dxa"/>
        <w:tblLayout w:type="fixed"/>
        <w:tblCellMar>
          <w:top w:w="28" w:type="dxa"/>
          <w:left w:w="28" w:type="dxa"/>
          <w:bottom w:w="28" w:type="dxa"/>
          <w:right w:w="28" w:type="dxa"/>
        </w:tblCellMar>
      </w:tblPr>
      <w:tblGrid>
        <w:gridCol w:w="3631"/>
        <w:gridCol w:w="146"/>
        <w:gridCol w:w="242"/>
        <w:gridCol w:w="853"/>
        <w:gridCol w:w="146"/>
        <w:gridCol w:w="146"/>
        <w:gridCol w:w="242"/>
        <w:gridCol w:w="853"/>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wages, benefits, and reimbursements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31,449</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promotional, and selling expenses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18,915</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deposits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13,090</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inventory and production related costs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17,986</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6,840</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returns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taxes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 Revolving Line of Credit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2022, the Company amended its $150.0 million credit facility agreement, which now has a term not scheduled to expire until December 16, 2027. Under the terms of the amended agreement, the Company may elect an interest rate for borrowings under the credit facility based on the applicable secured overnight financing rate ("SOFR") plus 1.1%. At December 30, 2023, the applicable SOFR was 5.4%. The Company incurs an annual commitment fee of 0.2% on the unused portion of the facility and is obligated to meet certain financial covenants, which are measured using earnings before interest, tax, depreciation, and amortization (“EBITDA”) based ratios. The Company’s EBITDA to interest expense ratio was 1,680.1 as of December 30, 2023, compared to a minimum allowable ratio of 2.0 and the Company’s total funded debt to EBITDA ratio was 0.0 as of December 30, 2023, compared to a maximum allowable ratio of 2.5. There were no borrowings, repayments, or interest payments during 2023 or 2021. During the year ended December 31, 2022, the Company borrowed and repaid $30.0 million on the credit facility and paid a total of approximately $18,000 in related interest. There were no borrowings outstanding under the credit facility as of December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 other equity interests 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 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components of the income tax provision (benefit) for fiscal 2023, 2022, and 2021 were as follows:</w:t>
      </w:r>
    </w:p>
    <w:p>
      <w:pPr>
        <w:pStyle w:val="TextBody"/>
        <w:bidi w:val="0"/>
        <w:jc w:val="left"/>
        <w:rPr/>
      </w:pPr>
      <w:r>
        <w:rPr/>
        <w:t> </w:t>
      </w:r>
    </w:p>
    <w:tbl>
      <w:tblPr>
        <w:tblW w:w="6223" w:type="dxa"/>
        <w:jc w:val="left"/>
        <w:tblInd w:w="0" w:type="dxa"/>
        <w:tblLayout w:type="fixed"/>
        <w:tblCellMar>
          <w:top w:w="28" w:type="dxa"/>
          <w:left w:w="28" w:type="dxa"/>
          <w:bottom w:w="28" w:type="dxa"/>
          <w:right w:w="28" w:type="dxa"/>
        </w:tblCellMar>
      </w:tblPr>
      <w:tblGrid>
        <w:gridCol w:w="2641"/>
        <w:gridCol w:w="146"/>
        <w:gridCol w:w="196"/>
        <w:gridCol w:w="661"/>
        <w:gridCol w:w="166"/>
        <w:gridCol w:w="146"/>
        <w:gridCol w:w="196"/>
        <w:gridCol w:w="601"/>
        <w:gridCol w:w="146"/>
        <w:gridCol w:w="146"/>
        <w:gridCol w:w="196"/>
        <w:gridCol w:w="571"/>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Federal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Federal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income tax provision (benefit)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reconciliations to statutory rates for fiscal 2023, 2022, and 2021 were as follows:</w:t>
      </w:r>
    </w:p>
    <w:p>
      <w:pPr>
        <w:pStyle w:val="TextBody"/>
        <w:bidi w:val="0"/>
        <w:jc w:val="left"/>
        <w:rPr/>
      </w:pPr>
      <w:r>
        <w:rPr/>
        <w:t> </w:t>
      </w:r>
    </w:p>
    <w:tbl>
      <w:tblPr>
        <w:tblW w:w="8533" w:type="dxa"/>
        <w:jc w:val="left"/>
        <w:tblInd w:w="0" w:type="dxa"/>
        <w:tblLayout w:type="fixed"/>
        <w:tblCellMar>
          <w:top w:w="28" w:type="dxa"/>
          <w:left w:w="28" w:type="dxa"/>
          <w:bottom w:w="28" w:type="dxa"/>
          <w:right w:w="28" w:type="dxa"/>
        </w:tblCellMar>
      </w:tblPr>
      <w:tblGrid>
        <w:gridCol w:w="5416"/>
        <w:gridCol w:w="146"/>
        <w:gridCol w:w="146"/>
        <w:gridCol w:w="421"/>
        <w:gridCol w:w="241"/>
        <w:gridCol w:w="146"/>
        <w:gridCol w:w="146"/>
        <w:gridCol w:w="421"/>
        <w:gridCol w:w="241"/>
        <w:gridCol w:w="146"/>
        <w:gridCol w:w="146"/>
        <w:gridCol w:w="571"/>
        <w:gridCol w:w="346"/>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income taxes, net of federal 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346"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Non-deductible compensation under Internal Revenue Code Section 162(m)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346"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Non-deductible meals &amp; entertainment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346"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346"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Deduction relating to excess 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unrecognized tax benefits (including interest and penalty)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and state provision to return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components of the Company’s deferred tax assets and liabilities were as follows at:</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4221"/>
        <w:gridCol w:w="146"/>
        <w:gridCol w:w="226"/>
        <w:gridCol w:w="869"/>
        <w:gridCol w:w="166"/>
        <w:gridCol w:w="146"/>
        <w:gridCol w:w="226"/>
        <w:gridCol w:w="869"/>
        <w:gridCol w:w="61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2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Inventory reserves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carryforwards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Tax credit carryforwards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commitments for inventory at vendor locations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deferred tax assets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Valuation allowance</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2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deferred tax assets, net of valuation allowance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35,452</w:t>
            </w:r>
          </w:p>
        </w:tc>
        <w:tc>
          <w:tcPr>
            <w:tcW w:w="611" w:type="dxa"/>
            <w:tcBorders/>
            <w:shd w:fill="FFFFFF" w:val="clear"/>
            <w:vAlign w:val="center"/>
          </w:tcPr>
          <w:p>
            <w:pPr>
              <w:pStyle w:val="TableContents"/>
              <w:bidi w:val="0"/>
              <w:spacing w:before="0" w:after="283"/>
              <w:jc w:val="left"/>
              <w:rPr/>
            </w:pPr>
            <w:r>
              <w:rPr/>
              <w:t> </w:t>
            </w:r>
          </w:p>
        </w:tc>
      </w:tr>
      <w:tr>
        <w:trPr/>
        <w:tc>
          <w:tcPr>
            <w:tcW w:w="42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liabilities: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(90,372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(103,561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Intangible assets amortization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2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2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deferred tax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policy is to classify interest and penalties related to income tax matters in income tax expense. Interest and penalties included in the provision for income taxes amounted to $0.1 million in fiscal year 2023, and $0 in each of the fiscal years 2022, and 2021. Accrued interest and penalties amounted to $0.2 million at December 30, 2023 and December 31,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beginning and ending amount of unrecognized tax benefits for fiscal 2023 and 2022 was as follows:</w:t>
      </w:r>
    </w:p>
    <w:p>
      <w:pPr>
        <w:pStyle w:val="TextBody"/>
        <w:bidi w:val="0"/>
        <w:jc w:val="left"/>
        <w:rPr/>
      </w:pPr>
      <w:r>
        <w:rPr/>
        <w:t> </w:t>
      </w:r>
    </w:p>
    <w:tbl>
      <w:tblPr>
        <w:tblW w:w="5864" w:type="dxa"/>
        <w:jc w:val="left"/>
        <w:tblInd w:w="0" w:type="dxa"/>
        <w:tblLayout w:type="fixed"/>
        <w:tblCellMar>
          <w:top w:w="28" w:type="dxa"/>
          <w:left w:w="28" w:type="dxa"/>
          <w:bottom w:w="28" w:type="dxa"/>
          <w:right w:w="28" w:type="dxa"/>
        </w:tblCellMar>
      </w:tblPr>
      <w:tblGrid>
        <w:gridCol w:w="4051"/>
        <w:gridCol w:w="146"/>
        <w:gridCol w:w="196"/>
        <w:gridCol w:w="376"/>
        <w:gridCol w:w="166"/>
        <w:gridCol w:w="146"/>
        <w:gridCol w:w="196"/>
        <w:gridCol w:w="37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Increases related to current period tax positions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Increases (decreases) related to prior period tax positions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Decreases related to lapse of statute of limitations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the balance of unrecognized tax benefits at December 30, 2023 and December 31, 2022 are potential net benefits of $0.3 million and $0.2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30, 2023, the Company’s 2020, 2021, and 2022 federal income tax returns remain subject to examination by the IRS. The Company’s state income tax returns remain subject to examination for three or four years depending on the state’s statute of limitations. In addition, the Company is generally obligated to report changes in taxable income arising from federal income tax audits. The Company is not currently under any income tax audits as of December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30, 2023, the Company’s deferred tax assets include a valuation allowance of $5.8 million, compared to $4.6 million at December 31, 2022. The valuation allowance as of December 30, 2023 and December 31, 2022 was primarily related to stock-based compensation expected by management to be non-deductible under Internal Revenue Code, Section 162(m), as well as jurisdictional losses not expected to be utilized before expiring. The net increase in total valuation allowance was $1.2 million from December 31, 2022 to December 30, 2023, compared to a net increase of $1.3 million from December 25, 2021 to December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Contractual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30, 2023, projected cash outflows under non-cancellable contractual obligations for the remaining years under the contracts are as follows: </w:t>
      </w:r>
    </w:p>
    <w:p>
      <w:pPr>
        <w:pStyle w:val="TextBody"/>
        <w:bidi w:val="0"/>
        <w:jc w:val="left"/>
        <w:rPr/>
      </w:pPr>
      <w:r>
        <w:rPr/>
        <w:t> </w:t>
      </w:r>
    </w:p>
    <w:tbl>
      <w:tblPr>
        <w:tblW w:w="9510" w:type="dxa"/>
        <w:jc w:val="left"/>
        <w:tblInd w:w="0" w:type="dxa"/>
        <w:tblLayout w:type="fixed"/>
        <w:tblCellMar>
          <w:top w:w="28" w:type="dxa"/>
          <w:left w:w="28" w:type="dxa"/>
          <w:bottom w:w="28" w:type="dxa"/>
          <w:right w:w="28" w:type="dxa"/>
        </w:tblCellMar>
      </w:tblPr>
      <w:tblGrid>
        <w:gridCol w:w="3841"/>
        <w:gridCol w:w="146"/>
        <w:gridCol w:w="196"/>
        <w:gridCol w:w="691"/>
        <w:gridCol w:w="146"/>
        <w:gridCol w:w="146"/>
        <w:gridCol w:w="196"/>
        <w:gridCol w:w="691"/>
        <w:gridCol w:w="146"/>
        <w:gridCol w:w="146"/>
        <w:gridCol w:w="196"/>
        <w:gridCol w:w="601"/>
        <w:gridCol w:w="146"/>
        <w:gridCol w:w="146"/>
        <w:gridCol w:w="196"/>
        <w:gridCol w:w="511"/>
        <w:gridCol w:w="146"/>
        <w:gridCol w:w="146"/>
        <w:gridCol w:w="320"/>
        <w:gridCol w:w="566"/>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33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Fiscal 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332"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Ingredients and packaging (excluding hops and malt)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 support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Hops and malt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Equipment and machinery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accounting policy for inventory and non-cancellable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utilizes several varieties of hops in the production of its products. To ensure adequate supplies of these varieties, the Company enters into advance multi-year purchase commitments based on forecasted future hop requirements, among other factors. These purchase commitments extend through crop year 2026 and specify both the quantities and prices, denominated in U.S. Dollar, Euros, New Zealand Dollars and British Pounds, to which the Company is committed. Hops purchase commitments outstanding at December 30, 2023 totaled $10.5 million, based on the exchange rates on that date.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Currently, the Company has entered into contracts for barley and wheat used in the Company’s malt with four major suppliers. The contracts cover the Company’s barley, wheat, and malt requirements for 2024 and extend through crop year 2024. These purchase commitments outstanding at December 30, 2023 totaled $30.2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anticipates paying shortfall fees at certain of its third-party production locations in future periods. See Note I for further discussion of the Company's third-party production arrangements and the anticipated shortfall fees. The anticipated shortfall fees are not included in the contractual obligations above.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Litigation. On September 14, 2021, a purported class action lawsuit was filed by an individual shareholder in the United States District Court for the Southern District of New York against the Company and three of its officers. The complaint alleged claims under Sections 10(b) and 20(a) of the Securities Exchange Act of 1934 between April 22, 2021 and September 8, 2021. The plaintiff claimed that defendants made materially false and/or misleading statements or failed to disclose material adverse facts about the Company’s business, operations, and prospects. On October 8, 2021, a nearly identical complaint was filed against the Company by an individual shareholder in the United States District Court for the Southern District of New York. The Court consolidated the two actions and on December 14, 2021 appointed a lead plaintiff, who filed an amended complaint on January 13, 2022. The Company’s Motion to Dismiss the Amended Complaint was granted by the Court on December 5, 2022. The plaintiff filed a notice of appeal on January 5, 2023. After briefing and oral argument on the appeal, the United States Court of Appeals for the Second Circuit affirmed the dismissal on November 22, 2023. The Mandate of the United States Court of Appeals was issued and transmitted to the District Court on December 15,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denies that it breached the terms of the parties’ contract and intends to defend against the Ardagh claims vigorously. On February 23, 2023 and April 4, 2023, Ardagh and the Company engaged in mediation sessions with a neutral, third-party mediator, but were not able to resolve the matter and the litigation will proceed. On May 5, 2023, the Company filed an Answer in response to the Complaint, and Counterclaims against Ardagh. On June 26, 2023, Ardagh filed a Motion to Dismiss Certain Counterclaims and a Motion to Strike Certain Affirmative Defenses, to which the Company filed Oppositions on July 24, 2023. On November 9, 2023, Ardagh filed a Notice of Plaintiff’s Motion for Judgment on the Pleadings on Count II of the Complaint, to which the Company filed an Opposition on November 22, 2023. The parties are currently engaged in the fact discovery phase of the matter and the range of potential outcomes cannot be estimated at this time.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 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highest priority to unadjusted quoted prices in active markets for identical assets or liabilities (Level 1 measurements) and the lowest priority to unobservable inputs (Level 3 measurements).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Level 1 inputs are quoted prices (unadjusted) in active markets for identical assets or liabilities that the reporting entity has the ability to access at the measurement 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Level 3 inputs are unobservable inputs for the asset or liability in which there is little, if any, market activity for the asset or liability at the measurement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investments in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accounts payable, and accrued expenses are carried at their cost, which approximates fair value, because of their short-term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30, 2023 and December 31, 2022, the Company had funds invested in a “Triple A” rated money market fund. The Company considers the “Triple A” rated money market fund to be a large, highly-rated investment-grade institution. As of December 30, 2023 and December 31, 2022, the Company’s cash and cash equivalents balance was $298.5 million and $180.6 million, respectively, including money market funds amounting to $291.5 million and $174.2 million,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Non-Recurring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Company's Dogfish Head trademark intangible assets is classified within Level 3 of the fair value hierarchy because there are no observable inputs of market activity. When performing a quantitative assessment for impairment of the trademark asset, the Company measures the amount of impairment by calculating the amount by which the carrying value of the trademark asset exceeds its estimated fair value. The estimated fair value is determined based on an income approach using the relief from royalty method, which assumes that, in lieu of ownership, a third party would be willing to pay a royalty in order to exploit the related benefits of the trademark asset. The cash flow projections the Company uses to estimate the fair value of its Dogfish Head trademark intangible asset involves several assumptions, including (i) projected revenue growth, (ii) an estimated royalty rate, (iii) after-tax royalty savings expected from ownership of the trademark and (iv) a discount rate used to derive the estimated fair value of the trademark asset.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 Common Stock and Share-Based Compensation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Class A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Class B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Compensation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Employee Equity Incentive Plan (the “Equity Plan”) currently provides for the grant of discretionary options, restricted stock awards and restricted stock units to employees, and provides for shares to be sold to employees of the Company 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options and related vesting requirements and terms are granted at the Board of Directors’ discretion, but generally vest ratably over three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years 2023, 2022, and 2021, the Company granted options to purchase 58,054 shares, 17,114 shares, and 18,998 shares, respectively, of its Class A Common Stock to employees at market value on the grant dates. 31,117 of the 2023 stock option grants were performance-based while 26,937 were service-based.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years 2023, 2022, and 2021, the Company granted 53,884 shares, 32,744 shares, and 12,867 shares, respectively, of restricted stock units to certain senior managers and key employees. All of the 2023 restricted stock unit grants are service-based and vest ratably over service periods of three to five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years 2023, 2022, and 2021, employees elected to purchase an aggregate of 10,594 investment shares, 10,845 investment shares, and 4,954 investment shares,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reserved 6.7 million shares of Class A Common Stock for issuance pursuant to the Equity Plan, of which 0.9 million shares were available for grant as of December 30, 2023. Shares reserved for issuance under cancelled employee stock options and forfeited restricted stock are returned to the reserve under the Equity Plan for future grants or purchases. 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Non-Employee Director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 stock option and restricted stock unit plan for non-employee directors of the Company (the “Non-Employee Director Plan”), pursuant to which each non-employee director of the Company is granted a combination of options to purchase shares of the Company’s Class A Common Stock and restricted stock units upon election or re-election to the Board of Directors. Stock options issued to non-employee directors vest upon grant and have a maximum contractual term of ten years. Restricted stock units granted to non-employee directors vest over a 1-year service period, During fiscal years 2023, 2022, and 2021 the Company granted options to purchase an aggregate of 2,941 shares, 3,810 shares, and 1,422 shares of the Company’s Class A Common Stock to non-employee directors, respectively. During fiscal year 2023 1,442 restricted stock units were granted to non-employee directors. No restricted stock units were granted to non-employee directors during fiscal years 2022 or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reserved 0.6 million shares of Class A Common Stock for issuance pursuant to the Non-Employee Director Plan, of which 0.1 million shares were available for grant as of December 30, 2023. Shares under any cancelled non-employee directors’ restricted stock units or stock options or options that expire unexercised are returned to the reserve under the Non-Employee Director Plan for future grants.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Option Activity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related to stock options under the Equity Plan and the Non-Employee Director Plan is summarized as follows:</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3631"/>
        <w:gridCol w:w="146"/>
        <w:gridCol w:w="146"/>
        <w:gridCol w:w="691"/>
        <w:gridCol w:w="166"/>
        <w:gridCol w:w="146"/>
        <w:gridCol w:w="276"/>
        <w:gridCol w:w="849"/>
        <w:gridCol w:w="146"/>
        <w:gridCol w:w="146"/>
        <w:gridCol w:w="293"/>
        <w:gridCol w:w="847"/>
        <w:gridCol w:w="146"/>
        <w:gridCol w:w="146"/>
        <w:gridCol w:w="276"/>
        <w:gridCol w:w="849"/>
        <w:gridCol w:w="3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and expected to vest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December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at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and expected to vest at December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the total options outstanding at December 30, 2023, 43,520 shares were performance-based options for which the performance criteria had yet to be achieved.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Weighted average assumptions used to estimate fair values of stock options on the date of grants fir fiscal 2023, 2022, and 2021 was as follows:</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2671"/>
        <w:gridCol w:w="146"/>
        <w:gridCol w:w="189"/>
        <w:gridCol w:w="547"/>
        <w:gridCol w:w="241"/>
        <w:gridCol w:w="146"/>
        <w:gridCol w:w="189"/>
        <w:gridCol w:w="547"/>
        <w:gridCol w:w="241"/>
        <w:gridCol w:w="146"/>
        <w:gridCol w:w="189"/>
        <w:gridCol w:w="547"/>
        <w:gridCol w:w="28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volatility</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dividends</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factor</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2.3</w:t>
            </w:r>
            <w:r>
              <w:rPr>
                <w:rFonts w:ascii="Times New Roman" w:hAnsi="Times New Roman"/>
                <w:color w:val="000000"/>
                <w:sz w:val="20"/>
              </w:rPr>
              <w:t> </w:t>
            </w:r>
            <w:r>
              <w:rPr>
                <w:rFonts w:ascii="Times New Roman" w:hAnsi="Times New Roman"/>
                <w:color w:val="000000"/>
                <w:sz w:val="16"/>
              </w:rPr>
              <w:t>times</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times</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2.6</w:t>
            </w:r>
            <w:r>
              <w:rPr>
                <w:rFonts w:ascii="Times New Roman" w:hAnsi="Times New Roman"/>
                <w:color w:val="000000"/>
                <w:sz w:val="20"/>
              </w:rPr>
              <w:t> </w:t>
            </w:r>
            <w:r>
              <w:rPr>
                <w:rFonts w:ascii="Times New Roman" w:hAnsi="Times New Roman"/>
                <w:color w:val="000000"/>
                <w:sz w:val="16"/>
              </w:rPr>
              <w:t>times</w:t>
            </w:r>
          </w:p>
        </w:tc>
        <w:tc>
          <w:tcPr>
            <w:tcW w:w="286" w:type="dxa"/>
            <w:tcBorders/>
            <w:shd w:fill="FFFFFF" w:val="clear"/>
            <w:vAlign w:val="center"/>
          </w:tcPr>
          <w:p>
            <w:pPr>
              <w:pStyle w:val="TableContents"/>
              <w:bidi w:val="0"/>
              <w:spacing w:before="0" w:after="283"/>
              <w:jc w:val="righ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for post-vesting restrictions</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options vested during fiscal year 2023. The total fair value of options vested during fiscal years 2022 and 2021 was $6.6 million and $6.3 million, respectively. The aggregate intrinsic value of stock options exercised during fiscal years 2023, 2022, and 2021 was $6.6 million, $6.9 million, and $28.9 million,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Non-Vested Shares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vesting activities of shares issued under the investment share program and restricted stock awards:</w:t>
      </w:r>
    </w:p>
    <w:p>
      <w:pPr>
        <w:pStyle w:val="TextBody"/>
        <w:bidi w:val="0"/>
        <w:jc w:val="left"/>
        <w:rPr/>
      </w:pPr>
      <w:r>
        <w:rPr/>
        <w:t> </w:t>
      </w:r>
    </w:p>
    <w:tbl>
      <w:tblPr>
        <w:tblW w:w="7045" w:type="dxa"/>
        <w:jc w:val="left"/>
        <w:tblInd w:w="0" w:type="dxa"/>
        <w:tblLayout w:type="fixed"/>
        <w:tblCellMar>
          <w:top w:w="28" w:type="dxa"/>
          <w:left w:w="28" w:type="dxa"/>
          <w:bottom w:w="28" w:type="dxa"/>
          <w:right w:w="28" w:type="dxa"/>
        </w:tblCellMar>
      </w:tblPr>
      <w:tblGrid>
        <w:gridCol w:w="2506"/>
        <w:gridCol w:w="146"/>
        <w:gridCol w:w="246"/>
        <w:gridCol w:w="1164"/>
        <w:gridCol w:w="166"/>
        <w:gridCol w:w="146"/>
        <w:gridCol w:w="560"/>
        <w:gridCol w:w="1720"/>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423.60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306.04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Vested</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358.43</w:t>
            </w:r>
          </w:p>
        </w:tc>
        <w:tc>
          <w:tcPr>
            <w:tcW w:w="3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at December 30, 2023</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373.56</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restricted stock awards is based on the Company’s traded stock price on the date of the grants. Fair value of investment shares is calculated using the trinomial option-pricing model.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27,640 shares vested in 2023 with a weighted average fair value of $341.57, 32,476 shares vested in 2022 with a weighted average fair value of $292.27, and 42,038 shares vested in 2021 with a weighted average fair value of $227.40.</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regarding stock-based compensation expense included in operating expenses in the accompanying consolidated statements of comprehensive income:</w:t>
      </w:r>
    </w:p>
    <w:p>
      <w:pPr>
        <w:pStyle w:val="TextBody"/>
        <w:bidi w:val="0"/>
        <w:jc w:val="left"/>
        <w:rPr/>
      </w:pPr>
      <w:r>
        <w:rPr/>
        <w:t> </w:t>
      </w:r>
    </w:p>
    <w:tbl>
      <w:tblPr>
        <w:tblW w:w="7153" w:type="dxa"/>
        <w:jc w:val="left"/>
        <w:tblInd w:w="0" w:type="dxa"/>
        <w:tblLayout w:type="fixed"/>
        <w:tblCellMar>
          <w:top w:w="28" w:type="dxa"/>
          <w:left w:w="28" w:type="dxa"/>
          <w:bottom w:w="28" w:type="dxa"/>
          <w:right w:w="28" w:type="dxa"/>
        </w:tblCellMar>
      </w:tblPr>
      <w:tblGrid>
        <w:gridCol w:w="3841"/>
        <w:gridCol w:w="146"/>
        <w:gridCol w:w="196"/>
        <w:gridCol w:w="601"/>
        <w:gridCol w:w="146"/>
        <w:gridCol w:w="146"/>
        <w:gridCol w:w="196"/>
        <w:gridCol w:w="601"/>
        <w:gridCol w:w="146"/>
        <w:gridCol w:w="146"/>
        <w:gridCol w:w="196"/>
        <w:gridCol w:w="60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included in general and administrative</w:t>
              <w:br/>
              <w: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13,003</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included in advertising, promotional, and</w:t>
              <w:br/>
              <w:t>   selling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related to performance-based stock awards</w:t>
              <w:br/>
              <w:t>   included in 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compensation expense, less estimated forfeitures. For Equity Plan awards during fiscal year 2023, the estimated forfeiture rate was 20.0% for stock options and 12% for restricted stock units and investment shares. The estimated forfeiture rate was 19.0%, and 13.0% for all types of awards during fiscal years 2022, and 2021, respectively. The estimated forfeiture rates used are based upon historical experience with the various award types and the Company annually reviews these rates to ensure proper projection of future forfeitures.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equity awards outstanding as of December 30, 2023, there is $33.1 million of unrecognized compensation costs, net of estimated forfeitures, related to unvested share-based compensation arrangements that are expected to vest. Such costs are expected to be recognized over a weighted-average period of 1.8 years.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 began a share repurchase program. Under this program, the Company's Board of Directors has authorized the repurchase of the Company's Class A Stock. On May 18, 2023, the Board of Directors authorized an increase in the aggregate expenditure limit for the Company’s stock repurchase program by $269.0 million, increasing the limit from $931.0 million to $1.2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year 2023, the Company repurchased and subsequently retired 276,045 shares of its Class A Common Stock for an aggregate purchase price of $92.9 million. As of December 30, 2023, the Company had repurchased a cumulative total of approximately 14.1 million shares of its Class A Common Stock for an aggregate purchase price of approximately $933.5 million and had approximately $266.5 million remaining on the $1.2 billion stock repurchase expenditure limit set by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 Employee Retirement Plans and Post-Retirement Medical Benefits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workforce comprises mostly of non-union employees who are employed by Boston Beer Corporation, American Craft Brewery LLC, or Angry Orchard Cider Company, LLC. As of December 30, 2023, the Company had three unions at its Cincinnati Brewery: Local 1, Local 20, and Teamsters Local Union. No. 1199 (“Local Union 1199”). The Company has different retirement and post-retirement plans available to each group of employees. The Boston Beer Company 401(k) Plan (the “Boston Beer 401(k) Plan”) covers most non-union employees and all members of Local 1 and Local Union 1199. The Samuel Adams Cincinnati Brewery 401(k) Plan for Represented Employees (the “SACB 401(k) Plan”) covers members of Local 20. The Company additionally provides a supplement to eligible retirees from Local 1, Local 20, and Local Union 1199 to assist with the cost of Medicare gap coverage after their retirement on account of age or permanent disability (collectively, the “Retiree Medical Plan”). The Company previously offered a pension plan (the “Local 1199 Pension Plan”) to members of Local Union 1199 until the plan was terminated effective January 1, 2020.</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Boston Beer 401(k) Plan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401(k) Plan, which was established by the Company in 1993, is a Company-sponsored defined contribution. Most non-union employees and all members of the Local 1 and Local 1199 unions are eligible to participate in the Plan immediately upon employment. Participants may make voluntary contributions up to 60% of their annual compensation, subject to IRS limitations. The Company matches each participant’s contribution. A maximum of 5% of compensation is taken into account in determining the amount of the match. In January 2020, the Company amended the Boston Beer 401(k) Plan to update the Company match as follows: 100% of the first 3% of the eligible compensation participants contribute. Thereafter, the Company matches 50% of the next 2% of the eligible compensation participants contribute. Beginning April 1, 2023, for Local 1 union members specifically, the Company match is 100% of the first 5% of the eligible contribution. The Company’s contributions to the Boston Beer 401(k) Plan amounted to $8.8 million, $7.6 million, and $7.4 million in fiscal years 2023, 2022, and 2021,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SACB 401(k)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“SACB 401(k) Plan”, which was established by the Company in 1997, is a Company-sponsored defined contribution plan. It is available to all members of Local 20 upon commencement of employment or, if later, attaining age 21. Participants may make voluntary contributions up to 60% of their annual compensation to the SACB 401(k) Plan, subject to IRS limitations. Company contributions for fiscal years 2023, 2022, and 2021 were insignificant.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Retiree Medical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qualify for this benefit, an eligible employee must have worked for at least 20 years for the Company or its predecessor at the Company’s Cincinnati Brewery as a part of one of its three unions, must have been enrolled in the Company’s group medical insurance plan for at least 5 years before retirement, and, in the case of retirees from Local 20, for at least 7 of the last 10 years of their employment, and must be eligible for Medicare benefits under the Social Security Act. The accumulated post-retirement benefit obligation was determined using a discount rate of 5.03% at December 30, 2023 and 5.22% at December 31, 2022 and a 2.50% health care cost increase based on the Cincinnati Consumer Price Index for the years 2023 and 2022. The effect of a 1% increase and the effect of a 1% decrease in the assumed health care cost trend rates on the aggregate of the service and interest cost components of net periodic post-retirement health care benefit costs and on the accumulated post-retirement benefit obligation for health care benefits would not be significant.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funded status of the Retiree Medical Plan is as follows at:</w:t>
      </w:r>
    </w:p>
    <w:p>
      <w:pPr>
        <w:pStyle w:val="TextBody"/>
        <w:bidi w:val="0"/>
        <w:jc w:val="left"/>
        <w:rPr/>
      </w:pPr>
      <w:r>
        <w:rPr/>
        <w:t> </w:t>
      </w:r>
    </w:p>
    <w:tbl>
      <w:tblPr>
        <w:tblW w:w="5522" w:type="dxa"/>
        <w:jc w:val="left"/>
        <w:tblInd w:w="0" w:type="dxa"/>
        <w:tblLayout w:type="fixed"/>
        <w:tblCellMar>
          <w:top w:w="28" w:type="dxa"/>
          <w:left w:w="28" w:type="dxa"/>
          <w:bottom w:w="28" w:type="dxa"/>
          <w:right w:w="28" w:type="dxa"/>
        </w:tblCellMar>
      </w:tblPr>
      <w:tblGrid>
        <w:gridCol w:w="2521"/>
        <w:gridCol w:w="146"/>
        <w:gridCol w:w="146"/>
        <w:gridCol w:w="375"/>
        <w:gridCol w:w="720"/>
        <w:gridCol w:w="164"/>
        <w:gridCol w:w="164"/>
        <w:gridCol w:w="375"/>
        <w:gridCol w:w="720"/>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Retiree Medical Plan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4" w:type="dxa"/>
            <w:gridSpan w:val="7"/>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Benefit obligation at end of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Unfunded Status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Q. Net Income per Share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per Common Share - Basic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net income per share using the two-class method:</w:t>
      </w:r>
    </w:p>
    <w:p>
      <w:pPr>
        <w:pStyle w:val="TextBody"/>
        <w:bidi w:val="0"/>
        <w:jc w:val="left"/>
        <w:rPr/>
      </w:pPr>
      <w:r>
        <w:rPr/>
        <w:t> </w:t>
      </w:r>
    </w:p>
    <w:tbl>
      <w:tblPr>
        <w:tblW w:w="7707" w:type="dxa"/>
        <w:jc w:val="left"/>
        <w:tblInd w:w="0" w:type="dxa"/>
        <w:tblLayout w:type="fixed"/>
        <w:tblCellMar>
          <w:top w:w="28" w:type="dxa"/>
          <w:left w:w="28" w:type="dxa"/>
          <w:bottom w:w="28" w:type="dxa"/>
          <w:right w:w="28" w:type="dxa"/>
        </w:tblCellMar>
      </w:tblPr>
      <w:tblGrid>
        <w:gridCol w:w="3301"/>
        <w:gridCol w:w="146"/>
        <w:gridCol w:w="269"/>
        <w:gridCol w:w="826"/>
        <w:gridCol w:w="146"/>
        <w:gridCol w:w="146"/>
        <w:gridCol w:w="269"/>
        <w:gridCol w:w="826"/>
        <w:gridCol w:w="146"/>
        <w:gridCol w:w="146"/>
        <w:gridCol w:w="269"/>
        <w:gridCol w:w="826"/>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25,</w:t>
            </w:r>
          </w:p>
        </w:tc>
        <w:tc>
          <w:tcPr>
            <w:tcW w:w="39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shd w:fill="FFFFFF" w:val="cle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Allocation of net income for basic:</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Class A Common Stock</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Unvested participating shares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391"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for basic:</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Class A Common Stock</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Unvested participating shares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12,280</w:t>
            </w:r>
          </w:p>
        </w:tc>
        <w:tc>
          <w:tcPr>
            <w:tcW w:w="39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for basic:</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Class A Common Stock</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*Changes in Class B Common Stock resulted from the conversion to Class A Common stock during fiscal 2022 as disclosed in the Company's consolidated statements of stockholders' equity.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per Common Share - Diluted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diluted net income per share for common stock using the more dilutive of (1) the treasury stock method, or (2) the two-class method, which assumes the participating securities are not exercised or converted.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the computation of diluted net income per share, assuming the conversion of all Class B Common Stock into Class A Common Stock:</w:t>
      </w:r>
    </w:p>
    <w:p>
      <w:pPr>
        <w:pStyle w:val="TextBody"/>
        <w:bidi w:val="0"/>
        <w:jc w:val="left"/>
        <w:rPr/>
      </w:pPr>
      <w:r>
        <w:rPr/>
        <w:t> </w:t>
      </w:r>
    </w:p>
    <w:tbl>
      <w:tblPr>
        <w:tblW w:w="8057" w:type="dxa"/>
        <w:jc w:val="left"/>
        <w:tblInd w:w="0" w:type="dxa"/>
        <w:tblLayout w:type="fixed"/>
        <w:tblCellMar>
          <w:top w:w="28" w:type="dxa"/>
          <w:left w:w="28" w:type="dxa"/>
          <w:bottom w:w="28" w:type="dxa"/>
          <w:right w:w="28" w:type="dxa"/>
        </w:tblCellMar>
      </w:tblPr>
      <w:tblGrid>
        <w:gridCol w:w="3636"/>
        <w:gridCol w:w="146"/>
        <w:gridCol w:w="334"/>
        <w:gridCol w:w="1027"/>
        <w:gridCol w:w="189"/>
        <w:gridCol w:w="189"/>
        <w:gridCol w:w="254"/>
        <w:gridCol w:w="781"/>
        <w:gridCol w:w="146"/>
        <w:gridCol w:w="146"/>
        <w:gridCol w:w="196"/>
        <w:gridCol w:w="422"/>
        <w:gridCol w:w="5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December 30,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reported - basic</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63,216</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 effect of dilutive potential common shares</w:t>
            </w:r>
          </w:p>
        </w:tc>
        <w:tc>
          <w:tcPr>
            <w:tcW w:w="146"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Share-based awards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color w:val="000000"/>
              </w:rPr>
            </w:pPr>
            <w:r>
              <w:rPr>
                <w:color w:val="000000"/>
              </w:rPr>
              <w:t>—</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8"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12,880</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effect of unvested participating shares</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8"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common share - diluted</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76,096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3636"/>
        <w:gridCol w:w="146"/>
        <w:gridCol w:w="338"/>
        <w:gridCol w:w="1040"/>
        <w:gridCol w:w="195"/>
        <w:gridCol w:w="195"/>
        <w:gridCol w:w="195"/>
        <w:gridCol w:w="809"/>
        <w:gridCol w:w="149"/>
        <w:gridCol w:w="149"/>
        <w:gridCol w:w="200"/>
        <w:gridCol w:w="430"/>
        <w:gridCol w:w="5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49" w:type="dxa"/>
            <w:tcBorders/>
            <w:shd w:fill="FFFFFF" w:val="cle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reported - basic</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55,812</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10,221</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 effect of dilutive potential common shares</w:t>
            </w:r>
          </w:p>
        </w:tc>
        <w:tc>
          <w:tcPr>
            <w:tcW w:w="146" w:type="dxa"/>
            <w:tcBorders/>
            <w:shd w:fill="FFFFFF" w:val="clear"/>
            <w:vAlign w:val="center"/>
          </w:tcPr>
          <w:p>
            <w:pPr>
              <w:pStyle w:val="TableContents"/>
              <w:bidi w:val="0"/>
              <w:spacing w:before="0" w:after="283"/>
              <w:jc w:val="left"/>
              <w:rPr/>
            </w:pPr>
            <w:r>
              <w:rPr/>
              <w:t> </w:t>
            </w:r>
          </w:p>
        </w:tc>
        <w:tc>
          <w:tcPr>
            <w:tcW w:w="1378"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Share-based awards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11,293</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effect of unvested participating shares</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common share - diluted</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67,106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12,345</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3636"/>
        <w:gridCol w:w="146"/>
        <w:gridCol w:w="338"/>
        <w:gridCol w:w="1040"/>
        <w:gridCol w:w="195"/>
        <w:gridCol w:w="195"/>
        <w:gridCol w:w="195"/>
        <w:gridCol w:w="809"/>
        <w:gridCol w:w="149"/>
        <w:gridCol w:w="149"/>
        <w:gridCol w:w="200"/>
        <w:gridCol w:w="430"/>
        <w:gridCol w:w="5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December 25, 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49" w:type="dxa"/>
            <w:tcBorders/>
            <w:shd w:fill="FFFFFF" w:val="cle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reported - basic</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11,995</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10,121</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 effect of dilutive potential common shares</w:t>
            </w:r>
          </w:p>
        </w:tc>
        <w:tc>
          <w:tcPr>
            <w:tcW w:w="146" w:type="dxa"/>
            <w:tcBorders/>
            <w:shd w:fill="FFFFFF" w:val="clear"/>
            <w:vAlign w:val="center"/>
          </w:tcPr>
          <w:p>
            <w:pPr>
              <w:pStyle w:val="TableContents"/>
              <w:bidi w:val="0"/>
              <w:spacing w:before="0" w:after="283"/>
              <w:jc w:val="left"/>
              <w:rPr/>
            </w:pPr>
            <w:r>
              <w:rPr/>
              <w:t> </w:t>
            </w:r>
          </w:p>
        </w:tc>
        <w:tc>
          <w:tcPr>
            <w:tcW w:w="1378"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Share-based awards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2,115</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effect of unvested participating shares</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common share - diluted</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12,436</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per common share for each share of Class A Common Stock and Class B Common Stock is $6.23, $5.46, and $1.19 for the fiscal years 2023, 2022, and 2021, respectively, as each share of Class A and Class B participates equally in earnings. Shares of Class B are convertible at any time into shares of Class A on a one-for-one basis at the option of the stockholder.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Weighted average stock options to purchase approximately 52,000, 17,000, and 17,000 shares of Class A Common Stock were outstanding during fiscal years 2023, 2022, and 2021, respectively, but not included in computing diluted income per share because their effects were anti-dilutive. Additionally, approximately 54,000, 1,000, and 1,000 performance awards were outstanding during fiscal years 2023, 2022, and 2021, respectively, but not included in computing dilutive income per share because the performance criteria of these stock options were not met at the respective fiscal year ends.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 Accumulated Other Comprehensive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Accumulated other comprehensive loss represents cumulative currency translation adjustments and amounts of unrecognized actuarial gains or losses related to the Company sponsored defined benefit pension plan and post-retirement medical plan, net of tax effect. Changes in accumulated other comprehensive loss represent currency translation adjustments due to exchange rate fluctuations in the period and actuarial losses or gains, net of tax effect, recognized as components of net periodic benefit costs. The components of the accumulated other comprehensive loss was as follows as of::</w:t>
      </w:r>
    </w:p>
    <w:p>
      <w:pPr>
        <w:pStyle w:val="TextBody"/>
        <w:bidi w:val="0"/>
        <w:jc w:val="left"/>
        <w:rPr/>
      </w:pPr>
      <w:r>
        <w:rPr/>
        <w:t> </w:t>
      </w:r>
    </w:p>
    <w:tbl>
      <w:tblPr>
        <w:tblW w:w="6055" w:type="dxa"/>
        <w:jc w:val="left"/>
        <w:tblInd w:w="0" w:type="dxa"/>
        <w:tblLayout w:type="fixed"/>
        <w:tblCellMar>
          <w:top w:w="28" w:type="dxa"/>
          <w:left w:w="28" w:type="dxa"/>
          <w:bottom w:w="28" w:type="dxa"/>
          <w:right w:w="28" w:type="dxa"/>
        </w:tblCellMar>
      </w:tblPr>
      <w:tblGrid>
        <w:gridCol w:w="3196"/>
        <w:gridCol w:w="146"/>
        <w:gridCol w:w="339"/>
        <w:gridCol w:w="756"/>
        <w:gridCol w:w="166"/>
        <w:gridCol w:w="146"/>
        <w:gridCol w:w="339"/>
        <w:gridCol w:w="75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currency translation adjustments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benefit costs, net of tax</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 Valuation and Qualifying Accounts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pStyle w:val="TextBody"/>
        <w:bidi w:val="0"/>
        <w:jc w:val="left"/>
        <w:rPr/>
      </w:pPr>
      <w:r>
        <w:rPr/>
        <w:t> </w:t>
      </w:r>
    </w:p>
    <w:tbl>
      <w:tblPr>
        <w:tblW w:w="7939" w:type="dxa"/>
        <w:jc w:val="left"/>
        <w:tblInd w:w="0" w:type="dxa"/>
        <w:tblLayout w:type="fixed"/>
        <w:tblCellMar>
          <w:top w:w="28" w:type="dxa"/>
          <w:left w:w="28" w:type="dxa"/>
          <w:bottom w:w="28" w:type="dxa"/>
          <w:right w:w="28" w:type="dxa"/>
        </w:tblCellMar>
      </w:tblPr>
      <w:tblGrid>
        <w:gridCol w:w="2146"/>
        <w:gridCol w:w="146"/>
        <w:gridCol w:w="349"/>
        <w:gridCol w:w="671"/>
        <w:gridCol w:w="146"/>
        <w:gridCol w:w="146"/>
        <w:gridCol w:w="375"/>
        <w:gridCol w:w="720"/>
        <w:gridCol w:w="146"/>
        <w:gridCol w:w="146"/>
        <w:gridCol w:w="412"/>
        <w:gridCol w:w="923"/>
        <w:gridCol w:w="166"/>
        <w:gridCol w:w="146"/>
        <w:gridCol w:w="379"/>
        <w:gridCol w:w="73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Allowance for Credit Losses</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Provision</w:t>
              <w:br/>
              <w:t>(Recovery)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br/>
              <w:t>Charged Against</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5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7159" w:type="dxa"/>
        <w:jc w:val="left"/>
        <w:tblInd w:w="0" w:type="dxa"/>
        <w:tblLayout w:type="fixed"/>
        <w:tblCellMar>
          <w:top w:w="28" w:type="dxa"/>
          <w:left w:w="28" w:type="dxa"/>
          <w:bottom w:w="28" w:type="dxa"/>
          <w:right w:w="28" w:type="dxa"/>
        </w:tblCellMar>
      </w:tblPr>
      <w:tblGrid>
        <w:gridCol w:w="1366"/>
        <w:gridCol w:w="146"/>
        <w:gridCol w:w="250"/>
        <w:gridCol w:w="770"/>
        <w:gridCol w:w="146"/>
        <w:gridCol w:w="146"/>
        <w:gridCol w:w="268"/>
        <w:gridCol w:w="827"/>
        <w:gridCol w:w="146"/>
        <w:gridCol w:w="146"/>
        <w:gridCol w:w="305"/>
        <w:gridCol w:w="1030"/>
        <w:gridCol w:w="166"/>
        <w:gridCol w:w="146"/>
        <w:gridCol w:w="273"/>
        <w:gridCol w:w="837"/>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Discount Accrual</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Provision</w:t>
              <w:br/>
              <w:t>(Recovery)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br/>
              <w:t>Charged Against</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5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(62,846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7,953</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(57,867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8,179</w:t>
            </w:r>
          </w:p>
        </w:tc>
        <w:tc>
          <w:tcPr>
            <w:tcW w:w="191" w:type="dxa"/>
            <w:tcBorders/>
            <w:shd w:fill="FFFFFF" w:val="clear"/>
            <w:vAlign w:val="center"/>
          </w:tcPr>
          <w:p>
            <w:pPr>
              <w:pStyle w:val="TableContents"/>
              <w:bidi w:val="0"/>
              <w:spacing w:before="0" w:after="283"/>
              <w:jc w:val="left"/>
              <w:rPr/>
            </w:pPr>
            <w:r>
              <w:rPr/>
              <w:t> </w:t>
            </w:r>
          </w:p>
        </w:tc>
      </w:tr>
      <w:tr>
        <w:trPr/>
        <w:tc>
          <w:tcPr>
            <w:tcW w:w="13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(70,816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239" w:type="dxa"/>
        <w:jc w:val="left"/>
        <w:tblInd w:w="0" w:type="dxa"/>
        <w:tblLayout w:type="fixed"/>
        <w:tblCellMar>
          <w:top w:w="28" w:type="dxa"/>
          <w:left w:w="28" w:type="dxa"/>
          <w:bottom w:w="28" w:type="dxa"/>
          <w:right w:w="28" w:type="dxa"/>
        </w:tblCellMar>
      </w:tblPr>
      <w:tblGrid>
        <w:gridCol w:w="2446"/>
        <w:gridCol w:w="146"/>
        <w:gridCol w:w="250"/>
        <w:gridCol w:w="770"/>
        <w:gridCol w:w="146"/>
        <w:gridCol w:w="146"/>
        <w:gridCol w:w="268"/>
        <w:gridCol w:w="827"/>
        <w:gridCol w:w="146"/>
        <w:gridCol w:w="146"/>
        <w:gridCol w:w="305"/>
        <w:gridCol w:w="1030"/>
        <w:gridCol w:w="166"/>
        <w:gridCol w:w="146"/>
        <w:gridCol w:w="273"/>
        <w:gridCol w:w="837"/>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Obsolescence Reserve</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Provision</w:t>
              <w:br/>
              <w:t>(Recovery)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br/>
              <w:t>Charged Against</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5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7,640</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(56,946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21,976</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7265" w:type="dxa"/>
        <w:jc w:val="left"/>
        <w:tblInd w:w="0" w:type="dxa"/>
        <w:tblLayout w:type="fixed"/>
        <w:tblCellMar>
          <w:top w:w="28" w:type="dxa"/>
          <w:left w:w="28" w:type="dxa"/>
          <w:bottom w:w="28" w:type="dxa"/>
          <w:right w:w="28" w:type="dxa"/>
        </w:tblCellMar>
      </w:tblPr>
      <w:tblGrid>
        <w:gridCol w:w="1471"/>
        <w:gridCol w:w="146"/>
        <w:gridCol w:w="281"/>
        <w:gridCol w:w="739"/>
        <w:gridCol w:w="146"/>
        <w:gridCol w:w="146"/>
        <w:gridCol w:w="268"/>
        <w:gridCol w:w="827"/>
        <w:gridCol w:w="146"/>
        <w:gridCol w:w="146"/>
        <w:gridCol w:w="305"/>
        <w:gridCol w:w="1030"/>
        <w:gridCol w:w="166"/>
        <w:gridCol w:w="146"/>
        <w:gridCol w:w="308"/>
        <w:gridCol w:w="803"/>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Stale Beer Reserve</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Provision</w:t>
              <w:br/>
              <w:t>(Recovery)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br/>
              <w:t>Charged Against</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57"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8,240</w:t>
            </w:r>
          </w:p>
        </w:tc>
        <w:tc>
          <w:tcPr>
            <w:tcW w:w="19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9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 Licensing Agreements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Pepsi Licensing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9, 2021, the Company signed a series of agreements with PepsiCo, Inc. (“Pepsi”) to develop, market, and sell alcohol beverages. Under the agreements, the Company is responsible for developing, manufacturing, and marketing a flavored malt beverage product under the HARD MTN DEW® brand. As part of the agreements, Pepsi provides certain proprietary ingredients and also licenses the Company the use of its HARD MTN DEW® trademark in connection with manufacturing, promoting, marketing, and distributing the developed product, primarily through the Pepsi distribution network.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2022 and 2023, distribution was primarily managed through the Pepsi Network per terms of the original agreements. Pursuant to these terms, the Company made payments to Pepsi for proprietary ingredients, freight costs to ship the product to Pepsi, and certain marketing services. The costs of the proprietary ingredients above fair market value are recorded within net revenue at the time revenue is recognized for the flavored malt beverages sold to Pepsi and were $2.0 million and $2.5 million during fiscal 2023 and 2022, respectively. Freight costs and marketing costs are recorded in advertising, promotional, and selling expenses. The excess costs over fair market value of proprietary ingredients on hand at the end of the period are classified within prepaid expenses and other current assets. The excess over fair market value for inventory on hand was $0.1 million and $0.4 million as of December 30, 2023 and December 31, 2022, respectively. During fiscal 2023 and 2022, total net revenue recognized under these agreements amounted to approximately 2% of the Company's total net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24, 2024, the Company and Pepsi amended the terms of these agreements, most notably to change distribution from the Pepsi Distribution network to the Company’s distribution network. The transition of distributor networks is expected to begin in May of 2024 and extend into 2025. Under the agreements, the Company is responsible for developing, manufacturing, and marketing a flavored malt beverage product under Pepsi’s MTN DEW® brand. Pepsi provides certain proprietary ingredients and also licenses the Company the use of its HARD MTN DEW® trademark in connection with manufacturing, promoting, marketing, and distributing the developed product.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 Related Party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was approximately $366,000, $366,000 and $348,000 for fiscal 2023, 2022, and 2021, respectively. Other related party expenses and transactions totaled less than $0.1 million for fiscal 2023, 2022, and 2021.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I to the Consolidated Financial Statements of this Form 10-K for discussion of the $20 million loan to City Brewing on January 2, 2024. See Note T to the Consolidated Financial Statements of this Form 10-K for discussion of the February 24, 2024 amendment to the Company's agreements with Pepsi. The Company evaluated subsequent events occurring after the balance date, December 30, 2023, through the issuance of these financial statements and concluded that there were no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events of which management was aware that occurred that would require any adjustment to or disclosure in the accompanying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22" w:name="item_9a_controls_procedures"/>
      <w:bookmarkEnd w:id="22"/>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 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Management’s Report on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management assessed the effectiveness of the Company’s internal control over financial reporting as of December 30, 2023. In making this assessment, the Company used the criteria set forth by the Committee of Sponsoring Organizations of the Treadway Commission (COSO) in </w:t>
      </w:r>
      <w:r>
        <w:rPr>
          <w:rFonts w:ascii="Times New Roman" w:hAnsi="Times New Roman"/>
          <w:i/>
          <w:color w:val="000000"/>
          <w:sz w:val="20"/>
        </w:rPr>
        <w:t>Internal Control—Integrated Framework (2013 framework)</w:t>
      </w:r>
      <w:r>
        <w:rPr>
          <w:rFonts w:ascii="Times New Roman" w:hAnsi="Times New Roman"/>
          <w:color w:val="000000"/>
          <w:sz w:val="20"/>
        </w:rPr>
        <w:t>. Based on its assessment, the Company believes that, as of December 30, 2023, the Company’s internal control over financial reporting is effective based on those criteria.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effectiveness of the Company’s internal control over financial reporting as of December 30, 2023 has been audited by Deloitte &amp; Touche LLP, an independent registered public accounting firm, as stated in their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changes in the Company’s internal control over financial reporting occurred during the quarter ended December 30, 2023 that have materially affected, or are reasonably likely to materially affect, the Company’s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Shareholders and Board of Directors of The Boston Beer Company,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internal control over financial reporting of The Boston Beer Company, Inc. and subsidiaries (the “Company”) as of December 30,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30,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30, 2023, of the Company and our report dated February 27, 2024, expressed an unqualified opinion on those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Deloitte &amp; Touche LLP</w:t>
            </w:r>
          </w:p>
        </w:tc>
      </w:tr>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Massachusetts</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item_9b_or_information"/>
      <w:bookmarkEnd w:id="23"/>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Insider Trading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sets forth information regarding trading plans adopted during the quarter ended December 30, 2023 by an executive officer that is intended to satisfy the affirmative defense conditions of Securities Exchange Act Rule 10b5-1(c):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8"/>
        <w:gridCol w:w="1325"/>
        <w:gridCol w:w="1396"/>
        <w:gridCol w:w="2823"/>
        <w:gridCol w:w="3133"/>
      </w:tblGrid>
      <w:tr>
        <w:trPr/>
        <w:tc>
          <w:tcPr>
            <w:tcW w:w="152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r>
      <w:tr>
        <w:trPr/>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Title</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Adoption of Plan</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of Plan</w:t>
            </w:r>
          </w:p>
        </w:tc>
        <w:tc>
          <w:tcPr>
            <w:tcW w:w="2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Shares to Be Purchased or Sold Pursuant to Plan</w:t>
            </w:r>
          </w:p>
        </w:tc>
        <w:tc>
          <w:tcPr>
            <w:tcW w:w="3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the Material Terms of the Rule 10b5-1 Trading Arrangement</w:t>
            </w:r>
          </w:p>
        </w:tc>
      </w:tr>
      <w:tr>
        <w:trPr/>
        <w:tc>
          <w:tcPr>
            <w:tcW w:w="1528"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Dave Burwick,</w:t>
              <w:br/>
            </w:r>
            <w:r>
              <w:rPr>
                <w:rFonts w:ascii="Times New Roman" w:hAnsi="Times New Roman"/>
                <w:i/>
                <w:color w:val="000000"/>
                <w:sz w:val="16"/>
              </w:rPr>
              <w:t>President, Chief Executive Officer</w:t>
            </w:r>
          </w:p>
        </w:tc>
        <w:tc>
          <w:tcPr>
            <w:tcW w:w="13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6, 2023</w:t>
            </w:r>
          </w:p>
        </w:tc>
        <w:tc>
          <w:tcPr>
            <w:tcW w:w="13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6, 2024 - June 4, 2024</w:t>
            </w:r>
          </w:p>
        </w:tc>
        <w:tc>
          <w:tcPr>
            <w:tcW w:w="282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to 1,116</w:t>
            </w:r>
          </w:p>
        </w:tc>
        <w:tc>
          <w:tcPr>
            <w:tcW w:w="313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Vested stock option sales</w:t>
            </w:r>
          </w:p>
        </w:tc>
      </w:tr>
    </w:tbl>
    <w:p>
      <w:pPr>
        <w:pStyle w:val="TextBody"/>
        <w:bidi w:val="0"/>
        <w:jc w:val="left"/>
        <w:rPr/>
      </w:pPr>
      <w:r>
        <w:rPr/>
        <w:t> </w:t>
      </w:r>
    </w:p>
    <w:p>
      <w:pPr>
        <w:pStyle w:val="TextBody"/>
        <w:bidi w:val="0"/>
        <w:jc w:val="left"/>
        <w:rPr>
          <w:rFonts w:ascii="Times New Roman" w:hAnsi="Times New Roman"/>
          <w:b/>
          <w:color w:val="000000"/>
          <w:sz w:val="20"/>
        </w:rPr>
      </w:pPr>
      <w:bookmarkStart w:id="24" w:name="item_9c"/>
      <w:bookmarkEnd w:id="24"/>
      <w:r>
        <w:rPr>
          <w:rFonts w:ascii="Times New Roman" w:hAnsi="Times New Roman"/>
          <w:b/>
          <w:color w:val="000000"/>
          <w:sz w:val="20"/>
        </w:rPr>
        <w:t>Item 9C. Disclosure Regarding Foreign Jurisdictions that Prevent Inspections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III.</w:t>
      </w:r>
    </w:p>
    <w:p>
      <w:pPr>
        <w:pStyle w:val="TextBody"/>
        <w:bidi w:val="0"/>
        <w:jc w:val="left"/>
        <w:rPr/>
      </w:pPr>
      <w:r>
        <w:rPr/>
        <w:t> </w:t>
      </w:r>
    </w:p>
    <w:p>
      <w:pPr>
        <w:pStyle w:val="TextBody"/>
        <w:bidi w:val="0"/>
        <w:jc w:val="left"/>
        <w:rPr>
          <w:rFonts w:ascii="Times New Roman" w:hAnsi="Times New Roman"/>
          <w:b/>
          <w:color w:val="000000"/>
          <w:sz w:val="20"/>
        </w:rPr>
      </w:pPr>
      <w:bookmarkStart w:id="25" w:name="item_10_directors_executive_ficers_corpo"/>
      <w:bookmarkEnd w:id="25"/>
      <w:r>
        <w:rPr>
          <w:rFonts w:ascii="Times New Roman" w:hAnsi="Times New Roman"/>
          <w:b/>
          <w:color w:val="000000"/>
          <w:sz w:val="20"/>
        </w:rPr>
        <w:t>Item 10. Directors, Executive Officers and Corporate Governance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t>
      </w:r>
      <w:r>
        <w:rPr>
          <w:rFonts w:ascii="Times New Roman" w:hAnsi="Times New Roman"/>
          <w:i/>
          <w:color w:val="000000"/>
          <w:sz w:val="20"/>
        </w:rPr>
        <w:t>www.bostonbeer.com</w:t>
      </w:r>
      <w:r>
        <w:rPr>
          <w:rFonts w:ascii="Times New Roman" w:hAnsi="Times New Roman"/>
          <w:color w:val="000000"/>
          <w:sz w:val="20"/>
        </w:rPr>
        <w:t xml:space="preserve">,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Item 10 is hereby incorporated by reference from the registrant’s definitive Proxy Statement for the 2024 Annual Meeting to be held on May 7, 2024.</w:t>
      </w:r>
    </w:p>
    <w:p>
      <w:pPr>
        <w:pStyle w:val="TextBody"/>
        <w:bidi w:val="0"/>
        <w:jc w:val="left"/>
        <w:rPr/>
      </w:pPr>
      <w:r>
        <w:rPr/>
        <w:t> </w:t>
      </w:r>
    </w:p>
    <w:p>
      <w:pPr>
        <w:pStyle w:val="TextBody"/>
        <w:bidi w:val="0"/>
        <w:jc w:val="left"/>
        <w:rPr>
          <w:rFonts w:ascii="Times New Roman" w:hAnsi="Times New Roman"/>
          <w:b/>
          <w:color w:val="000000"/>
          <w:sz w:val="20"/>
        </w:rPr>
      </w:pPr>
      <w:bookmarkStart w:id="26" w:name="item_11_executive_compensation"/>
      <w:bookmarkEnd w:id="26"/>
      <w:r>
        <w:rPr>
          <w:rFonts w:ascii="Times New Roman" w:hAnsi="Times New Roman"/>
          <w:b/>
          <w:color w:val="000000"/>
          <w:sz w:val="20"/>
        </w:rPr>
        <w:t>Item 11. Executive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Information required by Item 11 is hereby incorporated by reference from the registrant’s definitive Proxy Statement for the 2024 Annual Meeting to be held on</w:t>
      </w:r>
      <w:r>
        <w:rPr>
          <w:rFonts w:ascii="Times New Roman" w:hAnsi="Times New Roman"/>
          <w:color w:val="FF0000"/>
          <w:sz w:val="20"/>
        </w:rPr>
        <w:t xml:space="preserve"> </w:t>
      </w:r>
      <w:r>
        <w:rPr>
          <w:rFonts w:ascii="Times New Roman" w:hAnsi="Times New Roman"/>
          <w:color w:val="000000"/>
          <w:sz w:val="20"/>
        </w:rPr>
        <w:t>May 7, 2024.</w:t>
      </w:r>
    </w:p>
    <w:p>
      <w:pPr>
        <w:pStyle w:val="TextBody"/>
        <w:bidi w:val="0"/>
        <w:jc w:val="left"/>
        <w:rPr/>
      </w:pPr>
      <w:r>
        <w:rPr/>
        <w:t> </w:t>
      </w:r>
    </w:p>
    <w:p>
      <w:pPr>
        <w:pStyle w:val="TextBody"/>
        <w:bidi w:val="0"/>
        <w:jc w:val="left"/>
        <w:rPr>
          <w:rFonts w:ascii="Times New Roman" w:hAnsi="Times New Roman"/>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Security Ownership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Item 12 with respect to security ownership of certain beneficial owners and management is hereby incorporated by reference from the registrant’s definitive Proxy Statement for the 2024 Annual Meeting to be held on May 7,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Related Stockholder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COMPENSATION PLAN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30, 2023:</w:t>
      </w:r>
    </w:p>
    <w:tbl>
      <w:tblPr>
        <w:tblW w:w="7868" w:type="dxa"/>
        <w:jc w:val="left"/>
        <w:tblInd w:w="0" w:type="dxa"/>
        <w:tblLayout w:type="fixed"/>
        <w:tblCellMar>
          <w:top w:w="28" w:type="dxa"/>
          <w:left w:w="28" w:type="dxa"/>
          <w:bottom w:w="28" w:type="dxa"/>
          <w:right w:w="28" w:type="dxa"/>
        </w:tblCellMar>
      </w:tblPr>
      <w:tblGrid>
        <w:gridCol w:w="3301"/>
        <w:gridCol w:w="146"/>
        <w:gridCol w:w="206"/>
        <w:gridCol w:w="979"/>
        <w:gridCol w:w="146"/>
        <w:gridCol w:w="146"/>
        <w:gridCol w:w="324"/>
        <w:gridCol w:w="996"/>
        <w:gridCol w:w="146"/>
        <w:gridCol w:w="146"/>
        <w:gridCol w:w="199"/>
        <w:gridCol w:w="942"/>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w:t>
              <w:br/>
              <w:t>be Issued Upon</w:t>
              <w:br/>
              <w:t>Exercise of</w:t>
              <w:br/>
              <w:t>Outstanding</w:t>
              <w:br/>
              <w:t>Options,</w:t>
              <w:br/>
              <w:t>Warrants and</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 of</w:t>
              <w:br/>
              <w:t>Outstanding</w:t>
              <w:br/>
              <w:t>Options,</w:t>
              <w:br/>
              <w:t>Warrants and</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w:t>
              <w:br/>
              <w:t>for Future</w:t>
              <w:br/>
              <w:t>Issuance</w:t>
              <w:br/>
              <w:t>Under Equity</w:t>
              <w:br/>
              <w:t>Compensation</w:t>
              <w:br/>
              <w:t>Plans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Compensation Plans Approved by</w:t>
              <w:br/>
              <w:t>   Security Holders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918,623</w:t>
            </w:r>
          </w:p>
        </w:tc>
        <w:tc>
          <w:tcPr>
            <w:tcW w:w="19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Compensation Plans Not Approved by</w:t>
              <w:br/>
              <w:t>   Security Holders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918,623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8" w:name="item_13_certain_relationships_related_tr"/>
      <w:bookmarkEnd w:id="28"/>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Item 13 is hereby incorporated by reference from the registrant’s definitive Proxy Statement for the 2024 Annual Meeting to be held on May 7, 2024.</w:t>
      </w:r>
    </w:p>
    <w:p>
      <w:pPr>
        <w:pStyle w:val="TextBody"/>
        <w:bidi w:val="0"/>
        <w:jc w:val="left"/>
        <w:rPr/>
      </w:pPr>
      <w:r>
        <w:rPr/>
        <w:t> </w:t>
      </w:r>
    </w:p>
    <w:p>
      <w:pPr>
        <w:pStyle w:val="TextBody"/>
        <w:bidi w:val="0"/>
        <w:jc w:val="left"/>
        <w:rPr>
          <w:rFonts w:ascii="Times New Roman" w:hAnsi="Times New Roman"/>
          <w:b/>
          <w:color w:val="000000"/>
          <w:sz w:val="20"/>
        </w:rPr>
      </w:pPr>
      <w:bookmarkStart w:id="29" w:name="item_14_principal_accounting_fees_servic"/>
      <w:bookmarkEnd w:id="29"/>
      <w:r>
        <w:rPr>
          <w:rFonts w:ascii="Times New Roman" w:hAnsi="Times New Roman"/>
          <w:b/>
          <w:color w:val="000000"/>
          <w:sz w:val="20"/>
        </w:rPr>
        <w:t>Item 14. Principal Accountant Fees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Item 14 is hereby incorporated by reference from the registrant’s definitive Proxy Statement for the 2024 Annual Meeting to be held on May 7,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30" w:name="part_iv"/>
      <w:bookmarkEnd w:id="3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left"/>
        <w:rPr/>
      </w:pPr>
      <w:r>
        <w:rPr/>
        <w:t> </w:t>
      </w:r>
    </w:p>
    <w:p>
      <w:pPr>
        <w:pStyle w:val="TextBody"/>
        <w:bidi w:val="0"/>
        <w:jc w:val="left"/>
        <w:rPr>
          <w:rFonts w:ascii="Times New Roman" w:hAnsi="Times New Roman"/>
          <w:sz w:val="20"/>
        </w:rPr>
      </w:pPr>
      <w:bookmarkStart w:id="31" w:name="item_15_exhibits_financial_statement_sch"/>
      <w:bookmarkEnd w:id="31"/>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1.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financial statements are filed as a part of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98"/>
        <w:gridCol w:w="226"/>
        <w:gridCol w:w="1081"/>
      </w:tblGrid>
      <w:tr>
        <w:trPr/>
        <w:tc>
          <w:tcPr>
            <w:tcW w:w="88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ind w:left="0" w:right="80" w:hanging="0"/>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16"/>
              </w:rPr>
            </w:pPr>
            <w:r>
              <w:rPr>
                <w:rFonts w:ascii="Times New Roman" w:hAnsi="Times New Roman"/>
                <w:color w:val="000000"/>
                <w:sz w:val="16"/>
              </w:rPr>
              <w:t xml:space="preserve">Page </w:t>
            </w:r>
          </w:p>
        </w:tc>
      </w:tr>
      <w:tr>
        <w:trPr/>
        <w:tc>
          <w:tcPr>
            <w:tcW w:w="8898" w:type="dxa"/>
            <w:tcBorders/>
            <w:vAlign w:val="center"/>
          </w:tcPr>
          <w:p>
            <w:pPr>
              <w:pStyle w:val="TableContents"/>
              <w:pBdr/>
              <w:bidi w:val="0"/>
              <w:spacing w:before="0" w:after="283"/>
              <w:ind w:left="0" w:right="0" w:firstLine="60"/>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hyperlink w:anchor="report_independent_registered_public_acc">
              <w:r>
                <w:rPr>
                  <w:rStyle w:val="InternetLink"/>
                  <w:rFonts w:ascii="Times New Roman" w:hAnsi="Times New Roman"/>
                  <w:color w:val="0000FF"/>
                  <w:sz w:val="20"/>
                </w:rPr>
                <w:t xml:space="preserve"> </w:t>
              </w:r>
            </w:hyperlink>
            <w:r>
              <w:rPr>
                <w:rFonts w:ascii="Times New Roman" w:hAnsi="Times New Roman"/>
                <w:color w:val="000000"/>
                <w:sz w:val="20"/>
              </w:rPr>
              <w:t>(PCAOB ID No. 34)</w:t>
            </w:r>
          </w:p>
        </w:tc>
        <w:tc>
          <w:tcPr>
            <w:tcW w:w="226" w:type="dxa"/>
            <w:tcBorders/>
            <w:vAlign w:val="center"/>
          </w:tcPr>
          <w:p>
            <w:pPr>
              <w:pStyle w:val="TableContents"/>
              <w:bidi w:val="0"/>
              <w:spacing w:before="0" w:after="20"/>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8898" w:type="dxa"/>
            <w:tcBorders/>
            <w:vAlign w:val="center"/>
          </w:tcPr>
          <w:p>
            <w:pPr>
              <w:pStyle w:val="TableContents"/>
              <w:pBdr/>
              <w:bidi w:val="0"/>
              <w:spacing w:before="0" w:after="283"/>
              <w:ind w:left="0" w:right="0" w:firstLine="60"/>
              <w:jc w:val="left"/>
              <w:rPr>
                <w:rFonts w:ascii="Times New Roman" w:hAnsi="Times New Roman"/>
                <w:color w:val="000000"/>
                <w:sz w:val="20"/>
              </w:rPr>
            </w:pPr>
            <w:r>
              <w:rPr>
                <w:rFonts w:ascii="Times New Roman" w:hAnsi="Times New Roman"/>
                <w:color w:val="000000"/>
                <w:sz w:val="20"/>
              </w:rPr>
              <w:t>Consolidated Financial Statements:</w:t>
            </w:r>
          </w:p>
        </w:tc>
        <w:tc>
          <w:tcPr>
            <w:tcW w:w="226" w:type="dxa"/>
            <w:tcBorders/>
            <w:vAlign w:val="center"/>
          </w:tcPr>
          <w:p>
            <w:pPr>
              <w:pStyle w:val="TableContents"/>
              <w:bidi w:val="0"/>
              <w:spacing w:before="0" w:after="283"/>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98" w:type="dxa"/>
            <w:tcBorders/>
            <w:vAlign w:val="center"/>
          </w:tcPr>
          <w:p>
            <w:pPr>
              <w:pStyle w:val="TableContents"/>
              <w:pBdr/>
              <w:bidi w:val="0"/>
              <w:spacing w:before="0" w:after="283"/>
              <w:ind w:left="0" w:right="0" w:firstLine="60"/>
              <w:jc w:val="left"/>
              <w:rPr/>
            </w:pPr>
            <w:hyperlink w:anchor="consolidated_balance_sheets">
              <w:r>
                <w:rPr>
                  <w:rStyle w:val="InternetLink"/>
                  <w:rFonts w:ascii="Times New Roman" w:hAnsi="Times New Roman"/>
                  <w:color w:val="0000FF"/>
                  <w:sz w:val="20"/>
                  <w:u w:val="single"/>
                </w:rPr>
                <w:t>Consolidated Balance Sheets as of December 30, 2023 and December 31, 2022</w:t>
              </w:r>
            </w:hyperlink>
          </w:p>
        </w:tc>
        <w:tc>
          <w:tcPr>
            <w:tcW w:w="226" w:type="dxa"/>
            <w:tcBorders/>
            <w:vAlign w:val="center"/>
          </w:tcPr>
          <w:p>
            <w:pPr>
              <w:pStyle w:val="TableContents"/>
              <w:bidi w:val="0"/>
              <w:spacing w:before="0" w:after="20"/>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44</w:t>
            </w:r>
          </w:p>
        </w:tc>
      </w:tr>
      <w:tr>
        <w:trPr/>
        <w:tc>
          <w:tcPr>
            <w:tcW w:w="8898" w:type="dxa"/>
            <w:tcBorders/>
            <w:vAlign w:val="center"/>
          </w:tcPr>
          <w:p>
            <w:pPr>
              <w:pStyle w:val="TableContents"/>
              <w:pBdr/>
              <w:bidi w:val="0"/>
              <w:spacing w:before="0" w:after="283"/>
              <w:ind w:left="0" w:right="0" w:firstLine="60"/>
              <w:jc w:val="left"/>
              <w:rPr/>
            </w:pPr>
            <w:hyperlink w:anchor="consolidated_statements_comprehensive_in">
              <w:r>
                <w:rPr>
                  <w:rStyle w:val="InternetLink"/>
                  <w:rFonts w:ascii="Times New Roman" w:hAnsi="Times New Roman"/>
                  <w:color w:val="0000FF"/>
                  <w:sz w:val="20"/>
                  <w:u w:val="single"/>
                </w:rPr>
                <w:t>Consolidated Statements of Comprehensive Income for the years ended December 30, 2023, December 31, 2022, and December 25, 2021</w:t>
              </w:r>
            </w:hyperlink>
          </w:p>
        </w:tc>
        <w:tc>
          <w:tcPr>
            <w:tcW w:w="226" w:type="dxa"/>
            <w:tcBorders/>
            <w:vAlign w:val="center"/>
          </w:tcPr>
          <w:p>
            <w:pPr>
              <w:pStyle w:val="TableContents"/>
              <w:bidi w:val="0"/>
              <w:spacing w:before="0" w:after="20"/>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43</w:t>
            </w:r>
          </w:p>
        </w:tc>
      </w:tr>
      <w:tr>
        <w:trPr/>
        <w:tc>
          <w:tcPr>
            <w:tcW w:w="8898" w:type="dxa"/>
            <w:tcBorders/>
            <w:vAlign w:val="center"/>
          </w:tcPr>
          <w:p>
            <w:pPr>
              <w:pStyle w:val="TableContents"/>
              <w:pBdr/>
              <w:bidi w:val="0"/>
              <w:spacing w:before="0" w:after="283"/>
              <w:ind w:left="0" w:right="0" w:firstLine="60"/>
              <w:jc w:val="left"/>
              <w:rPr/>
            </w:pPr>
            <w:hyperlink w:anchor="consolidated_statements_stockholders_equ">
              <w:r>
                <w:rPr>
                  <w:rStyle w:val="InternetLink"/>
                  <w:rFonts w:ascii="Times New Roman" w:hAnsi="Times New Roman"/>
                  <w:color w:val="0000FF"/>
                  <w:sz w:val="20"/>
                  <w:u w:val="single"/>
                </w:rPr>
                <w:t>Consolidated Statements of Stockholders’ Equity for the years ended December 30, 2023, December 31, 2022, and December 25, 2021</w:t>
              </w:r>
            </w:hyperlink>
          </w:p>
        </w:tc>
        <w:tc>
          <w:tcPr>
            <w:tcW w:w="226" w:type="dxa"/>
            <w:tcBorders/>
            <w:vAlign w:val="center"/>
          </w:tcPr>
          <w:p>
            <w:pPr>
              <w:pStyle w:val="TableContents"/>
              <w:bidi w:val="0"/>
              <w:spacing w:before="0" w:after="20"/>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45</w:t>
            </w:r>
          </w:p>
        </w:tc>
      </w:tr>
      <w:tr>
        <w:trPr/>
        <w:tc>
          <w:tcPr>
            <w:tcW w:w="8898" w:type="dxa"/>
            <w:tcBorders/>
            <w:vAlign w:val="center"/>
          </w:tcPr>
          <w:p>
            <w:pPr>
              <w:pStyle w:val="TableContents"/>
              <w:pBdr/>
              <w:bidi w:val="0"/>
              <w:spacing w:before="0" w:after="283"/>
              <w:ind w:left="0" w:right="0" w:firstLine="60"/>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30, 2023, December 31, 2022, and December 25, 2021</w:t>
              </w:r>
            </w:hyperlink>
          </w:p>
        </w:tc>
        <w:tc>
          <w:tcPr>
            <w:tcW w:w="226" w:type="dxa"/>
            <w:tcBorders/>
            <w:vAlign w:val="center"/>
          </w:tcPr>
          <w:p>
            <w:pPr>
              <w:pStyle w:val="TableContents"/>
              <w:bidi w:val="0"/>
              <w:spacing w:before="0" w:after="20"/>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898" w:type="dxa"/>
            <w:tcBorders/>
            <w:vAlign w:val="center"/>
          </w:tcPr>
          <w:p>
            <w:pPr>
              <w:pStyle w:val="TableContents"/>
              <w:pBdr/>
              <w:bidi w:val="0"/>
              <w:spacing w:before="0" w:after="283"/>
              <w:ind w:left="0" w:right="0" w:firstLine="60"/>
              <w:jc w:val="left"/>
              <w:rPr/>
            </w:pPr>
            <w:hyperlink w:anchor="notes_to_consolidated_financial_statemen">
              <w:r>
                <w:rPr>
                  <w:rStyle w:val="InternetLink"/>
                  <w:rFonts w:ascii="Times New Roman" w:hAnsi="Times New Roman"/>
                  <w:color w:val="0000FF"/>
                  <w:sz w:val="20"/>
                  <w:u w:val="single"/>
                </w:rPr>
                <w:t>Notes to the Consolidated Financial Statements</w:t>
              </w:r>
            </w:hyperlink>
          </w:p>
        </w:tc>
        <w:tc>
          <w:tcPr>
            <w:tcW w:w="226" w:type="dxa"/>
            <w:tcBorders/>
            <w:vAlign w:val="center"/>
          </w:tcPr>
          <w:p>
            <w:pPr>
              <w:pStyle w:val="TableContents"/>
              <w:bidi w:val="0"/>
              <w:spacing w:before="0" w:after="20"/>
              <w:ind w:left="0" w:right="0" w:firstLine="60"/>
              <w:jc w:val="left"/>
              <w:rPr/>
            </w:pPr>
            <w:r>
              <w:rPr/>
              <w:t> </w:t>
            </w:r>
          </w:p>
        </w:tc>
        <w:tc>
          <w:tcPr>
            <w:tcW w:w="1081" w:type="dxa"/>
            <w:tcBorders/>
            <w:tcMar>
              <w:top w:w="0" w:type="dxa"/>
              <w:left w:w="0" w:type="dxa"/>
              <w:bottom w:w="0" w:type="dxa"/>
              <w:right w:w="0" w:type="dxa"/>
            </w:tcMar>
            <w:vAlign w:val="center"/>
          </w:tcPr>
          <w:p>
            <w:pPr>
              <w:pStyle w:val="TableContents"/>
              <w:bidi w:val="0"/>
              <w:spacing w:before="0" w:after="20"/>
              <w:ind w:left="60" w:right="0" w:firstLine="60"/>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2. Financial Statement Schedules.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list of exhibits filed as part of this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5"/>
        <w:gridCol w:w="9360"/>
      </w:tblGrid>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Exhibit No.</w:t>
            </w:r>
          </w:p>
        </w:tc>
        <w:tc>
          <w:tcPr>
            <w:tcW w:w="93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9360"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May 8, 2019, with Dogfish Head Holding Company, Canoe Acquisition Corp., and solely with respect to the indemnification obligations set forth in the Merger Agreement, Samuel A. Calagione III and Mariah D. Calagione (incorporated by reference to Exhibit 2.1 to the Company’s Form 8-K filed on May 9, 2019).</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2.2</w:t>
            </w:r>
          </w:p>
        </w:tc>
        <w:tc>
          <w:tcPr>
            <w:tcW w:w="9360"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Membership Unit Purchase Agreement, dated May 8, 2019, by and among The Boston Beer Company, Inc., Dogfish East of the Mississippi LP, and solely with respect to indemnification obligations set forth therein, Samuel A. Calagione III and Mariah D. Calagione (incorporated by reference to Exhibit 2.2 to the Company’s Form 8-K filed on May 9, 2019).</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w:t>
            </w:r>
          </w:p>
        </w:tc>
        <w:tc>
          <w:tcPr>
            <w:tcW w:w="9360"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Membership Unit Purchase Agreement, dated as of May 8, 2019, by and among The Boston Beer Company, Inc. and DFH Investors LLC (incorporated by reference to Exhibit 2.3 to the Company’s Form 8-K filed on May 9, 2019).</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9360"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Company, dated June 2, 1998 (incorporated by reference to Exhibit 3.5 to the Company’s Form 10-Q filed on August 10, 1998).</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9360"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Restated Articles of Organization of the Company, dated November 17, 1995, as amended August 4, 1998 (incorporated by reference to Exhibit 3.6 to the Company’s Form 10-Q filed on August 10, 1998).</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9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Class A Common Stock Certificate (incorporated by reference to Exhibit 4.1 to the Company’s Registration Statement No. 33-96164). (P)</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9360"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the Registrant’s Securities Registered Pursuant to Section 12 of the Securities Exchange Act of 1934 (incorporated by reference to Exhibit 4.1 to the Company’s Form 10-K filed on February 19, 2020)</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84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9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 Rights Agreement, dated as of December 1995, among The Boston Beer Company, Inc. and the initial Stockholders (incorporated by reference to the Company’s Form 10-K, filed on April 1, 1996). (P)</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9379"/>
      </w:tblGrid>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9379"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Production Agreement between Samuel Adams Brewery Company, Ltd. and Brown-Forman Distillery Company, a division of Brown-Forman Corporation, effective as of April 11, 2005 (incorporated by reference to the Company’s 10-Q filed on May 5, 2005).</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9379"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Brewing Services Agreement between CBC Latrobe Acquisition, LLC and Boston Beer Corporation dated March 28, 2007 (incorporated by reference to the Company’s Quarterly Report on Form 10-Q filed on May 10, 2007).</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9379" w:type="dxa"/>
            <w:tcBorders/>
            <w:vAlign w:val="center"/>
          </w:tcPr>
          <w:p>
            <w:pPr>
              <w:pStyle w:val="TableContents"/>
              <w:bidi w:val="0"/>
              <w:spacing w:before="0" w:after="283"/>
              <w:jc w:val="left"/>
              <w:rPr/>
            </w:pPr>
            <w:r>
              <w:rPr>
                <w:rFonts w:ascii="Times New Roman" w:hAnsi="Times New Roman"/>
                <w:color w:val="000000"/>
                <w:sz w:val="20"/>
              </w:rPr>
              <w:t xml:space="preserve">Office Lease Agreement between Boston Design Center LLC and Boston Beer Corporation dated March 24, 2006 (“Office Lease Agreement”), as amended on September 29, 2006, October 31, 2007, March 25, 2008, August 27, 2012, February 22, 2013, and June 3, 2015 (incorporated by reference to the Company’s Quarterly Report on Form </w:t>
            </w:r>
            <w:hyperlink r:id="rId11">
              <w:r>
                <w:rPr>
                  <w:rStyle w:val="InternetLink"/>
                  <w:rFonts w:ascii="Times New Roman" w:hAnsi="Times New Roman"/>
                  <w:color w:val="0000FF"/>
                  <w:sz w:val="20"/>
                  <w:u w:val="single"/>
                </w:rPr>
                <w:t>10-Q</w:t>
              </w:r>
            </w:hyperlink>
            <w:r>
              <w:rPr>
                <w:rFonts w:ascii="Times New Roman" w:hAnsi="Times New Roman"/>
                <w:color w:val="000000"/>
                <w:sz w:val="20"/>
              </w:rPr>
              <w:t xml:space="preserve"> filed on May 11, 2006 and Annual Report on Form </w:t>
            </w:r>
            <w:hyperlink r:id="rId12">
              <w:r>
                <w:rPr>
                  <w:rStyle w:val="InternetLink"/>
                  <w:rFonts w:ascii="Times New Roman" w:hAnsi="Times New Roman"/>
                  <w:color w:val="0000FF"/>
                  <w:sz w:val="20"/>
                  <w:u w:val="single"/>
                </w:rPr>
                <w:t>10-K</w:t>
              </w:r>
            </w:hyperlink>
            <w:r>
              <w:rPr>
                <w:rFonts w:ascii="Times New Roman" w:hAnsi="Times New Roman"/>
                <w:color w:val="000000"/>
                <w:sz w:val="20"/>
              </w:rPr>
              <w:t> filed on February 18, 2016).</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9379" w:type="dxa"/>
            <w:tcBorders/>
            <w:vAlign w:val="center"/>
          </w:tcPr>
          <w:p>
            <w:pPr>
              <w:pStyle w:val="TableContents"/>
              <w:bidi w:val="0"/>
              <w:spacing w:before="0" w:after="283"/>
              <w:jc w:val="left"/>
              <w:rPr/>
            </w:pPr>
            <w:r>
              <w:rPr>
                <w:rFonts w:ascii="Times New Roman" w:hAnsi="Times New Roman"/>
                <w:color w:val="000000"/>
                <w:sz w:val="20"/>
              </w:rPr>
              <w:t xml:space="preserve">Seventh Amendment to Lease Agreement dated June 1, 2019. Certain information in this exhibit is confidential and has been excluded pursuant to applicable rules because it (i) is not material and (ii) would likely cause competitive harm if publicly disclosed (incorporated by reference to the Company's Annual Report on Form </w:t>
            </w:r>
            <w:hyperlink r:id="rId13">
              <w:r>
                <w:rPr>
                  <w:rStyle w:val="InternetLink"/>
                  <w:rFonts w:ascii="Times New Roman" w:hAnsi="Times New Roman"/>
                  <w:color w:val="0000FF"/>
                  <w:sz w:val="20"/>
                  <w:u w:val="single"/>
                </w:rPr>
                <w:t>10-K</w:t>
              </w:r>
            </w:hyperlink>
            <w:r>
              <w:rPr>
                <w:rFonts w:ascii="Times New Roman" w:hAnsi="Times New Roman"/>
                <w:color w:val="000000"/>
                <w:sz w:val="20"/>
              </w:rPr>
              <w:t> filed on February 17, 2021).</w:t>
            </w:r>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9379" w:type="dxa"/>
            <w:tcBorders/>
            <w:vAlign w:val="center"/>
          </w:tcPr>
          <w:p>
            <w:pPr>
              <w:pStyle w:val="TableContents"/>
              <w:bidi w:val="0"/>
              <w:spacing w:before="0" w:after="283"/>
              <w:jc w:val="left"/>
              <w:rPr/>
            </w:pPr>
            <w:r>
              <w:rPr>
                <w:rFonts w:ascii="Times New Roman" w:hAnsi="Times New Roman"/>
                <w:color w:val="000000"/>
                <w:sz w:val="20"/>
              </w:rPr>
              <w:t xml:space="preserve">The Boston Beer Company, Inc. Equity Plan for Non-Employee Directors, adopted on February 9, 2023 (incorporated by reference to Exhibit </w:t>
            </w:r>
            <w:hyperlink r:id="rId14">
              <w:r>
                <w:rPr>
                  <w:rStyle w:val="InternetLink"/>
                  <w:rFonts w:ascii="Times New Roman" w:hAnsi="Times New Roman"/>
                  <w:color w:val="0000FF"/>
                  <w:sz w:val="20"/>
                  <w:u w:val="single"/>
                </w:rPr>
                <w:t>10.1</w:t>
              </w:r>
            </w:hyperlink>
            <w:r>
              <w:rPr>
                <w:rFonts w:ascii="Times New Roman" w:hAnsi="Times New Roman"/>
                <w:color w:val="000000"/>
                <w:sz w:val="20"/>
              </w:rPr>
              <w:t> to the Company’s Current Report on Form 8-K filed on February 10, 2023.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379"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The Boston Beer Company, Inc. Employee Equity Incentive Plan, as amended on February 23, 1996, December 20, 1997, December 19, 2005, December 19, 2006, December 21, 2007, October 30, 2009, October 8, 2013, October 8, 2014, and December 9, 2015, December 20, 2017, and December 20, 2018 (incorporated by reference to the Company’s Current Report on Form 8-K filed on December 21, 2018).</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9379"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Offer Letter to David A. Burwick, future Chief Executive Officer and President, dated January 23, 2018 (incorporated by reference to the Company’s Current Report on Form 8-K filed on February 16, 2018).</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9379"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Employment Agreement of Samuel A. Calagione III, dated July 3, 2019 (incorporated by reference to Exhibit 10.3 to the Company’s 10-Q filed on July 25, 2019)</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9379"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Offer Letter to Frank H. Smalla, Senior Vice President, Finance dated December 15, 2015 (incorporated by reference to the Company’s Annual Report on Form 10-K filed on February 18, 2016).</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9379"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Registration Rights Agreement with the Former Dogfish Head Stockholders, dated July 3, 2019 (incorporated by reference to Exhibit 10.1 to the Company’s 10-Q filed on July 25, 2019).</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9379"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Indemnification Agreement with the Dogfish Head Founders, dated July 3, 2019 (incorporated by reference to Exhibit 10.2 to the Company’s 10-Q filed on July 25, 2019).</w:t>
              </w:r>
            </w:hyperlink>
          </w:p>
        </w:tc>
      </w:tr>
      <w:tr>
        <w:trPr/>
        <w:tc>
          <w:tcPr>
            <w:tcW w:w="826" w:type="dxa"/>
            <w:tcBorders/>
            <w:vAlign w:val="center"/>
          </w:tcPr>
          <w:p>
            <w:pPr>
              <w:pStyle w:val="TableContents"/>
              <w:bidi w:val="0"/>
              <w:spacing w:before="0" w:after="283"/>
              <w:jc w:val="left"/>
              <w:rPr/>
            </w:pPr>
            <w:r>
              <w:rPr/>
              <w:t> </w:t>
            </w:r>
          </w:p>
        </w:tc>
        <w:tc>
          <w:tcPr>
            <w:tcW w:w="9379" w:type="dxa"/>
            <w:tcBorders/>
            <w:vAlign w:val="center"/>
          </w:tcPr>
          <w:p>
            <w:pPr>
              <w:pStyle w:val="TableContents"/>
              <w:bidi w:val="0"/>
              <w:spacing w:before="0" w:after="283"/>
              <w:jc w:val="left"/>
              <w:rPr/>
            </w:pPr>
            <w:r>
              <w:rPr/>
              <w:t> </w:t>
            </w:r>
          </w:p>
        </w:tc>
      </w:tr>
      <w:tr>
        <w:trPr/>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9379"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Third Amended and Restated Credit Agreement by and among The Boston Beer Company, Inc., Boston Beer Corporation, American Craft Brewery LLC, and Bank of America, N.A., dated December 16, 2022 (incorporated by reference to the Company’s Current Report on Form 8-K filed on December 22, 2022).</w:t>
              </w:r>
            </w:hyperlink>
          </w:p>
        </w:tc>
      </w:tr>
      <w:tr>
        <w:trPr/>
        <w:tc>
          <w:tcPr>
            <w:tcW w:w="826" w:type="dxa"/>
            <w:tcBorders/>
            <w:vAlign w:val="center"/>
          </w:tcPr>
          <w:p>
            <w:pPr>
              <w:pStyle w:val="TableContents"/>
              <w:bidi w:val="0"/>
              <w:spacing w:before="0" w:after="283"/>
              <w:jc w:val="center"/>
              <w:rPr/>
            </w:pPr>
            <w:r>
              <w:rPr/>
              <w:t> </w:t>
            </w:r>
          </w:p>
        </w:tc>
        <w:tc>
          <w:tcPr>
            <w:tcW w:w="9379" w:type="dxa"/>
            <w:tcBorders/>
            <w:vAlign w:val="center"/>
          </w:tcPr>
          <w:p>
            <w:pPr>
              <w:pStyle w:val="TableContents"/>
              <w:bidi w:val="0"/>
              <w:spacing w:before="0" w:after="283"/>
              <w:jc w:val="left"/>
              <w:rPr/>
            </w:pPr>
            <w:r>
              <w:rPr/>
              <w:t> </w:t>
            </w:r>
          </w:p>
        </w:tc>
      </w:tr>
      <w:tr>
        <w:trPr/>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9379"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Offer Letter to Lesya Lysyj, Chief Marketing Officer, dated March 21, 2019 (incorporated by reference to Exhibit 10.5 to the Company's 10-Q filed on July 25, 2019).</w:t>
              </w:r>
            </w:hyperlink>
            <w:hyperlink r:id="rId23">
              <w:r>
                <w:rPr>
                  <w:rStyle w:val="InternetLink"/>
                  <w:rFonts w:ascii="Times New Roman" w:hAnsi="Times New Roman"/>
                  <w:color w:val="0000FF"/>
                  <w:sz w:val="20"/>
                </w:rPr>
                <w:t xml:space="preserve"> </w:t>
              </w:r>
            </w:hyperlink>
          </w:p>
        </w:tc>
      </w:tr>
      <w:tr>
        <w:trPr/>
        <w:tc>
          <w:tcPr>
            <w:tcW w:w="826" w:type="dxa"/>
            <w:tcBorders/>
            <w:vAlign w:val="center"/>
          </w:tcPr>
          <w:p>
            <w:pPr>
              <w:pStyle w:val="TableContents"/>
              <w:bidi w:val="0"/>
              <w:spacing w:before="0" w:after="283"/>
              <w:jc w:val="center"/>
              <w:rPr/>
            </w:pPr>
            <w:r>
              <w:rPr/>
              <w:t> </w:t>
            </w:r>
          </w:p>
        </w:tc>
        <w:tc>
          <w:tcPr>
            <w:tcW w:w="9379" w:type="dxa"/>
            <w:tcBorders/>
            <w:vAlign w:val="center"/>
          </w:tcPr>
          <w:p>
            <w:pPr>
              <w:pStyle w:val="TableContents"/>
              <w:bidi w:val="0"/>
              <w:spacing w:before="0" w:after="283"/>
              <w:jc w:val="left"/>
              <w:rPr/>
            </w:pPr>
            <w:r>
              <w:rPr/>
              <w:t> </w:t>
            </w:r>
          </w:p>
        </w:tc>
      </w:tr>
      <w:tr>
        <w:trPr/>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9379"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Offer Letter to Matthew D. Murphy, Chief Accounting Officer &amp; Interim Financial Officer, dated May 12, 2023 (incorporated by reference to Exhibit 10.1 to a Current Report on Form 8-K filed by the Company on May 16, 2023)</w:t>
              </w:r>
            </w:hyperlink>
          </w:p>
        </w:tc>
      </w:tr>
      <w:tr>
        <w:trPr/>
        <w:tc>
          <w:tcPr>
            <w:tcW w:w="826" w:type="dxa"/>
            <w:tcBorders/>
            <w:vAlign w:val="center"/>
          </w:tcPr>
          <w:p>
            <w:pPr>
              <w:pStyle w:val="TableContents"/>
              <w:bidi w:val="0"/>
              <w:spacing w:before="0" w:after="283"/>
              <w:jc w:val="center"/>
              <w:rPr/>
            </w:pPr>
            <w:r>
              <w:rPr/>
              <w:t> </w:t>
            </w:r>
          </w:p>
        </w:tc>
        <w:tc>
          <w:tcPr>
            <w:tcW w:w="9379" w:type="dxa"/>
            <w:tcBorders/>
            <w:vAlign w:val="center"/>
          </w:tcPr>
          <w:p>
            <w:pPr>
              <w:pStyle w:val="TableContents"/>
              <w:bidi w:val="0"/>
              <w:spacing w:before="0" w:after="283"/>
              <w:jc w:val="left"/>
              <w:rPr/>
            </w:pPr>
            <w:r>
              <w:rPr/>
              <w:t> </w:t>
            </w:r>
          </w:p>
        </w:tc>
      </w:tr>
      <w:tr>
        <w:trPr/>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9379"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Offer Letter to Philip A. Hodges, Chief Supply Chain Officer, dated May 15, 2023 (incorporated by reference to Exhibit 10.1 to a Current Report on Form 8-K filed by the Company on May 22, 2023).</w:t>
              </w:r>
            </w:hyperlink>
            <w:hyperlink r:id="rId26">
              <w:r>
                <w:rPr>
                  <w:rStyle w:val="InternetLink"/>
                  <w:rFonts w:ascii="Times New Roman" w:hAnsi="Times New Roman"/>
                  <w:color w:val="0000FF"/>
                  <w:sz w:val="20"/>
                </w:rPr>
                <w:t xml:space="preserve"> </w:t>
              </w:r>
            </w:hyperlink>
          </w:p>
        </w:tc>
      </w:tr>
      <w:tr>
        <w:trPr/>
        <w:tc>
          <w:tcPr>
            <w:tcW w:w="826" w:type="dxa"/>
            <w:tcBorders/>
            <w:vAlign w:val="center"/>
          </w:tcPr>
          <w:p>
            <w:pPr>
              <w:pStyle w:val="TableContents"/>
              <w:bidi w:val="0"/>
              <w:spacing w:before="0" w:after="283"/>
              <w:jc w:val="center"/>
              <w:rPr/>
            </w:pPr>
            <w:r>
              <w:rPr/>
              <w:t> </w:t>
            </w:r>
          </w:p>
        </w:tc>
        <w:tc>
          <w:tcPr>
            <w:tcW w:w="9379" w:type="dxa"/>
            <w:tcBorders/>
            <w:vAlign w:val="center"/>
          </w:tcPr>
          <w:p>
            <w:pPr>
              <w:pStyle w:val="TableContents"/>
              <w:bidi w:val="0"/>
              <w:spacing w:before="0" w:after="283"/>
              <w:jc w:val="left"/>
              <w:rPr/>
            </w:pPr>
            <w:r>
              <w:rPr/>
              <w:t> </w:t>
            </w:r>
          </w:p>
        </w:tc>
      </w:tr>
      <w:tr>
        <w:trPr/>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9379"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Offer Letter to Diego Reynoso, Chief Financial Officer, dated July 21, 2023 (incorporated by reference to exhibit 10.1 to a Current Report on Form 8-K filed by the Company on July 24, 2023)</w:t>
              </w:r>
            </w:hyperlink>
          </w:p>
        </w:tc>
      </w:tr>
      <w:tr>
        <w:trPr/>
        <w:tc>
          <w:tcPr>
            <w:tcW w:w="826" w:type="dxa"/>
            <w:tcBorders/>
            <w:vAlign w:val="center"/>
          </w:tcPr>
          <w:p>
            <w:pPr>
              <w:pStyle w:val="TableContents"/>
              <w:bidi w:val="0"/>
              <w:spacing w:before="0" w:after="283"/>
              <w:jc w:val="center"/>
              <w:rPr/>
            </w:pPr>
            <w:r>
              <w:rPr/>
              <w:t> </w:t>
            </w:r>
          </w:p>
        </w:tc>
        <w:tc>
          <w:tcPr>
            <w:tcW w:w="9379" w:type="dxa"/>
            <w:tcBorders/>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9379" w:type="dxa"/>
            <w:tcBorders/>
            <w:vAlign w:val="center"/>
          </w:tcPr>
          <w:p>
            <w:pPr>
              <w:pStyle w:val="TableContents"/>
              <w:bidi w:val="0"/>
              <w:spacing w:before="0" w:after="283"/>
              <w:jc w:val="left"/>
              <w:rPr/>
            </w:pPr>
            <w:hyperlink w:anchor="sam-ex21_1.htm">
              <w:r>
                <w:rPr>
                  <w:rStyle w:val="InternetLink"/>
                  <w:rFonts w:ascii="Times New Roman" w:hAnsi="Times New Roman"/>
                  <w:color w:val="0000FF"/>
                  <w:sz w:val="20"/>
                  <w:u w:val="single"/>
                </w:rPr>
                <w:t>List of subsidiaries of The Boston Beer Company, Inc. effective as of December 30, 2023.</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9379" w:type="dxa"/>
            <w:tcBorders/>
            <w:vAlign w:val="center"/>
          </w:tcPr>
          <w:p>
            <w:pPr>
              <w:pStyle w:val="TableContents"/>
              <w:bidi w:val="0"/>
              <w:spacing w:before="0" w:after="283"/>
              <w:jc w:val="left"/>
              <w:rPr/>
            </w:pPr>
            <w:hyperlink w:anchor="sam-ex23_1.htm">
              <w:r>
                <w:rPr>
                  <w:rStyle w:val="InternetLink"/>
                  <w:rFonts w:ascii="Times New Roman" w:hAnsi="Times New Roman"/>
                  <w:color w:val="0000FF"/>
                  <w:sz w:val="20"/>
                  <w:u w:val="single"/>
                </w:rPr>
                <w:t>Consent of Deloitte &amp; Touche LLP, an Independent Registered Public Accounting Firm.</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379" w:type="dxa"/>
            <w:tcBorders/>
            <w:vAlign w:val="center"/>
          </w:tcPr>
          <w:p>
            <w:pPr>
              <w:pStyle w:val="TableContents"/>
              <w:bidi w:val="0"/>
              <w:spacing w:before="0" w:after="283"/>
              <w:jc w:val="left"/>
              <w:rPr/>
            </w:pPr>
            <w:hyperlink w:anchor="sam-ex31_1.htm">
              <w:r>
                <w:rPr>
                  <w:rStyle w:val="InternetLink"/>
                  <w:rFonts w:ascii="Times New Roman" w:hAnsi="Times New Roman"/>
                  <w:color w:val="0000FF"/>
                  <w:sz w:val="20"/>
                  <w:u w:val="single"/>
                </w:rPr>
                <w:t>Certification of the President and Chief Executive Officer pursuant to Rule 13a-14(a) under the Securities Exchange Act of 1934, as adopted pursuant to Section 302 of the Sarbanes-Oxley Act of 2002.</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3"/>
        <w:gridCol w:w="9262"/>
      </w:tblGrid>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9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262" w:type="dxa"/>
            <w:tcBorders/>
            <w:vAlign w:val="center"/>
          </w:tcPr>
          <w:p>
            <w:pPr>
              <w:pStyle w:val="TableContents"/>
              <w:bidi w:val="0"/>
              <w:spacing w:before="0" w:after="283"/>
              <w:jc w:val="left"/>
              <w:rPr/>
            </w:pPr>
            <w:hyperlink w:anchor="sam-ex31_2.htm">
              <w:r>
                <w:rPr>
                  <w:rStyle w:val="InternetLink"/>
                  <w:rFonts w:ascii="Times New Roman" w:hAnsi="Times New Roman"/>
                  <w:color w:val="0000FF"/>
                  <w:sz w:val="20"/>
                  <w:u w:val="single"/>
                </w:rPr>
                <w:t>Certification of the Chief Financial Officer pursuant to Rule 13a-14(a) under the Securities Exchange Act of 1934, as adopted pursuant to Section 302 of the Sarbanes-Oxley Act of 2002.</w:t>
              </w:r>
            </w:hyperlink>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9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262" w:type="dxa"/>
            <w:tcBorders/>
            <w:vAlign w:val="center"/>
          </w:tcPr>
          <w:p>
            <w:pPr>
              <w:pStyle w:val="TableContents"/>
              <w:bidi w:val="0"/>
              <w:spacing w:before="0" w:after="283"/>
              <w:jc w:val="left"/>
              <w:rPr/>
            </w:pPr>
            <w:hyperlink w:anchor="sam-ex32_1.htm">
              <w:r>
                <w:rPr>
                  <w:rStyle w:val="InternetLink"/>
                  <w:rFonts w:ascii="Times New Roman" w:hAnsi="Times New Roman"/>
                  <w:color w:val="0000FF"/>
                  <w:sz w:val="20"/>
                  <w:u w:val="single"/>
                </w:rPr>
                <w:t>Certification of the President and Chief Executive Officer pursuant to 18 U.S.C. Section 1350, as adopted pursuant to Section 906 of the Sarbanes-Oxley Act of 2002.</w:t>
              </w:r>
            </w:hyperlink>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9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262" w:type="dxa"/>
            <w:tcBorders/>
            <w:vAlign w:val="center"/>
          </w:tcPr>
          <w:p>
            <w:pPr>
              <w:pStyle w:val="TableContents"/>
              <w:bidi w:val="0"/>
              <w:spacing w:before="0" w:after="283"/>
              <w:jc w:val="left"/>
              <w:rPr/>
            </w:pPr>
            <w:hyperlink w:anchor="sam-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943"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 </w:t>
            </w:r>
          </w:p>
        </w:tc>
      </w:tr>
      <w:tr>
        <w:trPr/>
        <w:tc>
          <w:tcPr>
            <w:tcW w:w="9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9262" w:type="dxa"/>
            <w:tcBorders/>
            <w:vAlign w:val="center"/>
          </w:tcPr>
          <w:p>
            <w:pPr>
              <w:pStyle w:val="TableContents"/>
              <w:bidi w:val="0"/>
              <w:spacing w:before="0" w:after="283"/>
              <w:jc w:val="left"/>
              <w:rPr/>
            </w:pPr>
            <w:hyperlink w:anchor="sam-ex97_1.htm">
              <w:r>
                <w:rPr>
                  <w:rStyle w:val="InternetLink"/>
                  <w:rFonts w:ascii="Times New Roman" w:hAnsi="Times New Roman"/>
                  <w:color w:val="0000FF"/>
                  <w:sz w:val="20"/>
                  <w:u w:val="single"/>
                </w:rPr>
                <w:t>The Boston Beer Company, Inc. Clawback Policy amended effective as of October 2, 2023.</w:t>
              </w:r>
            </w:hyperlink>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pPr>
            <w:r>
              <w:rPr/>
              <w:t> </w:t>
            </w:r>
          </w:p>
        </w:tc>
      </w:tr>
      <w:tr>
        <w:trPr/>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w:t>
            </w:r>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pPr>
            <w:r>
              <w:rPr/>
              <w:t> </w:t>
            </w:r>
          </w:p>
        </w:tc>
      </w:tr>
      <w:tr>
        <w:trPr/>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pPr>
            <w:r>
              <w:rPr/>
              <w:t> </w:t>
            </w:r>
          </w:p>
        </w:tc>
      </w:tr>
      <w:tr>
        <w:trPr/>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Calculation Linkbase Document</w:t>
            </w:r>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pPr>
            <w:r>
              <w:rPr/>
              <w:t> </w:t>
            </w:r>
          </w:p>
        </w:tc>
      </w:tr>
      <w:tr>
        <w:trPr/>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Label Linkbase Document</w:t>
            </w:r>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pPr>
            <w:r>
              <w:rPr/>
              <w:t> </w:t>
            </w:r>
          </w:p>
        </w:tc>
      </w:tr>
      <w:tr>
        <w:trPr/>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Presentation Linkbase Document</w:t>
            </w:r>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Definition Linkbase Document</w:t>
            </w:r>
          </w:p>
        </w:tc>
      </w:tr>
      <w:tr>
        <w:trPr/>
        <w:tc>
          <w:tcPr>
            <w:tcW w:w="943"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9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92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with this report.</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were omitted pursuant to an application for an order declaring confidential treatment filed with and approved by the Securities and Exchange Commission.</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pPr>
      <w:r>
        <w:rPr/>
        <w:t> </w:t>
      </w:r>
    </w:p>
    <w:p>
      <w:pPr>
        <w:pStyle w:val="TextBody"/>
        <w:bidi w:val="0"/>
        <w:jc w:val="left"/>
        <w:rPr>
          <w:rFonts w:ascii="Times New Roman" w:hAnsi="Times New Roman"/>
          <w:b/>
          <w:color w:val="000000"/>
          <w:sz w:val="20"/>
        </w:rPr>
      </w:pPr>
      <w:bookmarkStart w:id="32" w:name="item_16_form_10k_summary"/>
      <w:bookmarkEnd w:id="32"/>
      <w:r>
        <w:rPr>
          <w:rFonts w:ascii="Times New Roman" w:hAnsi="Times New Roman"/>
          <w:b/>
          <w:color w:val="000000"/>
          <w:sz w:val="20"/>
        </w:rPr>
        <w:t>Item 16. Form 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3" w:name="signatures"/>
      <w:bookmarkEnd w:id="3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Section 13 or 15(d) of the Securities and Exchange Act of 1934, the registrant has duly caused this report to be signed on its behalf by the undersigned, thereunto duly authorized, on this 27th day of February 2024.</w:t>
      </w:r>
    </w:p>
    <w:p>
      <w:pPr>
        <w:pStyle w:val="TextBody"/>
        <w:bidi w:val="0"/>
        <w:jc w:val="left"/>
        <w:rPr/>
      </w:pPr>
      <w:r>
        <w:rPr/>
        <w:t> </w:t>
      </w:r>
    </w:p>
    <w:tbl>
      <w:tblPr>
        <w:tblW w:w="5828" w:type="dxa"/>
        <w:jc w:val="left"/>
        <w:tblInd w:w="0" w:type="dxa"/>
        <w:tblLayout w:type="fixed"/>
        <w:tblCellMar>
          <w:top w:w="28" w:type="dxa"/>
          <w:left w:w="28" w:type="dxa"/>
          <w:bottom w:w="28" w:type="dxa"/>
          <w:right w:w="28" w:type="dxa"/>
        </w:tblCellMar>
      </w:tblPr>
      <w:tblGrid>
        <w:gridCol w:w="161"/>
        <w:gridCol w:w="146"/>
        <w:gridCol w:w="55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BOSTON BEER COMPANY,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A. Burwick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A. Burwick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and Exchange Act of 1934, the following persons on behalf of the registrant and in the capacities and on the dates indicated have signed this report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9"/>
        <w:gridCol w:w="146"/>
        <w:gridCol w:w="6154"/>
        <w:gridCol w:w="1626"/>
      </w:tblGrid>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2279" w:type="dxa"/>
            <w:tcBorders/>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Signature</w:t>
            </w:r>
          </w:p>
        </w:tc>
        <w:tc>
          <w:tcPr>
            <w:tcW w:w="146" w:type="dxa"/>
            <w:tcBorders/>
            <w:vAlign w:val="center"/>
          </w:tcPr>
          <w:p>
            <w:pPr>
              <w:pStyle w:val="TableContents"/>
              <w:bidi w:val="0"/>
              <w:spacing w:before="0" w:after="283"/>
              <w:jc w:val="center"/>
              <w:rPr/>
            </w:pPr>
            <w:r>
              <w:rPr/>
              <w:t> </w:t>
            </w:r>
          </w:p>
        </w:tc>
        <w:tc>
          <w:tcPr>
            <w:tcW w:w="6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David A. Burwick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David A. Burwick</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(principal executive officer) and 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Diego Reynoso</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Diego Reynoso</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Matthew D. Murphy</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Matthew D. Murphy</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Finance and Chief Accounting Officer (principal accounting officer)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Samuel A. Calagione III</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Samuel A. Calagione III</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Brewer and 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Cynthia A. Fisher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Cynthia A. Fisher</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Meghan V. Joyce</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Meghan V. Joyce</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C. James Koch</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 James Koch</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Julio N. Nemeth</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Julio N. Nemeth</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Michael Spillane</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Michael Spillane</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Cynthia L. Swanson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Cynthia L. Swanson</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 Jean-Michel Valette</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Jean-Michel Valette</w:t>
            </w:r>
          </w:p>
        </w:tc>
        <w:tc>
          <w:tcPr>
            <w:tcW w:w="146" w:type="dxa"/>
            <w:tcBorders/>
            <w:vAlign w:val="center"/>
          </w:tcPr>
          <w:p>
            <w:pPr>
              <w:pStyle w:val="TableContents"/>
              <w:bidi w:val="0"/>
              <w:spacing w:before="0" w:after="283"/>
              <w:jc w:val="left"/>
              <w:rPr/>
            </w:pPr>
            <w:r>
              <w:rPr/>
              <w:t> </w:t>
            </w:r>
          </w:p>
        </w:tc>
        <w:tc>
          <w:tcPr>
            <w:tcW w:w="6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62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bookmarkStart w:id="34" w:name="sam-ex21_1.htm"/>
      <w:bookmarkStart w:id="35" w:name="kssamex21_1"/>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List of Subsidiaries and Affiliates</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w:t>
      </w:r>
    </w:p>
    <w:p>
      <w:pPr>
        <w:pStyle w:val="TextBody"/>
        <w:bidi w:val="0"/>
        <w:jc w:val="center"/>
        <w:rPr>
          <w:rFonts w:ascii="Times New Roman" w:hAnsi="Times New Roman"/>
          <w:b/>
          <w:color w:val="000000"/>
          <w:sz w:val="20"/>
        </w:rPr>
      </w:pPr>
      <w:r>
        <w:rPr>
          <w:rFonts w:ascii="Times New Roman" w:hAnsi="Times New Roman"/>
          <w:b/>
          <w:color w:val="000000"/>
          <w:sz w:val="20"/>
        </w:rPr>
        <w:t>as of</w:t>
      </w:r>
    </w:p>
    <w:p>
      <w:pPr>
        <w:pStyle w:val="TextBody"/>
        <w:bidi w:val="0"/>
        <w:jc w:val="center"/>
        <w:rPr>
          <w:rFonts w:ascii="Times New Roman" w:hAnsi="Times New Roman"/>
          <w:b/>
          <w:color w:val="000000"/>
          <w:sz w:val="20"/>
        </w:rPr>
      </w:pPr>
      <w:r>
        <w:rPr>
          <w:rFonts w:ascii="Times New Roman" w:hAnsi="Times New Roman"/>
          <w:b/>
          <w:color w:val="000000"/>
          <w:sz w:val="20"/>
        </w:rPr>
        <w:t>December 30, 2023</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American Craft Brewery LLC</w:t>
      </w:r>
    </w:p>
    <w:p>
      <w:pPr>
        <w:pStyle w:val="TextBody"/>
        <w:bidi w:val="0"/>
        <w:jc w:val="left"/>
        <w:rPr>
          <w:rFonts w:ascii="Times New Roman" w:hAnsi="Times New Roman"/>
          <w:color w:val="000000"/>
          <w:sz w:val="20"/>
        </w:rPr>
      </w:pPr>
      <w:r>
        <w:rPr>
          <w:rFonts w:ascii="Times New Roman" w:hAnsi="Times New Roman"/>
          <w:color w:val="000000"/>
          <w:sz w:val="20"/>
        </w:rPr>
        <w:t>(a Massachusetts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American Fermentation Company LLC</w:t>
      </w:r>
    </w:p>
    <w:p>
      <w:pPr>
        <w:pStyle w:val="TextBody"/>
        <w:bidi w:val="0"/>
        <w:jc w:val="left"/>
        <w:rPr>
          <w:rFonts w:ascii="Times New Roman" w:hAnsi="Times New Roman"/>
          <w:color w:val="000000"/>
          <w:sz w:val="20"/>
        </w:rPr>
      </w:pPr>
      <w:r>
        <w:rPr>
          <w:rFonts w:ascii="Times New Roman" w:hAnsi="Times New Roman"/>
          <w:color w:val="000000"/>
          <w:sz w:val="20"/>
        </w:rPr>
        <w:t>(a Massachusetts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Angry Orchard Cider Company,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BBCCC, Inc.</w:t>
      </w:r>
    </w:p>
    <w:p>
      <w:pPr>
        <w:pStyle w:val="TextBody"/>
        <w:bidi w:val="0"/>
        <w:jc w:val="left"/>
        <w:rPr>
          <w:rFonts w:ascii="Times New Roman" w:hAnsi="Times New Roman"/>
          <w:color w:val="000000"/>
          <w:sz w:val="20"/>
        </w:rPr>
      </w:pPr>
      <w:r>
        <w:rPr>
          <w:rFonts w:ascii="Times New Roman" w:hAnsi="Times New Roman"/>
          <w:color w:val="000000"/>
          <w:sz w:val="20"/>
        </w:rPr>
        <w:t>(an Ontario, Canada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Beer Corporation</w:t>
      </w:r>
    </w:p>
    <w:p>
      <w:pPr>
        <w:pStyle w:val="TextBody"/>
        <w:bidi w:val="0"/>
        <w:jc w:val="left"/>
        <w:rPr>
          <w:rFonts w:ascii="Times New Roman" w:hAnsi="Times New Roman"/>
          <w:color w:val="000000"/>
          <w:sz w:val="20"/>
        </w:rPr>
      </w:pPr>
      <w:r>
        <w:rPr>
          <w:rFonts w:ascii="Times New Roman" w:hAnsi="Times New Roman"/>
          <w:color w:val="000000"/>
          <w:sz w:val="20"/>
        </w:rPr>
        <w:t>(a Massachusetts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Beer Corporation Canada, Inc.</w:t>
      </w:r>
    </w:p>
    <w:p>
      <w:pPr>
        <w:pStyle w:val="TextBody"/>
        <w:bidi w:val="0"/>
        <w:jc w:val="left"/>
        <w:rPr>
          <w:rFonts w:ascii="Times New Roman" w:hAnsi="Times New Roman"/>
          <w:color w:val="000000"/>
          <w:sz w:val="20"/>
        </w:rPr>
      </w:pPr>
      <w:r>
        <w:rPr>
          <w:rFonts w:ascii="Times New Roman" w:hAnsi="Times New Roman"/>
          <w:color w:val="000000"/>
          <w:sz w:val="20"/>
        </w:rPr>
        <w:t>(a Canadian business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Brewing Company, Inc.</w:t>
      </w:r>
    </w:p>
    <w:p>
      <w:pPr>
        <w:pStyle w:val="TextBody"/>
        <w:bidi w:val="0"/>
        <w:jc w:val="left"/>
        <w:rPr>
          <w:rFonts w:ascii="Times New Roman" w:hAnsi="Times New Roman"/>
          <w:color w:val="000000"/>
          <w:sz w:val="20"/>
        </w:rPr>
      </w:pPr>
      <w:r>
        <w:rPr>
          <w:rFonts w:ascii="Times New Roman" w:hAnsi="Times New Roman"/>
          <w:color w:val="000000"/>
          <w:sz w:val="20"/>
        </w:rPr>
        <w:t>(a Massachusetts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Dogfish Head Craft Brewery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Dogfish Head Land Holdings,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Dogfish Head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Dogfish Head Marketing,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Dogfish Head MTSpace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Hard Seltzer Beverage Company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Lazy River Cider Co., LLC</w:t>
      </w:r>
    </w:p>
    <w:p>
      <w:pPr>
        <w:pStyle w:val="TextBody"/>
        <w:bidi w:val="0"/>
        <w:jc w:val="left"/>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Marathon Brewing Company LLC</w:t>
      </w:r>
    </w:p>
    <w:p>
      <w:pPr>
        <w:pStyle w:val="TextBody"/>
        <w:bidi w:val="0"/>
        <w:jc w:val="left"/>
        <w:rPr>
          <w:rFonts w:ascii="Times New Roman" w:hAnsi="Times New Roman"/>
          <w:color w:val="000000"/>
          <w:sz w:val="20"/>
        </w:rPr>
      </w:pPr>
      <w:r>
        <w:rPr>
          <w:rFonts w:ascii="Times New Roman" w:hAnsi="Times New Roman"/>
          <w:color w:val="000000"/>
          <w:sz w:val="20"/>
        </w:rPr>
        <w:t>(a Massachusetts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Providence Street Associates, LLC</w:t>
      </w:r>
    </w:p>
    <w:p>
      <w:pPr>
        <w:pStyle w:val="TextBody"/>
        <w:bidi w:val="0"/>
        <w:jc w:val="left"/>
        <w:rPr>
          <w:rFonts w:ascii="Times New Roman" w:hAnsi="Times New Roman"/>
          <w:color w:val="000000"/>
          <w:sz w:val="20"/>
        </w:rPr>
      </w:pPr>
      <w:r>
        <w:rPr>
          <w:rFonts w:ascii="Times New Roman" w:hAnsi="Times New Roman"/>
          <w:color w:val="000000"/>
          <w:sz w:val="20"/>
        </w:rPr>
        <w:t>(an Ohio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SABC Realty, Ltd.</w:t>
      </w:r>
    </w:p>
    <w:p>
      <w:pPr>
        <w:pStyle w:val="TextBody"/>
        <w:bidi w:val="0"/>
        <w:jc w:val="left"/>
        <w:rPr>
          <w:rFonts w:ascii="Times New Roman" w:hAnsi="Times New Roman"/>
          <w:color w:val="000000"/>
          <w:sz w:val="20"/>
        </w:rPr>
      </w:pPr>
      <w:r>
        <w:rPr>
          <w:rFonts w:ascii="Times New Roman" w:hAnsi="Times New Roman"/>
          <w:color w:val="000000"/>
          <w:sz w:val="20"/>
        </w:rPr>
        <w:t>(an Ohio limited liability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6" w:name="sam-ex23_1.htm"/>
      <w:bookmarkStart w:id="37" w:name="kssamex23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333-209588, 333-163315, 333-163314, 333-148374, 333-140250, 333-121057, 333-85112, 333-85110, 333-68531, 333-12221, and 333-01798 each on Form S-8 of our reports dated February 27, 2024, relating to the financial statements of The Boston Beer Company, Inc., and the effectiveness of The Boston Beer Company, Inc.’s internal control over financial reporting, appearing in this Annual Report on Form 10-K of The Boston Beer Company, Inc. for the year ended December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27,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8" w:name="sam-ex31_1.htm"/>
      <w:bookmarkStart w:id="39" w:name="kssamex31_1"/>
      <w:bookmarkEnd w:id="38"/>
      <w:bookmarkEnd w:id="39"/>
      <w:r>
        <w:rPr>
          <w:rFonts w:ascii="Times New Roman" w:hAnsi="Times New Roman"/>
          <w:color w:val="000000"/>
          <w:sz w:val="20"/>
        </w:rPr>
        <w:t>EXHIBIT 31.1</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A. Burwick,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annual report on Form 10-K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David A. Burwick </w:t>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A. Burwick</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0" w:name="sam-ex31_2.htm"/>
      <w:bookmarkStart w:id="41" w:name="kssamex31_2"/>
      <w:bookmarkEnd w:id="40"/>
      <w:bookmarkEnd w:id="41"/>
      <w:r>
        <w:rPr>
          <w:rFonts w:ascii="Times New Roman" w:hAnsi="Times New Roman"/>
          <w:color w:val="000000"/>
          <w:sz w:val="20"/>
        </w:rPr>
        <w:t>EXHIBIT 31.2</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Diego Reynoso,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annual report on Form 10-K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2023</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Diego Reynoso</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Diego Reynoso</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2" w:name="sam-ex32_1.htm"/>
      <w:bookmarkStart w:id="43" w:name="kssamex32_1"/>
      <w:bookmarkEnd w:id="42"/>
      <w:bookmarkEnd w:id="43"/>
      <w:r>
        <w:rPr>
          <w:rFonts w:ascii="Times New Roman" w:hAnsi="Times New Roman"/>
          <w:color w:val="000000"/>
          <w:sz w:val="20"/>
        </w:rPr>
        <w:t>EXHIBIT 32.1</w:t>
      </w:r>
      <w:r>
        <w:br w:type="page"/>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The Boston Beer Company, Inc. (the "Company") on Form 10-K for the period ended December 30, 2023 as filed with the Securities and Exchange Commission (the "Report"), I, David A. Burwick,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16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A. Burwick</w:t>
            </w:r>
          </w:p>
        </w:tc>
      </w:tr>
      <w:tr>
        <w:trPr/>
        <w:tc>
          <w:tcPr>
            <w:tcW w:w="161"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A. Burwick</w:t>
            </w:r>
          </w:p>
        </w:tc>
      </w:tr>
      <w:tr>
        <w:trPr/>
        <w:tc>
          <w:tcPr>
            <w:tcW w:w="16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4" w:name="sam-ex32_2.htm"/>
      <w:bookmarkStart w:id="45" w:name="kssamex32_2"/>
      <w:bookmarkEnd w:id="44"/>
      <w:bookmarkEnd w:id="45"/>
      <w:r>
        <w:rPr>
          <w:rFonts w:ascii="Times New Roman" w:hAnsi="Times New Roman"/>
          <w:color w:val="000000"/>
          <w:sz w:val="20"/>
        </w:rPr>
        <w:t>EXHIBIT 32.2</w:t>
      </w:r>
      <w:r>
        <w:br w:type="page"/>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The Boston Beer Company, Inc. (the "Company") on Form 10-K for the period ended December 30, 2023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tbl>
      <w:tblPr>
        <w:tblW w:w="2172" w:type="dxa"/>
        <w:jc w:val="left"/>
        <w:tblInd w:w="0" w:type="dxa"/>
        <w:tblLayout w:type="fixed"/>
        <w:tblCellMar>
          <w:top w:w="28" w:type="dxa"/>
          <w:left w:w="28" w:type="dxa"/>
          <w:bottom w:w="28" w:type="dxa"/>
          <w:right w:w="28" w:type="dxa"/>
        </w:tblCellMar>
      </w:tblPr>
      <w:tblGrid>
        <w:gridCol w:w="161"/>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Diego Reynoso</w:t>
            </w:r>
          </w:p>
        </w:tc>
      </w:tr>
      <w:tr>
        <w:trPr/>
        <w:tc>
          <w:tcPr>
            <w:tcW w:w="161" w:type="dxa"/>
            <w:tcBorders/>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Diego Reynoso</w:t>
            </w:r>
          </w:p>
        </w:tc>
      </w:tr>
      <w:tr>
        <w:trPr/>
        <w:tc>
          <w:tcPr>
            <w:tcW w:w="161"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color w:val="000000"/>
          <w:sz w:val="22"/>
        </w:rPr>
      </w:pPr>
      <w:bookmarkStart w:id="46" w:name="sam-ex97_1.htm"/>
      <w:bookmarkStart w:id="47" w:name="kssamex97_1"/>
      <w:bookmarkEnd w:id="46"/>
      <w:bookmarkEnd w:id="47"/>
      <w:r>
        <w:rPr>
          <w:rFonts w:ascii="Calibri;sans-serif" w:hAnsi="Calibri;sans-serif"/>
          <w:color w:val="000000"/>
          <w:sz w:val="22"/>
        </w:rPr>
        <w:t>EXHIBIT 97.1</w:t>
      </w:r>
      <w:r>
        <w:br w:type="page"/>
      </w:r>
    </w:p>
    <w:p>
      <w:pPr>
        <w:pStyle w:val="TextBody"/>
        <w:bidi w:val="0"/>
        <w:jc w:val="center"/>
        <w:rPr/>
      </w:pPr>
      <w:r>
        <w:rPr/>
        <w:t> </w:t>
      </w:r>
    </w:p>
    <w:p>
      <w:pPr>
        <w:pStyle w:val="TextBody"/>
        <w:bidi w:val="0"/>
        <w:spacing w:before="39" w:after="283"/>
        <w:jc w:val="center"/>
        <w:rPr>
          <w:rFonts w:ascii="Calibri;sans-serif" w:hAnsi="Calibri;sans-serif"/>
          <w:b/>
          <w:color w:val="000000"/>
          <w:sz w:val="22"/>
        </w:rPr>
      </w:pPr>
      <w:r>
        <w:rPr>
          <w:rFonts w:ascii="Calibri;sans-serif" w:hAnsi="Calibri;sans-serif"/>
          <w:b/>
          <w:color w:val="000000"/>
          <w:sz w:val="22"/>
        </w:rPr>
        <w:t>The Boston Beer Company, Inc.</w:t>
      </w:r>
    </w:p>
    <w:p>
      <w:pPr>
        <w:pStyle w:val="TextBody"/>
        <w:bidi w:val="0"/>
        <w:spacing w:before="19" w:after="283"/>
        <w:jc w:val="center"/>
        <w:rPr>
          <w:rFonts w:ascii="Calibri;sans-serif" w:hAnsi="Calibri;sans-serif"/>
          <w:b/>
          <w:color w:val="000000"/>
          <w:sz w:val="22"/>
          <w:u w:val="single"/>
        </w:rPr>
      </w:pPr>
      <w:r>
        <w:rPr>
          <w:rFonts w:ascii="Calibri;sans-serif" w:hAnsi="Calibri;sans-serif"/>
          <w:b/>
          <w:color w:val="000000"/>
          <w:sz w:val="22"/>
          <w:u w:val="single"/>
        </w:rPr>
        <w:t>Clawback Policy</w:t>
      </w:r>
    </w:p>
    <w:p>
      <w:pPr>
        <w:pStyle w:val="TextBody"/>
        <w:bidi w:val="0"/>
        <w:spacing w:before="43"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w:t>
      </w:r>
    </w:p>
    <w:p>
      <w:pPr>
        <w:pStyle w:val="TextBody"/>
        <w:bidi w:val="0"/>
        <w:jc w:val="both"/>
        <w:rPr/>
      </w:pPr>
      <w:r>
        <w:rPr>
          <w:rFonts w:ascii="Calibri;sans-serif" w:hAnsi="Calibri;sans-serif"/>
          <w:b/>
          <w:color w:val="000000"/>
          <w:sz w:val="22"/>
        </w:rPr>
        <w:t xml:space="preserve">Introduction. </w:t>
      </w:r>
      <w:r>
        <w:rPr>
          <w:rFonts w:ascii="Calibri;sans-serif" w:hAnsi="Calibri;sans-serif"/>
          <w:color w:val="000000"/>
          <w:sz w:val="22"/>
        </w:rPr>
        <w:t>The Board of Directors (the "Board") of The Boston Beer Company, Inc. (the “Company”) believes that it is in the best interests of the Company to maintain a culture that emphasizes integrity and accountability and that reinforces the Company's pay-for-performance compensation philosophy. The Board has therefore adopted this Clawback Policy (the "Policy"), which provides for the recoupment of certain executive compensation in the event of an accounting restatement resulting from material noncompliance with financial reporting requirements under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w:t>
      </w:r>
    </w:p>
    <w:p>
      <w:pPr>
        <w:pStyle w:val="TextBody"/>
        <w:bidi w:val="0"/>
        <w:spacing w:before="22"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2.</w:t>
      </w:r>
    </w:p>
    <w:p>
      <w:pPr>
        <w:pStyle w:val="TextBody"/>
        <w:bidi w:val="0"/>
        <w:jc w:val="both"/>
        <w:rPr/>
      </w:pPr>
      <w:r>
        <w:rPr>
          <w:rFonts w:ascii="Calibri;sans-serif" w:hAnsi="Calibri;sans-serif"/>
          <w:b/>
          <w:color w:val="000000"/>
          <w:sz w:val="22"/>
        </w:rPr>
        <w:t xml:space="preserve">Administration. </w:t>
      </w:r>
      <w:r>
        <w:rPr>
          <w:rFonts w:ascii="Calibri;sans-serif" w:hAnsi="Calibri;sans-serif"/>
          <w:color w:val="000000"/>
          <w:sz w:val="22"/>
        </w:rPr>
        <w:t>This Policy shall be administered by the Board’s Compensation Committee (the “Committee”). Any determinations made by the Committee shall be final and binding.</w:t>
      </w:r>
    </w:p>
    <w:p>
      <w:pPr>
        <w:pStyle w:val="TextBody"/>
        <w:bidi w:val="0"/>
        <w:spacing w:before="25"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3.</w:t>
      </w:r>
    </w:p>
    <w:p>
      <w:pPr>
        <w:pStyle w:val="TextBody"/>
        <w:bidi w:val="0"/>
        <w:jc w:val="both"/>
        <w:rPr/>
      </w:pPr>
      <w:r>
        <w:rPr>
          <w:rFonts w:ascii="Calibri;sans-serif" w:hAnsi="Calibri;sans-serif"/>
          <w:b/>
          <w:color w:val="000000"/>
          <w:sz w:val="22"/>
        </w:rPr>
        <w:t xml:space="preserve">Covered Executives. </w:t>
      </w:r>
      <w:r>
        <w:rPr>
          <w:rFonts w:ascii="Calibri;sans-serif" w:hAnsi="Calibri;sans-serif"/>
          <w:color w:val="000000"/>
          <w:sz w:val="22"/>
        </w:rPr>
        <w:t>This Policy applies to any person, who is or was an “Executive Officer,” as such term is defined in Rule 10D-1 of the Securities Exchange Act of 1934, as amended (the “Exchange Act”), and Section 303A.14 of the New York Stock Exchange (“NYSE”) listing standards ("Covered Executives").</w:t>
      </w:r>
    </w:p>
    <w:p>
      <w:pPr>
        <w:pStyle w:val="TextBody"/>
        <w:bidi w:val="0"/>
        <w:spacing w:before="22"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4.</w:t>
      </w:r>
    </w:p>
    <w:p>
      <w:pPr>
        <w:pStyle w:val="TextBody"/>
        <w:bidi w:val="0"/>
        <w:jc w:val="both"/>
        <w:rPr/>
      </w:pPr>
      <w:r>
        <w:rPr>
          <w:rFonts w:ascii="Calibri;sans-serif" w:hAnsi="Calibri;sans-serif"/>
          <w:b/>
          <w:color w:val="000000"/>
          <w:sz w:val="22"/>
        </w:rPr>
        <w:t xml:space="preserve">Recoupment; Accounting Restatement. </w:t>
      </w:r>
      <w:r>
        <w:rPr>
          <w:rFonts w:ascii="Calibri;sans-serif" w:hAnsi="Calibri;sans-serif"/>
          <w:color w:val="000000"/>
          <w:sz w:val="22"/>
        </w:rPr>
        <w:t>In the event the Company is required to prepare a Restatement, the Committee will require the reasonably prompt recovery of any excess Incentive Compensation received by any Covered Executive, without regard to whether or not the Covered Executive committed any misconduct that led to the Restatement.</w:t>
      </w:r>
    </w:p>
    <w:p>
      <w:pPr>
        <w:pStyle w:val="TextBody"/>
        <w:bidi w:val="0"/>
        <w:spacing w:before="19"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5.</w:t>
      </w:r>
    </w:p>
    <w:p>
      <w:pPr>
        <w:pStyle w:val="TextBody"/>
        <w:bidi w:val="0"/>
        <w:jc w:val="both"/>
        <w:rPr/>
      </w:pPr>
      <w:r>
        <w:rPr>
          <w:rFonts w:ascii="Calibri;sans-serif" w:hAnsi="Calibri;sans-serif"/>
          <w:b/>
          <w:color w:val="000000"/>
          <w:sz w:val="22"/>
        </w:rPr>
        <w:t xml:space="preserve">Incentive Compensation. </w:t>
      </w:r>
      <w:r>
        <w:rPr>
          <w:rFonts w:ascii="Calibri;sans-serif" w:hAnsi="Calibri;sans-serif"/>
          <w:color w:val="000000"/>
          <w:sz w:val="22"/>
        </w:rPr>
        <w:t>For purposes of this Policy, “Incentive Compensation” means any compensation that is granted, earned, or vested, based wholly or in part on the attainment of a financial reporting measure, including but not limited to cash bonuses, stock options, and restricted stock. Examples of “financial reporting measures” include but are not limited to depletions, earnings, EBIT, EBIDTA, EPS, revenue, revenue growth, resource efficiency, company stock price, total shareholder return, net income, and liquidity measures.</w:t>
      </w:r>
    </w:p>
    <w:p>
      <w:pPr>
        <w:pStyle w:val="TextBody"/>
        <w:bidi w:val="0"/>
        <w:spacing w:before="24"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6.</w:t>
      </w:r>
    </w:p>
    <w:p>
      <w:pPr>
        <w:pStyle w:val="TextBody"/>
        <w:bidi w:val="0"/>
        <w:spacing w:before="0" w:after="0"/>
        <w:jc w:val="both"/>
        <w:rPr/>
      </w:pPr>
      <w:r>
        <w:rPr>
          <w:rFonts w:ascii="Calibri;sans-serif" w:hAnsi="Calibri;sans-serif"/>
          <w:b/>
          <w:color w:val="000000"/>
          <w:sz w:val="22"/>
        </w:rPr>
        <w:t xml:space="preserve">Excess Incentive Compensation: Amount Subject to Recovery. </w:t>
      </w:r>
      <w:r>
        <w:rPr>
          <w:rFonts w:ascii="Calibri;sans-serif" w:hAnsi="Calibri;sans-serif"/>
          <w:color w:val="000000"/>
          <w:sz w:val="22"/>
        </w:rPr>
        <w:t>The amount to be recovered will be the excess of the Incentive Compensation received by the Covered Executive based on the erroneous data that led to the need for the Restatement, over the Incentive Compensation that would have been paid to the Covered Executive had it been based on the restated results, computed without regard to any taxes paid, all as determined by the Committee. If the Committee cannot determine the amount of excess Incentive Compensation received by the Covered Executive directly from the information in the Restatement, then it will make its determination based on a reasonable estimate of the effect of the Restatement. The Committee shall document the analysis underlying its reasonable estimate and provide such documentation to the NYSE as required. For purposes of this Policy, excess Incentive Compensation will be deemed to be received in the fiscal period during which the financial reporting measure specified in the applicable Incentive Compensation award is attained, even if the payment or grant occurs after the end of that period.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both"/>
        <w:rPr>
          <w:rFonts w:ascii="Calibri;sans-serif" w:hAnsi="Calibri;sans-serif"/>
          <w:color w:val="000000"/>
          <w:sz w:val="22"/>
        </w:rPr>
      </w:pPr>
      <w:r>
        <w:rPr>
          <w:rFonts w:ascii="Calibri;sans-serif" w:hAnsi="Calibri;sans-serif"/>
          <w:color w:val="000000"/>
          <w:sz w:val="22"/>
        </w:rPr>
        <w:t>For purposes of this Policy, the recoverable excess Incentive Compensation shall be all excess Incentive Compensation received on or after the Effective Date of this Policy set forth below by a Covered Executive: who served as an Executive Officer at any time during the performance period for the applicable Incentive Compensation, if the Company has a class of securities listed on a national securities exchange or a national securities association during such performance period or at any time 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w:t>
      </w:r>
    </w:p>
    <w:p>
      <w:pPr>
        <w:pStyle w:val="TextBody"/>
        <w:bidi w:val="0"/>
        <w:spacing w:before="19" w:after="283"/>
        <w:jc w:val="left"/>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For this purpose, the Company is deemed to be required to prepare a Restatement on the earlier of: (i) the date the Board, or the Company’s officers authorized to take such action if Board action is not required, concludes, or reasonably should have concluded, that the Company is required to prepare a Restatement; and/or (ii) the date a court, regulator or other legally authorized body directs the Company to prepare a Restatement. The Company’s obligation to recover excess Incentive Compensation is not dependent on if or when the restated financial statements are filed with the Securities and Exchange Commission (“SEC”).</w:t>
      </w:r>
    </w:p>
    <w:p>
      <w:pPr>
        <w:pStyle w:val="TextBody"/>
        <w:bidi w:val="0"/>
        <w:spacing w:before="20"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7.</w:t>
      </w:r>
    </w:p>
    <w:p>
      <w:pPr>
        <w:pStyle w:val="TextBody"/>
        <w:bidi w:val="0"/>
        <w:jc w:val="both"/>
        <w:rPr/>
      </w:pPr>
      <w:r>
        <w:rPr>
          <w:rFonts w:ascii="Calibri;sans-serif" w:hAnsi="Calibri;sans-serif"/>
          <w:b/>
          <w:color w:val="000000"/>
          <w:sz w:val="22"/>
        </w:rPr>
        <w:t xml:space="preserve">Method of Recoupment. </w:t>
      </w:r>
      <w:r>
        <w:rPr>
          <w:rFonts w:ascii="Calibri;sans-serif" w:hAnsi="Calibri;sans-serif"/>
          <w:color w:val="000000"/>
          <w:sz w:val="22"/>
        </w:rPr>
        <w:t>The Committee will determine, in its sole discretion, the method for recouping Incentive Compensation hereunder which may include, without limitation: requiring reimbursement of incentive cash compensation previously paid; seeking recovery of any gain realized on the vesting, exercise, settlement, sale, transfer, or other disposition of any equity-based awards; offsetting the recouped amount from any compensation otherwise owed by the Company to the Covered Executive; cancelling outstanding vested or unvested equity awards; and/or taking any other remedial and recovery action permitted by law, as determined by the Committee.</w:t>
      </w:r>
    </w:p>
    <w:p>
      <w:pPr>
        <w:pStyle w:val="TextBody"/>
        <w:bidi w:val="0"/>
        <w:spacing w:before="22"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8.</w:t>
      </w:r>
    </w:p>
    <w:p>
      <w:pPr>
        <w:pStyle w:val="TextBody"/>
        <w:bidi w:val="0"/>
        <w:jc w:val="both"/>
        <w:rPr/>
      </w:pPr>
      <w:r>
        <w:rPr>
          <w:rFonts w:ascii="Calibri;sans-serif" w:hAnsi="Calibri;sans-serif"/>
          <w:b/>
          <w:color w:val="000000"/>
          <w:sz w:val="22"/>
        </w:rPr>
        <w:t xml:space="preserve">No Indemnification. </w:t>
      </w:r>
      <w:r>
        <w:rPr>
          <w:rFonts w:ascii="Calibri;sans-serif" w:hAnsi="Calibri;sans-serif"/>
          <w:color w:val="000000"/>
          <w:sz w:val="22"/>
        </w:rPr>
        <w:t>The Company shall not indemnify any Covered Executives against the loss of any incorrectly awarded Incentive Compensation.</w:t>
      </w:r>
    </w:p>
    <w:p>
      <w:pPr>
        <w:pStyle w:val="TextBody"/>
        <w:bidi w:val="0"/>
        <w:spacing w:before="25"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9.</w:t>
      </w:r>
    </w:p>
    <w:p>
      <w:pPr>
        <w:pStyle w:val="TextBody"/>
        <w:bidi w:val="0"/>
        <w:jc w:val="both"/>
        <w:rPr/>
      </w:pPr>
      <w:r>
        <w:rPr>
          <w:rFonts w:ascii="Calibri;sans-serif" w:hAnsi="Calibri;sans-serif"/>
          <w:b/>
          <w:color w:val="000000"/>
          <w:sz w:val="22"/>
        </w:rPr>
        <w:t xml:space="preserve">Interpretation. </w:t>
      </w:r>
      <w:r>
        <w:rPr>
          <w:rFonts w:ascii="Calibri;sans-serif" w:hAnsi="Calibri;sans-serif"/>
          <w:color w:val="000000"/>
          <w:sz w:val="22"/>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and/or NYSE.</w:t>
      </w:r>
    </w:p>
    <w:p>
      <w:pPr>
        <w:pStyle w:val="TextBody"/>
        <w:bidi w:val="0"/>
        <w:spacing w:before="23"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10.</w:t>
      </w:r>
    </w:p>
    <w:p>
      <w:pPr>
        <w:pStyle w:val="TextBody"/>
        <w:bidi w:val="0"/>
        <w:jc w:val="both"/>
        <w:rPr/>
      </w:pPr>
      <w:r>
        <w:rPr>
          <w:rFonts w:ascii="Calibri;sans-serif" w:hAnsi="Calibri;sans-serif"/>
          <w:b/>
          <w:color w:val="000000"/>
          <w:sz w:val="22"/>
        </w:rPr>
        <w:t xml:space="preserve">Effective Date. </w:t>
      </w:r>
      <w:r>
        <w:rPr>
          <w:rFonts w:ascii="Calibri;sans-serif" w:hAnsi="Calibri;sans-serif"/>
          <w:color w:val="000000"/>
          <w:sz w:val="22"/>
        </w:rPr>
        <w:t>This Policy replaces the 2006 Executive Compensation Recovery Policy in its entirety, shall be effective on October 2, 2023, and shall apply to Incentive Compensation that is approved, awarded, or granted to Covered Executives on or after that date.</w:t>
      </w:r>
    </w:p>
    <w:p>
      <w:pPr>
        <w:pStyle w:val="TextBody"/>
        <w:bidi w:val="0"/>
        <w:spacing w:before="26"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11.</w:t>
      </w:r>
    </w:p>
    <w:p>
      <w:pPr>
        <w:pStyle w:val="TextBody"/>
        <w:bidi w:val="0"/>
        <w:jc w:val="both"/>
        <w:rPr/>
      </w:pPr>
      <w:r>
        <w:rPr>
          <w:rFonts w:ascii="Calibri;sans-serif" w:hAnsi="Calibri;sans-serif"/>
          <w:b/>
          <w:color w:val="000000"/>
          <w:sz w:val="22"/>
        </w:rPr>
        <w:t xml:space="preserve">Amendment; Termination. </w:t>
      </w:r>
      <w:r>
        <w:rPr>
          <w:rFonts w:ascii="Calibri;sans-serif" w:hAnsi="Calibri;sans-serif"/>
          <w:color w:val="000000"/>
          <w:sz w:val="22"/>
        </w:rPr>
        <w:t>The Committee may amend this Policy from time to time in its discretion and shall amend this Policy as it deems necessary to maintain compliance with the regulations adopted by the SEC and NYSE. The Committee may terminate this Policy at any time.</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12.</w:t>
      </w:r>
    </w:p>
    <w:p>
      <w:pPr>
        <w:pStyle w:val="TextBody"/>
        <w:bidi w:val="0"/>
        <w:jc w:val="both"/>
        <w:rPr/>
      </w:pPr>
      <w:r>
        <w:rPr>
          <w:rFonts w:ascii="Calibri;sans-serif" w:hAnsi="Calibri;sans-serif"/>
          <w:b/>
          <w:color w:val="000000"/>
          <w:sz w:val="22"/>
        </w:rPr>
        <w:t xml:space="preserve">Other Recoupment Rights. </w:t>
      </w:r>
      <w:r>
        <w:rPr>
          <w:rFonts w:ascii="Calibri;sans-serif" w:hAnsi="Calibri;sans-serif"/>
          <w:color w:val="000000"/>
          <w:sz w:val="22"/>
        </w:rPr>
        <w:t>The Committee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both"/>
        <w:rPr>
          <w:rFonts w:ascii="Calibri;sans-serif" w:hAnsi="Calibri;sans-serif"/>
          <w:color w:val="000000"/>
          <w:sz w:val="22"/>
        </w:rPr>
      </w:pPr>
      <w:r>
        <w:rPr>
          <w:rFonts w:ascii="Calibri;sans-serif" w:hAnsi="Calibri;sans-serif"/>
          <w:color w:val="000000"/>
          <w:sz w:val="22"/>
        </w:rPr>
        <w:t>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19"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13.</w:t>
      </w:r>
    </w:p>
    <w:p>
      <w:pPr>
        <w:pStyle w:val="TextBody"/>
        <w:bidi w:val="0"/>
        <w:spacing w:before="1" w:after="283"/>
        <w:jc w:val="both"/>
        <w:rPr/>
      </w:pPr>
      <w:r>
        <w:rPr>
          <w:rFonts w:ascii="Calibri;sans-serif" w:hAnsi="Calibri;sans-serif"/>
          <w:b/>
          <w:color w:val="000000"/>
          <w:sz w:val="22"/>
        </w:rPr>
        <w:t xml:space="preserve">Impracticability. </w:t>
      </w:r>
      <w:r>
        <w:rPr>
          <w:rFonts w:ascii="Calibri;sans-serif" w:hAnsi="Calibri;sans-serif"/>
          <w:color w:val="000000"/>
          <w:sz w:val="22"/>
        </w:rPr>
        <w:t>The Committee shall recover any excess Incentive Compensation in accordance with this Policy unless such recovery is impracticable, as determined by the Committee in accordance with SEC and NYSE rules.</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14.</w:t>
      </w:r>
    </w:p>
    <w:p>
      <w:pPr>
        <w:pStyle w:val="TextBody"/>
        <w:bidi w:val="0"/>
        <w:jc w:val="both"/>
        <w:rPr/>
      </w:pPr>
      <w:r>
        <w:rPr>
          <w:rFonts w:ascii="Calibri;sans-serif" w:hAnsi="Calibri;sans-serif"/>
          <w:b/>
          <w:color w:val="000000"/>
          <w:sz w:val="22"/>
        </w:rPr>
        <w:t xml:space="preserve">Successors. </w:t>
      </w:r>
      <w:r>
        <w:rPr>
          <w:rFonts w:ascii="Calibri;sans-serif" w:hAnsi="Calibri;sans-serif"/>
          <w:color w:val="000000"/>
          <w:sz w:val="22"/>
        </w:rPr>
        <w:t>This Policy shall be binding and enforceable against all Covered Executives and their beneficiaries, heirs, executors, administrators, or other legal representatives.</w:t>
      </w:r>
    </w:p>
    <w:p>
      <w:pPr>
        <w:pStyle w:val="TextBody"/>
        <w:bidi w:val="0"/>
        <w:jc w:val="left"/>
        <w:rPr/>
      </w:pPr>
      <w:r>
        <w:rPr/>
        <w:t> </w:t>
      </w:r>
    </w:p>
    <w:p>
      <w:pPr>
        <w:pStyle w:val="TextBody"/>
        <w:bidi w:val="0"/>
        <w:spacing w:before="37" w:after="283"/>
        <w:jc w:val="left"/>
        <w:rPr/>
      </w:pPr>
      <w:r>
        <w:rPr/>
        <w:t> </w:t>
      </w:r>
    </w:p>
    <w:p>
      <w:pPr>
        <w:pStyle w:val="TextBody"/>
        <w:bidi w:val="0"/>
        <w:spacing w:before="1" w:after="283"/>
        <w:jc w:val="center"/>
        <w:rPr>
          <w:rFonts w:ascii="Calibri;sans-serif" w:hAnsi="Calibri;sans-serif"/>
          <w:b/>
          <w:color w:val="000000"/>
          <w:sz w:val="22"/>
          <w:u w:val="single"/>
        </w:rPr>
      </w:pPr>
      <w:r>
        <w:rPr>
          <w:rFonts w:ascii="Calibri;sans-serif" w:hAnsi="Calibri;sans-serif"/>
          <w:b/>
          <w:color w:val="000000"/>
          <w:sz w:val="22"/>
          <w:u w:val="single"/>
        </w:rPr>
        <w:t>Acknowledgement</w:t>
      </w:r>
    </w:p>
    <w:p>
      <w:pPr>
        <w:pStyle w:val="TextBody"/>
        <w:bidi w:val="0"/>
        <w:spacing w:before="42" w:after="283"/>
        <w:jc w:val="left"/>
        <w:rPr/>
      </w:pPr>
      <w:r>
        <w:rPr/>
        <w:t> </w:t>
      </w:r>
    </w:p>
    <w:p>
      <w:pPr>
        <w:pStyle w:val="TextBody"/>
        <w:bidi w:val="0"/>
        <w:spacing w:before="1" w:after="283"/>
        <w:jc w:val="both"/>
        <w:rPr>
          <w:rFonts w:ascii="Calibri;sans-serif" w:hAnsi="Calibri;sans-serif"/>
          <w:color w:val="000000"/>
          <w:sz w:val="22"/>
        </w:rPr>
      </w:pPr>
      <w:r>
        <w:rPr>
          <w:rFonts w:ascii="Calibri;sans-serif" w:hAnsi="Calibri;sans-serif"/>
          <w:color w:val="000000"/>
          <w:sz w:val="22"/>
        </w:rPr>
        <w:t>By signing below, the undersigned Covered Executive acknowledges that: (a) they have received and reviewed a copy of this Policy; (b) they are and will continue to be subject to the Policy both during and after their employment with the Company; and (c) they will abide by the terms of the Policy, including, without limitation, by returning any excess Incentive Compensation to the Company to the extent required by, and in a manner consistent with, the Policy.</w:t>
      </w:r>
    </w:p>
    <w:p>
      <w:pPr>
        <w:pStyle w:val="TextBody"/>
        <w:bidi w:val="0"/>
        <w:jc w:val="left"/>
        <w:rPr/>
      </w:pPr>
      <w:r>
        <w:rPr/>
        <w:t> </w:t>
      </w:r>
    </w:p>
    <w:p>
      <w:pPr>
        <w:pStyle w:val="TextBody"/>
        <w:bidi w:val="0"/>
        <w:spacing w:before="19" w:after="283"/>
        <w:jc w:val="left"/>
        <w:rPr/>
      </w:pPr>
      <w:r>
        <w:rPr/>
        <w:t> </w:t>
      </w:r>
    </w:p>
    <w:p>
      <w:pPr>
        <w:pStyle w:val="TextBody"/>
        <w:bidi w:val="0"/>
        <w:spacing w:before="39" w:after="283"/>
        <w:jc w:val="center"/>
        <w:rPr>
          <w:rFonts w:ascii="Calibri;sans-serif" w:hAnsi="Calibri;sans-serif"/>
          <w:color w:val="000000"/>
          <w:sz w:val="22"/>
        </w:rPr>
      </w:pPr>
      <w:r>
        <w:rPr>
          <w:rFonts w:ascii="Calibri;sans-serif" w:hAnsi="Calibri;sans-serif"/>
          <w:color w:val="000000"/>
          <w:sz w:val="22"/>
        </w:rPr>
        <w:t>Signature</w:t>
      </w:r>
    </w:p>
    <w:p>
      <w:pPr>
        <w:pStyle w:val="TextBody"/>
        <w:bidi w:val="0"/>
        <w:jc w:val="left"/>
        <w:rPr/>
      </w:pPr>
      <w:r>
        <w:rPr/>
        <w:t> </w:t>
      </w:r>
    </w:p>
    <w:p>
      <w:pPr>
        <w:pStyle w:val="TextBody"/>
        <w:bidi w:val="0"/>
        <w:spacing w:before="41" w:after="283"/>
        <w:jc w:val="left"/>
        <w:rPr/>
      </w:pPr>
      <w:r>
        <w:rPr/>
        <w:t> </w:t>
      </w:r>
    </w:p>
    <w:p>
      <w:pPr>
        <w:pStyle w:val="TextBody"/>
        <w:bidi w:val="0"/>
        <w:spacing w:before="39" w:after="283"/>
        <w:jc w:val="center"/>
        <w:rPr>
          <w:rFonts w:ascii="Calibri;sans-serif" w:hAnsi="Calibri;sans-serif"/>
          <w:color w:val="000000"/>
          <w:sz w:val="22"/>
        </w:rPr>
      </w:pPr>
      <w:r>
        <w:rPr>
          <w:rFonts w:ascii="Calibri;sans-serif" w:hAnsi="Calibri;sans-serif"/>
          <w:color w:val="000000"/>
          <w:sz w:val="22"/>
        </w:rPr>
        <w:t>Print Name</w:t>
      </w:r>
    </w:p>
    <w:p>
      <w:pPr>
        <w:pStyle w:val="TextBody"/>
        <w:bidi w:val="0"/>
        <w:jc w:val="left"/>
        <w:rPr/>
      </w:pPr>
      <w:r>
        <w:rPr/>
        <w:t> </w:t>
      </w:r>
    </w:p>
    <w:p>
      <w:pPr>
        <w:pStyle w:val="TextBody"/>
        <w:bidi w:val="0"/>
        <w:spacing w:before="41" w:after="283"/>
        <w:jc w:val="left"/>
        <w:rPr/>
      </w:pPr>
      <w:r>
        <w:rPr/>
        <w:t> </w:t>
      </w:r>
    </w:p>
    <w:p>
      <w:pPr>
        <w:pStyle w:val="TextBody"/>
        <w:bidi w:val="0"/>
        <w:spacing w:before="43" w:after="283"/>
        <w:jc w:val="center"/>
        <w:rPr>
          <w:rFonts w:ascii="Calibri;sans-serif" w:hAnsi="Calibri;sans-serif"/>
          <w:color w:val="000000"/>
          <w:sz w:val="22"/>
        </w:rPr>
      </w:pPr>
      <w:r>
        <w:rPr>
          <w:rFonts w:ascii="Calibri;sans-serif" w:hAnsi="Calibri;sans-serif"/>
          <w:color w:val="000000"/>
          <w:sz w:val="22"/>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49870/000119312519143046/d689622dex21.htm" TargetMode="External"/><Relationship Id="rId4" Type="http://schemas.openxmlformats.org/officeDocument/2006/relationships/hyperlink" Target="https://www.sec.gov/Archives/edgar/data/949870/000119312519143046/d689622dex22.htm" TargetMode="External"/><Relationship Id="rId5" Type="http://schemas.openxmlformats.org/officeDocument/2006/relationships/hyperlink" Target="https://www.sec.gov/Archives/edgar/data/949870/000119312519143046/d689622dex23.htm" TargetMode="External"/><Relationship Id="rId6" Type="http://schemas.openxmlformats.org/officeDocument/2006/relationships/hyperlink" Target="https://www.sec.gov/Archives/edgar/data/949870/0000927016-98-002984.txt" TargetMode="External"/><Relationship Id="rId7" Type="http://schemas.openxmlformats.org/officeDocument/2006/relationships/hyperlink" Target="https://www.sec.gov/Archives/edgar/data/949870/0000927016-98-002984.txt" TargetMode="External"/><Relationship Id="rId8" Type="http://schemas.openxmlformats.org/officeDocument/2006/relationships/hyperlink" Target="https://www.sec.gov/Archives/edgar/data/949870/000119312520041944/d860744dex42.htm" TargetMode="External"/><Relationship Id="rId9" Type="http://schemas.openxmlformats.org/officeDocument/2006/relationships/hyperlink" Target="https://www.sec.gov/Archives/edgar/data/949870/000095013505002577/b54791bbexv10w47.txt" TargetMode="External"/><Relationship Id="rId10" Type="http://schemas.openxmlformats.org/officeDocument/2006/relationships/hyperlink" Target="https://www.sec.gov/Archives/edgar/data/949870/000095013507003045/b65196bbexv10w57.txt" TargetMode="External"/><Relationship Id="rId11" Type="http://schemas.openxmlformats.org/officeDocument/2006/relationships/hyperlink" Target="https://www.sec.gov/Archives/edgar/data/949870/000095013506003417/b60650bbexv10w50.htm" TargetMode="External"/><Relationship Id="rId12" Type="http://schemas.openxmlformats.org/officeDocument/2006/relationships/hyperlink" Target="https://www.sec.gov/Archives/edgar/data/949870/000119312516468386/d101022dex1010.htm" TargetMode="External"/><Relationship Id="rId13" Type="http://schemas.openxmlformats.org/officeDocument/2006/relationships/hyperlink" Target="https://www.sec.gov/Archives/edgar/data/949870/000156459021006397/sam-ex109_605.htm" TargetMode="External"/><Relationship Id="rId14" Type="http://schemas.openxmlformats.org/officeDocument/2006/relationships/hyperlink" Target="https://www.sec.gov/Archives/edgar/data/949870/000119312516653731/d221116dex101.htm" TargetMode="External"/><Relationship Id="rId15" Type="http://schemas.openxmlformats.org/officeDocument/2006/relationships/hyperlink" Target="https://www.sec.gov/Archives/edgar/data/949870/000156459018031298/sam-ex101_8.htm" TargetMode="External"/><Relationship Id="rId16" Type="http://schemas.openxmlformats.org/officeDocument/2006/relationships/hyperlink" Target="https://www.sec.gov/Archives/edgar/data/949870/000129993318000166/exhibit1.htm" TargetMode="External"/><Relationship Id="rId17" Type="http://schemas.openxmlformats.org/officeDocument/2006/relationships/hyperlink" Target="https://www.sec.gov/Archives/edgar/data/949870/000095012319006635/d763589dex103.htm" TargetMode="External"/><Relationship Id="rId18" Type="http://schemas.openxmlformats.org/officeDocument/2006/relationships/hyperlink" Target="https://www.sec.gov/Archives/edgar/data/949870/000119312516468386/d101022dex1016.htm" TargetMode="External"/><Relationship Id="rId19" Type="http://schemas.openxmlformats.org/officeDocument/2006/relationships/hyperlink" Target="https://www.sec.gov/Archives/edgar/data/949870/000095012319006635/d763589dex101.htm" TargetMode="External"/><Relationship Id="rId20" Type="http://schemas.openxmlformats.org/officeDocument/2006/relationships/hyperlink" Target="https://www.sec.gov/Archives/edgar/data/949870/000095012319006635/d763589dex102.htm" TargetMode="External"/><Relationship Id="rId21" Type="http://schemas.openxmlformats.org/officeDocument/2006/relationships/hyperlink" Target="https://www.sec.gov/Archives/edgar/data/949870/000156459022039622/sam-ex101_9.htm" TargetMode="External"/><Relationship Id="rId22" Type="http://schemas.openxmlformats.org/officeDocument/2006/relationships/hyperlink" Target="https://www.sec.gov/Archives/edgar/data/949870/000156459019009344/sam-8k_20190326.htm" TargetMode="External"/><Relationship Id="rId23" Type="http://schemas.openxmlformats.org/officeDocument/2006/relationships/hyperlink" Target="https://www.sec.gov/Archives/edgar/data/949870/000156459019009344/sam-8k_20190326.htm" TargetMode="External"/><Relationship Id="rId24" Type="http://schemas.openxmlformats.org/officeDocument/2006/relationships/hyperlink" Target="https://www.sec.gov/Archives/edgar/data/949870/000156459023007304/sam-ex101_8.htm" TargetMode="External"/><Relationship Id="rId25" Type="http://schemas.openxmlformats.org/officeDocument/2006/relationships/hyperlink" Target="https://www.sec.gov/Archives/edgar/data/949870/000156459023007377/sam-ex101_7.htm" TargetMode="External"/><Relationship Id="rId26" Type="http://schemas.openxmlformats.org/officeDocument/2006/relationships/hyperlink" Target="https://www.sec.gov/Archives/edgar/data/949870/000156459023007377/sam-ex101_7.htm" TargetMode="External"/><Relationship Id="rId27" Type="http://schemas.openxmlformats.org/officeDocument/2006/relationships/hyperlink" Target="https://www.sec.gov/Archives/edgar/data/949870/000095017023034065/sam-ex10_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49503</Words>
  <Characters>274898</Characters>
  <CharactersWithSpaces>326203</CharactersWithSpaces>
  <Paragraphs>8285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