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181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1817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57"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O'Boyle Carolyn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500"/>
        <w:spacing w:after="0" w:line="344" w:lineRule="auto"/>
        <w:rPr>
          <w:sz w:val="20"/>
          <w:szCs w:val="20"/>
          <w:color w:val="auto"/>
        </w:rPr>
      </w:pPr>
      <w:r>
        <w:rPr>
          <w:rFonts w:ascii="Times New Roman" w:cs="Times New Roman" w:eastAsia="Times New Roman" w:hAnsi="Times New Roman"/>
          <w:sz w:val="17"/>
          <w:szCs w:val="17"/>
          <w:color w:val="0000FF"/>
        </w:rPr>
        <w:t>ONE DESIGN CENTER PLACE, SUITE 850 C/O THE BOSTON BEER COMPANY</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02210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BOSTON BEER CO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SAM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03/01/2024</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Chief People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5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Class A Common</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03/01/2024</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53"/>
              <w:spacing w:after="0"/>
              <w:rPr>
                <w:sz w:val="20"/>
                <w:szCs w:val="20"/>
                <w:color w:val="auto"/>
              </w:rPr>
            </w:pPr>
            <w:r>
              <w:rPr>
                <w:rFonts w:ascii="Times New Roman" w:cs="Times New Roman" w:eastAsia="Times New Roman" w:hAnsi="Times New Roman"/>
                <w:sz w:val="17"/>
                <w:szCs w:val="17"/>
                <w:color w:val="0000FF"/>
              </w:rPr>
              <w:t>102</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308.45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2,528</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Class A Common</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03/01/2024</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(3)</w:t>
            </w:r>
          </w:p>
        </w:tc>
        <w:tc>
          <w:tcPr>
            <w:tcW w:w="680" w:type="dxa"/>
            <w:vAlign w:val="bottom"/>
            <w:tcBorders>
              <w:bottom w:val="single" w:sz="8" w:color="2C2C2C"/>
            </w:tcBorders>
          </w:tcPr>
          <w:p>
            <w:pPr>
              <w:jc w:val="center"/>
              <w:ind w:left="153"/>
              <w:spacing w:after="0"/>
              <w:rPr>
                <w:sz w:val="20"/>
                <w:szCs w:val="20"/>
                <w:color w:val="auto"/>
              </w:rPr>
            </w:pPr>
            <w:r>
              <w:rPr>
                <w:rFonts w:ascii="Times New Roman" w:cs="Times New Roman" w:eastAsia="Times New Roman" w:hAnsi="Times New Roman"/>
                <w:sz w:val="17"/>
                <w:szCs w:val="17"/>
                <w:color w:val="0000FF"/>
              </w:rPr>
              <w:t>361</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308.14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2,167</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Class A Common</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03/01/2024</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(4)</w:t>
            </w:r>
          </w:p>
        </w:tc>
        <w:tc>
          <w:tcPr>
            <w:tcW w:w="680" w:type="dxa"/>
            <w:vAlign w:val="bottom"/>
            <w:tcBorders>
              <w:bottom w:val="single" w:sz="8" w:color="2C2C2C"/>
            </w:tcBorders>
          </w:tcPr>
          <w:p>
            <w:pPr>
              <w:jc w:val="center"/>
              <w:ind w:left="153"/>
              <w:spacing w:after="0"/>
              <w:rPr>
                <w:sz w:val="20"/>
                <w:szCs w:val="20"/>
                <w:color w:val="auto"/>
              </w:rPr>
            </w:pPr>
            <w:r>
              <w:rPr>
                <w:rFonts w:ascii="Times New Roman" w:cs="Times New Roman" w:eastAsia="Times New Roman" w:hAnsi="Times New Roman"/>
                <w:sz w:val="17"/>
                <w:szCs w:val="17"/>
                <w:color w:val="0000FF"/>
                <w:w w:val="99"/>
              </w:rPr>
              <w:t>4,868</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7,035</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March 2,</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0000FF"/>
              </w:rPr>
              <w:t>2020</w:t>
            </w:r>
          </w:p>
        </w:tc>
        <w:tc>
          <w:tcPr>
            <w:tcW w:w="780" w:type="dxa"/>
            <w:vAlign w:val="bottom"/>
            <w:vMerge w:val="restart"/>
          </w:tcPr>
          <w:p>
            <w:pPr>
              <w:jc w:val="center"/>
              <w:ind w:righ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370.79</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03/01/2024</w:t>
            </w:r>
          </w:p>
        </w:tc>
        <w:tc>
          <w:tcPr>
            <w:tcW w:w="1140" w:type="dxa"/>
            <w:vAlign w:val="bottom"/>
          </w:tcPr>
          <w:p>
            <w:pPr>
              <w:spacing w:after="0"/>
              <w:rPr>
                <w:sz w:val="11"/>
                <w:szCs w:val="11"/>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46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2,344</w:t>
            </w:r>
          </w:p>
        </w:tc>
        <w:tc>
          <w:tcPr>
            <w:tcW w:w="320" w:type="dxa"/>
            <w:vAlign w:val="bottom"/>
          </w:tcPr>
          <w:p>
            <w:pPr>
              <w:spacing w:after="0"/>
              <w:rPr>
                <w:sz w:val="11"/>
                <w:szCs w:val="11"/>
                <w:color w:val="auto"/>
              </w:rPr>
            </w:pPr>
          </w:p>
        </w:tc>
        <w:tc>
          <w:tcPr>
            <w:tcW w:w="860" w:type="dxa"/>
            <w:vAlign w:val="bottom"/>
            <w:gridSpan w:val="2"/>
          </w:tcPr>
          <w:p>
            <w:pPr>
              <w:jc w:val="right"/>
              <w:ind w:right="64"/>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02/28/2030</w:t>
            </w:r>
          </w:p>
        </w:tc>
        <w:tc>
          <w:tcPr>
            <w:tcW w:w="66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7,030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7,030</w:t>
            </w:r>
          </w:p>
        </w:tc>
        <w:tc>
          <w:tcPr>
            <w:tcW w:w="280" w:type="dxa"/>
            <w:vAlign w:val="bottom"/>
          </w:tcPr>
          <w:p>
            <w:pPr>
              <w:spacing w:after="0"/>
              <w:rPr>
                <w:sz w:val="11"/>
                <w:szCs w:val="11"/>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2"/>
          </w:tcPr>
          <w:p>
            <w:pPr>
              <w:jc w:val="right"/>
              <w:ind w:right="184"/>
              <w:spacing w:after="0"/>
              <w:rPr>
                <w:sz w:val="20"/>
                <w:szCs w:val="20"/>
                <w:color w:val="auto"/>
              </w:rPr>
            </w:pPr>
            <w:r>
              <w:rPr>
                <w:rFonts w:ascii="Times New Roman" w:cs="Times New Roman" w:eastAsia="Times New Roman" w:hAnsi="Times New Roman"/>
                <w:sz w:val="13"/>
                <w:szCs w:val="13"/>
                <w:color w:val="0000FF"/>
              </w:rPr>
              <w:t>03/01/2022</w:t>
            </w:r>
          </w:p>
        </w:tc>
        <w:tc>
          <w:tcPr>
            <w:tcW w:w="680" w:type="dxa"/>
            <w:vAlign w:val="bottom"/>
            <w:vMerge w:val="continue"/>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March 1,</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2021</w:t>
            </w:r>
          </w:p>
        </w:tc>
        <w:tc>
          <w:tcPr>
            <w:tcW w:w="780" w:type="dxa"/>
            <w:vAlign w:val="bottom"/>
          </w:tcPr>
          <w:p>
            <w:pPr>
              <w:jc w:val="center"/>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1,028.71</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03/01/2024</w:t>
            </w:r>
          </w:p>
        </w:tc>
        <w:tc>
          <w:tcPr>
            <w:tcW w:w="114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7"/>
                <w:szCs w:val="17"/>
                <w:color w:val="auto"/>
              </w:rPr>
            </w:pP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13"/>
                <w:szCs w:val="13"/>
                <w:color w:val="0000FF"/>
              </w:rPr>
              <w:t>156</w:t>
            </w:r>
          </w:p>
        </w:tc>
        <w:tc>
          <w:tcPr>
            <w:tcW w:w="320" w:type="dxa"/>
            <w:vAlign w:val="bottom"/>
          </w:tcPr>
          <w:p>
            <w:pPr>
              <w:spacing w:after="0"/>
              <w:rPr>
                <w:sz w:val="17"/>
                <w:szCs w:val="17"/>
                <w:color w:val="auto"/>
              </w:rPr>
            </w:pPr>
          </w:p>
        </w:tc>
        <w:tc>
          <w:tcPr>
            <w:tcW w:w="860" w:type="dxa"/>
            <w:vAlign w:val="bottom"/>
            <w:gridSpan w:val="2"/>
          </w:tcPr>
          <w:p>
            <w:pPr>
              <w:jc w:val="right"/>
              <w:ind w:right="64"/>
              <w:spacing w:after="0" w:line="207" w:lineRule="exact"/>
              <w:rPr>
                <w:sz w:val="20"/>
                <w:szCs w:val="20"/>
                <w:color w:val="auto"/>
              </w:rPr>
            </w:pPr>
            <w:r>
              <w:rPr>
                <w:rFonts w:ascii="Times New Roman" w:cs="Times New Roman" w:eastAsia="Times New Roman" w:hAnsi="Times New Roman"/>
                <w:sz w:val="13"/>
                <w:szCs w:val="13"/>
                <w:color w:val="0000FF"/>
                <w:w w:val="95"/>
              </w:rPr>
              <w:t>03/01/2023</w:t>
            </w:r>
            <w:r>
              <w:rPr>
                <w:rFonts w:ascii="Times New Roman" w:cs="Times New Roman" w:eastAsia="Times New Roman" w:hAnsi="Times New Roman"/>
                <w:sz w:val="21"/>
                <w:szCs w:val="21"/>
                <w:color w:val="008000"/>
                <w:w w:val="95"/>
                <w:vertAlign w:val="superscript"/>
              </w:rPr>
              <w:t>(6)</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02/28/2031</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7"/>
                <w:szCs w:val="17"/>
                <w:color w:val="0000FF"/>
              </w:rPr>
              <w:t>467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3"/>
                <w:szCs w:val="13"/>
                <w:color w:val="0000FF"/>
              </w:rPr>
              <w:t>467</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Common</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row were effectuated pursuant to a Rule 10b5-1 trading plan adopted by the Reporting Person on August 14, 2023.</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5,913 shares of restricted stock subject to vesting conditions.</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net withheld the vesting of a percentage of shares to satisfy the tax obligations of the Reporting Person flowing from the vesting of Restricted Stock Units ("RSUs") and investment shares. The Reporting Person had a total of 1,104 RSUs and 26 investment shares vest on March 1, 2024.</w:t>
      </w:r>
    </w:p>
    <w:p>
      <w:pPr>
        <w:spacing w:after="0" w:line="16"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grants of Restricted Stock Units ("RSUs") under the Issuer's Restated Employee Equity Incentive Plan ("EEIP"). The details of these grants were disclosed in a Current Report on Form 8-K filed by the Issuer on February 22, 2024.</w:t>
      </w:r>
    </w:p>
    <w:p>
      <w:pPr>
        <w:spacing w:after="0" w:line="16" w:lineRule="exact"/>
        <w:rPr>
          <w:rFonts w:ascii="Times New Roman" w:cs="Times New Roman" w:eastAsia="Times New Roman" w:hAnsi="Times New Roman"/>
          <w:sz w:val="13"/>
          <w:szCs w:val="13"/>
          <w:color w:val="008000"/>
        </w:rPr>
      </w:pPr>
    </w:p>
    <w:p>
      <w:pPr>
        <w:ind w:left="40" w:right="1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Performance-Based Stock Options were granted pursuant to the Issuer's Employee Equity Incentive Plan ("EEIP") on March 2, 2020. The extent to which the options were exercisable was dependent upon the Company achieving certain compounded annual growth rate targets based on net revenue growth in Fiscal Year 2021 over Fiscal Year 2019. In February 2022, the Compensation Committee determined that the performance criteria had been achieved, and as such the options vested in three equal installments on March 1 in the years 2022-2024.</w:t>
      </w:r>
    </w:p>
    <w:p>
      <w:pPr>
        <w:spacing w:after="0" w:line="25" w:lineRule="exact"/>
        <w:rPr>
          <w:rFonts w:ascii="Times New Roman" w:cs="Times New Roman" w:eastAsia="Times New Roman" w:hAnsi="Times New Roman"/>
          <w:sz w:val="13"/>
          <w:szCs w:val="13"/>
          <w:color w:val="008000"/>
        </w:rPr>
      </w:pPr>
    </w:p>
    <w:p>
      <w:pPr>
        <w:jc w:val="both"/>
        <w:ind w:left="40" w:right="18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Performance-Based Stock Options were granted pursuant to the Issuer's EEIP on March 1, 2021. The extent to which the options were exercisable was dependent upon the Company achieving certain compounded annual growth rate targets based on net revenue growth in Fiscal Year 2022 over Fiscal Year 2020. In February 2023, the Compensation Committee determined that the performance criteria had been achieved, and as such the options vest in three equal installments on March 1 in the years 2023-2025, provided that the Reporting Person remains employed by the Company on the applicable vesting dates, and subject to accelerated vesting in certain situations.</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Michael G. Andrews under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160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POA for the benefit of Carolyn 03/04/2024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L. O'Boyle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469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57" w:gutter="0" w:footer="0" w:header="0"/>
          <w:type w:val="continuous"/>
        </w:sectPr>
      </w:pPr>
    </w:p>
    <w:bookmarkStart w:id="1" w:name="page2"/>
    <w:bookmarkEnd w:id="1"/>
    <w:p>
      <w:pPr>
        <w:spacing w:after="0" w:line="22"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LIMITED POWER OF ATTORNEY</w:t>
      </w:r>
    </w:p>
    <w:p>
      <w:pPr>
        <w:spacing w:after="0" w:line="31"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65" w:lineRule="exact"/>
        <w:rPr>
          <w:sz w:val="20"/>
          <w:szCs w:val="20"/>
          <w:color w:val="auto"/>
        </w:rPr>
      </w:pPr>
    </w:p>
    <w:p>
      <w:pPr>
        <w:ind w:right="3039" w:firstLine="604"/>
        <w:spacing w:after="0" w:line="269" w:lineRule="auto"/>
        <w:rPr>
          <w:sz w:val="20"/>
          <w:szCs w:val="20"/>
          <w:color w:val="auto"/>
        </w:rPr>
      </w:pPr>
      <w:r>
        <w:rPr>
          <w:rFonts w:ascii="Courier New" w:cs="Courier New" w:eastAsia="Courier New" w:hAnsi="Courier New"/>
          <w:sz w:val="17"/>
          <w:szCs w:val="17"/>
          <w:color w:val="auto"/>
        </w:rPr>
        <w:t>The undersigned hereby constitutes and appoints each of Michael G. Andrews, Tara L. Heath, Frank H. Smalla, and Matthew D. Murphy of The Boston Beer Company, Inc. ("Boston Beer"), or any one of them acting singly and with full power of substitution, the undersigned's true and lawful attorney-in-fact to:</w:t>
      </w:r>
    </w:p>
    <w:p>
      <w:pPr>
        <w:spacing w:after="0" w:line="83" w:lineRule="exact"/>
        <w:rPr>
          <w:sz w:val="20"/>
          <w:szCs w:val="20"/>
          <w:color w:val="auto"/>
        </w:rPr>
      </w:pPr>
    </w:p>
    <w:p>
      <w:pPr>
        <w:ind w:right="3039" w:firstLine="607"/>
        <w:spacing w:after="0" w:line="250" w:lineRule="auto"/>
        <w:tabs>
          <w:tab w:leader="none" w:pos="100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or both of Boston Beer, Forms 3, 4, and 5 (and any amendments thereto) in accordance with Section 16(a) of the Securities Exchange Act of 1934, as amended</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Act"), and the rules thereunder;</w:t>
      </w:r>
    </w:p>
    <w:p>
      <w:pPr>
        <w:spacing w:after="0" w:line="164" w:lineRule="exact"/>
        <w:rPr>
          <w:rFonts w:ascii="Courier New" w:cs="Courier New" w:eastAsia="Courier New" w:hAnsi="Courier New"/>
          <w:sz w:val="17"/>
          <w:szCs w:val="17"/>
          <w:color w:val="auto"/>
        </w:rPr>
      </w:pPr>
    </w:p>
    <w:p>
      <w:pPr>
        <w:ind w:right="3039" w:firstLine="607"/>
        <w:spacing w:after="0" w:line="255" w:lineRule="auto"/>
        <w:tabs>
          <w:tab w:leader="none" w:pos="100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 including without limitation the filing of a Form ID or any other documents necessary or appropriate to enable the undersigned to file the Forms 3, 4, and 5 electronically with the SEC;</w:t>
      </w:r>
    </w:p>
    <w:p>
      <w:pPr>
        <w:spacing w:after="0" w:line="94" w:lineRule="exact"/>
        <w:rPr>
          <w:rFonts w:ascii="Courier New" w:cs="Courier New" w:eastAsia="Courier New" w:hAnsi="Courier New"/>
          <w:sz w:val="17"/>
          <w:szCs w:val="17"/>
          <w:color w:val="auto"/>
        </w:rPr>
      </w:pPr>
    </w:p>
    <w:p>
      <w:pPr>
        <w:ind w:right="3039" w:firstLine="607"/>
        <w:spacing w:after="0" w:line="257" w:lineRule="auto"/>
        <w:tabs>
          <w:tab w:leader="none" w:pos="100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Boston Beer's securities from any third party, including brokers, employee benefit plan administrators, and trustees, and the undersigned hereby authorizes any such person to release any such information to each of the undersigned's attorneys-in-fact appointed by this Limited Power of Attorney and approves and ratifies any such release of information; and</w:t>
      </w:r>
    </w:p>
    <w:p>
      <w:pPr>
        <w:spacing w:after="0" w:line="93" w:lineRule="exact"/>
        <w:rPr>
          <w:rFonts w:ascii="Courier New" w:cs="Courier New" w:eastAsia="Courier New" w:hAnsi="Courier New"/>
          <w:sz w:val="17"/>
          <w:szCs w:val="17"/>
          <w:color w:val="auto"/>
        </w:rPr>
      </w:pPr>
    </w:p>
    <w:p>
      <w:pPr>
        <w:ind w:right="3039" w:firstLine="607"/>
        <w:spacing w:after="0" w:line="257" w:lineRule="auto"/>
        <w:tabs>
          <w:tab w:leader="none" w:pos="100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reasonable discretion.</w:t>
      </w:r>
    </w:p>
    <w:p>
      <w:pPr>
        <w:spacing w:after="0" w:line="93" w:lineRule="exact"/>
        <w:rPr>
          <w:sz w:val="20"/>
          <w:szCs w:val="20"/>
          <w:color w:val="auto"/>
        </w:rPr>
      </w:pPr>
    </w:p>
    <w:p>
      <w:pPr>
        <w:ind w:right="2939" w:firstLine="604"/>
        <w:spacing w:after="0" w:line="253"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100" w:lineRule="exact"/>
        <w:rPr>
          <w:sz w:val="20"/>
          <w:szCs w:val="20"/>
          <w:color w:val="auto"/>
        </w:rPr>
      </w:pPr>
    </w:p>
    <w:p>
      <w:pPr>
        <w:ind w:right="3039" w:firstLine="604"/>
        <w:spacing w:after="0" w:line="263" w:lineRule="auto"/>
        <w:rPr>
          <w:sz w:val="20"/>
          <w:szCs w:val="20"/>
          <w:color w:val="auto"/>
        </w:rPr>
      </w:pPr>
      <w:r>
        <w:rPr>
          <w:rFonts w:ascii="Courier New" w:cs="Courier New" w:eastAsia="Courier New" w:hAnsi="Courier New"/>
          <w:sz w:val="17"/>
          <w:szCs w:val="17"/>
          <w:color w:val="auto"/>
        </w:rPr>
        <w:t>The undersigned acknowledges that the foregoing attorneys-in-fact, in serving in such capacity at the request and on the behalf of the undersigned, are not assuming, nor is Boston Beer assuming, any of the undersigned's responsibilities to comply with, or any liability for the failure to comply with, any provision of Section 16 of the Exchange Act.</w:t>
      </w:r>
    </w:p>
    <w:p>
      <w:pPr>
        <w:spacing w:after="0" w:line="89" w:lineRule="exact"/>
        <w:rPr>
          <w:sz w:val="20"/>
          <w:szCs w:val="20"/>
          <w:color w:val="auto"/>
        </w:rPr>
      </w:pPr>
    </w:p>
    <w:p>
      <w:pPr>
        <w:ind w:right="3039" w:firstLine="604"/>
        <w:spacing w:after="0" w:line="25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or 5 with respect to the undersigned's holdings of and transactions in securities issued by Boston Beer, unless earlier revoked by the undersigned in a signed writing delivered to the relevant attorney-in-fact. Notwithstanding the foregoing, this Limited Power of Attorney shall be automatically revoked with respect to any of the particular attorneys-in-fact in the event that such attorney-in-fact is no longer employed by Boston Beer. This Limited Power of Attorney shall not be affected by the undersigned's subsequent disability or incapacity.</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EXECUTED as a sealed instrument this 2nd day of March, 2020.</w:t>
      </w:r>
    </w:p>
    <w:p>
      <w:pPr>
        <w:spacing w:after="0" w:line="388"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/Carolyn L. O'Boyle/</w:t>
      </w:r>
    </w:p>
    <w:p>
      <w:pPr>
        <w:spacing w:after="0" w:line="31"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____________________</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Signature</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Carolyn L. O'Boyle, Cheif People Officer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Courier New" w:cs="Courier New" w:eastAsia="Courier New" w:hAnsi="Courier New"/>
                <w:sz w:val="17"/>
                <w:szCs w:val="17"/>
                <w:color w:val="auto"/>
              </w:rPr>
              <w:t>COMMONWEALTH OF MASSACHUSETTS</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980" w:type="dxa"/>
            <w:vAlign w:val="bottom"/>
            <w:vMerge w:val="restart"/>
          </w:tcPr>
          <w:p>
            <w:pPr>
              <w:spacing w:after="0"/>
              <w:rPr>
                <w:sz w:val="20"/>
                <w:szCs w:val="20"/>
                <w:color w:val="auto"/>
              </w:rPr>
            </w:pPr>
            <w:r>
              <w:rPr>
                <w:rFonts w:ascii="Courier New" w:cs="Courier New" w:eastAsia="Courier New" w:hAnsi="Courier New"/>
                <w:sz w:val="17"/>
                <w:szCs w:val="17"/>
                <w:color w:val="auto"/>
              </w:rPr>
              <w:t>COUNTY OF SUFFOLK</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ind w:left="40"/>
              <w:spacing w:after="0"/>
              <w:rPr>
                <w:sz w:val="20"/>
                <w:szCs w:val="20"/>
                <w:color w:val="auto"/>
              </w:rPr>
            </w:pPr>
            <w:r>
              <w:rPr>
                <w:rFonts w:ascii="Courier New" w:cs="Courier New" w:eastAsia="Courier New" w:hAnsi="Courier New"/>
                <w:sz w:val="17"/>
                <w:szCs w:val="17"/>
                <w:color w:val="auto"/>
              </w:rPr>
              <w:t>ss.</w:t>
            </w:r>
          </w:p>
        </w:tc>
        <w:tc>
          <w:tcPr>
            <w:tcW w:w="0" w:type="dxa"/>
            <w:vAlign w:val="bottom"/>
          </w:tcPr>
          <w:p>
            <w:pPr>
              <w:spacing w:after="0"/>
              <w:rPr>
                <w:sz w:val="1"/>
                <w:szCs w:val="1"/>
                <w:color w:val="auto"/>
              </w:rPr>
            </w:pPr>
          </w:p>
        </w:tc>
      </w:tr>
      <w:tr>
        <w:trPr>
          <w:trHeight w:val="282"/>
        </w:trPr>
        <w:tc>
          <w:tcPr>
            <w:tcW w:w="298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ind w:left="440"/>
              <w:spacing w:after="0"/>
              <w:rPr>
                <w:sz w:val="20"/>
                <w:szCs w:val="20"/>
                <w:color w:val="auto"/>
              </w:rPr>
            </w:pPr>
            <w:r>
              <w:rPr>
                <w:rFonts w:ascii="Courier New" w:cs="Courier New" w:eastAsia="Courier New" w:hAnsi="Courier New"/>
                <w:sz w:val="17"/>
                <w:szCs w:val="17"/>
                <w:color w:val="auto"/>
                <w:w w:val="98"/>
              </w:rPr>
              <w:t>March 2, 2020</w:t>
            </w:r>
          </w:p>
        </w:tc>
        <w:tc>
          <w:tcPr>
            <w:tcW w:w="0" w:type="dxa"/>
            <w:vAlign w:val="bottom"/>
          </w:tcPr>
          <w:p>
            <w:pPr>
              <w:spacing w:after="0"/>
              <w:rPr>
                <w:sz w:val="1"/>
                <w:szCs w:val="1"/>
                <w:color w:val="auto"/>
              </w:rPr>
            </w:pPr>
          </w:p>
        </w:tc>
      </w:tr>
    </w:tbl>
    <w:p>
      <w:pPr>
        <w:sectPr>
          <w:pgSz w:w="11900" w:h="16861" w:orient="portrait"/>
          <w:cols w:equalWidth="0" w:num="1">
            <w:col w:w="9999"/>
          </w:cols>
          <w:pgMar w:left="460" w:top="112" w:right="1440" w:bottom="0" w:gutter="0" w:footer="0" w:header="0"/>
        </w:sectPr>
      </w:pPr>
    </w:p>
    <w:bookmarkStart w:id="2" w:name="page3"/>
    <w:bookmarkEnd w:id="2"/>
    <w:p>
      <w:pPr>
        <w:ind w:right="3559"/>
        <w:spacing w:after="0" w:line="296" w:lineRule="auto"/>
        <w:rPr>
          <w:sz w:val="20"/>
          <w:szCs w:val="20"/>
          <w:color w:val="auto"/>
        </w:rPr>
      </w:pPr>
      <w:r>
        <w:rPr>
          <w:rFonts w:ascii="Courier New" w:cs="Courier New" w:eastAsia="Courier New" w:hAnsi="Courier New"/>
          <w:sz w:val="17"/>
          <w:szCs w:val="17"/>
          <w:color w:val="auto"/>
        </w:rPr>
        <w:t>Then personally appeared the above-named Carolyn L. O'Boyle and acknowledged the foregoing instrument to be his/her free act and deed, before me,</w:t>
      </w:r>
    </w:p>
    <w:p>
      <w:pPr>
        <w:spacing w:after="0" w:line="62"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/s/ Michael G. Andrews</w:t>
      </w:r>
    </w:p>
    <w:p>
      <w:pPr>
        <w:spacing w:after="0" w:line="31"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Notary Public: Michael G. Andrews</w:t>
      </w:r>
    </w:p>
    <w:p>
      <w:pPr>
        <w:spacing w:after="0" w:line="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My Commission Expires: December 11, 2020</w:t>
      </w:r>
    </w:p>
    <w:sectPr>
      <w:pgSz w:w="11900" w:h="16838" w:orient="portrait"/>
      <w:cols w:equalWidth="0" w:num="1">
        <w:col w:w="9999"/>
      </w:cols>
      <w:pgMar w:left="460" w:top="3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05290" TargetMode="External"/><Relationship Id="rId13" Type="http://schemas.openxmlformats.org/officeDocument/2006/relationships/hyperlink" Target="http://www.sec.gov/cgi-bin/browse-edgar?action=getcompany&amp;CIK=00009498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2024-03-04T15:13:10Z</dcterms:created>
  <dcterms:modified xsi:type="dcterms:W3CDTF">2024-03-04T15:13:10Z</dcterms:modified>
</cp:coreProperties>
</file>